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增资投资基础骨架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EC-01-002｜版本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EC-01-002 / type-capital-increase-investment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doctrine-investment-governance-exit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投资金额：</w:t>
      </w:r>
      <w:r>
        <w:rPr>
          <w:rFonts w:ascii="Hiragino Sans GB" w:hAnsi="Hiragino Sans GB" w:eastAsia="Hiragino Sans GB" w:cs="Hiragino Sans GB"/>
        </w:rPr>
        <w:t>&lt;待填：投资金额&gt;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估值与股权：</w:t>
      </w:r>
      <w:r>
        <w:rPr>
          <w:rFonts w:ascii="Hiragino Sans GB" w:hAnsi="Hiragino Sans GB" w:eastAsia="Hiragino Sans GB" w:cs="Hiragino Sans GB"/>
        </w:rPr>
        <w:t>&lt;待填：估值与股权&gt;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先决条件：</w:t>
      </w:r>
      <w:r>
        <w:rPr>
          <w:rFonts w:ascii="Hiragino Sans GB" w:hAnsi="Hiragino Sans GB" w:eastAsia="Hiragino Sans GB" w:cs="Hiragino Sans GB"/>
        </w:rPr>
        <w:t>&lt;待填：先决条件&gt;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治理权利：</w:t>
      </w:r>
      <w:r>
        <w:rPr>
          <w:rFonts w:ascii="Hiragino Sans GB" w:hAnsi="Hiragino Sans GB" w:eastAsia="Hiragino Sans GB" w:cs="Hiragino Sans GB"/>
        </w:rPr>
        <w:t>&lt;待填：治理权利&gt;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陈述保证：</w:t>
      </w:r>
      <w:r>
        <w:rPr>
          <w:rFonts w:ascii="Hiragino Sans GB" w:hAnsi="Hiragino Sans GB" w:eastAsia="Hiragino Sans GB" w:cs="Hiragino Sans GB"/>
        </w:rPr>
        <w:t>&lt;待填：陈述保证&gt;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退出调整：</w:t>
      </w:r>
      <w:r>
        <w:rPr>
          <w:rFonts w:ascii="Hiragino Sans GB" w:hAnsi="Hiragino Sans GB" w:eastAsia="Hiragino Sans GB" w:cs="Hiragino Sans GB"/>
        </w:rPr>
        <w:t>&lt;待填：退出调整&gt;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第1组｜投资、金额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mod-investment-amount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明确投资、金额的适用对象、触发条件、程序、期限和法律/商业后果，并与相邻模块保持一致。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第2组｜条件、交割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mod-conditions-closing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明确条件、交割的适用对象、触发条件、程序、期限和法律/商业后果，并与相邻模块保持一致。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第3组｜治理、权利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mod-governance-rights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明确治理、权利的适用对象、触发条件、程序、期限和法律/商业后果，并与相邻模块保持一致。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第4组｜陈述保证、赔偿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mod-representations-indemnity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明确陈述保证、赔偿的适用对象、触发条件、程序、期限和法律/商业后果，并与相邻模块保持一致。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第5组｜退出、调整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mod-exit-adjustment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明确退出、调整的适用对象、触发条件、程序、期限和法律/商业后果，并与相邻模块保持一致。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mod-investment-amount → mod-conditions-closing → mod-governance-rights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mod-governance-rights → mod-representations-indemnity → mod-exit-adjustment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v2｜EC-01-002｜候选框架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增资投资基础骨架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