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年度框架购销基础骨架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EC-02-001｜版本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EC-02-001 / type-annual-framework-sales-procurement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doctrine-goods-transaction-control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合作期限：</w:t>
      </w:r>
      <w:r>
        <w:rPr>
          <w:rFonts w:ascii="Hiragino Sans GB" w:hAnsi="Hiragino Sans GB" w:eastAsia="Hiragino Sans GB" w:cs="Hiragino Sans GB"/>
        </w:rPr>
        <w:t>&lt;待填：合作期限&gt;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订单形成方式：</w:t>
      </w:r>
      <w:r>
        <w:rPr>
          <w:rFonts w:ascii="Hiragino Sans GB" w:hAnsi="Hiragino Sans GB" w:eastAsia="Hiragino Sans GB" w:cs="Hiragino Sans GB"/>
        </w:rPr>
        <w:t>&lt;待填：订单形成方式&gt;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价格与调价：</w:t>
      </w:r>
      <w:r>
        <w:rPr>
          <w:rFonts w:ascii="Hiragino Sans GB" w:hAnsi="Hiragino Sans GB" w:eastAsia="Hiragino Sans GB" w:cs="Hiragino Sans GB"/>
        </w:rPr>
        <w:t>&lt;待填：价格与调价&gt;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最低采购/销售承诺：</w:t>
      </w:r>
      <w:r>
        <w:rPr>
          <w:rFonts w:ascii="Hiragino Sans GB" w:hAnsi="Hiragino Sans GB" w:eastAsia="Hiragino Sans GB" w:cs="Hiragino Sans GB"/>
        </w:rPr>
        <w:t>&lt;待填：最低采购/销售承诺&gt;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交付与验收：</w:t>
      </w:r>
      <w:r>
        <w:rPr>
          <w:rFonts w:ascii="Hiragino Sans GB" w:hAnsi="Hiragino Sans GB" w:eastAsia="Hiragino Sans GB" w:cs="Hiragino Sans GB"/>
        </w:rPr>
        <w:t>&lt;待填：交付与验收&gt;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结算周期：</w:t>
      </w:r>
      <w:r>
        <w:rPr>
          <w:rFonts w:ascii="Hiragino Sans GB" w:hAnsi="Hiragino Sans GB" w:eastAsia="Hiragino Sans GB" w:cs="Hiragino Sans GB"/>
        </w:rPr>
        <w:t>&lt;待填：结算周期&gt;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第1组｜货物、范围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mod-goods-scope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明确货物、范围的适用对象、触发条件、程序、期限和法律/商业后果，并与相邻模块保持一致。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第2组｜订单、机制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mod-order-mechanism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明确订单、机制的适用对象、触发条件、程序、期限和法律/商业后果，并与相邻模块保持一致。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第3组｜付款、验收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mod-payment-acceptance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明确付款、验收的适用对象、触发条件、程序、期限和法律/商业后果，并与相邻模块保持一致。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第4组｜交付、风险转移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mod-delivery-risk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明确交付、风险转移的适用对象、触发条件、程序、期限和法律/商业后果，并与相邻模块保持一致。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第5组｜违约、解除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mod-breach-termination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明确违约、解除的适用对象、触发条件、程序、期限和法律/商业后果，并与相邻模块保持一致。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mod-goods-scope → mod-order-mechanism → mod-payment-acceptance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mod-payment-acceptance → mod-delivery-risk → mod-breach-termination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v2｜EC-02-001｜候选框架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年度框架购销基础骨架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