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产成品销售基础骨架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EC-02-003｜版本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EC-02-003 / type-finished-goods-sale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doctrine-goods-transaction-control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产品清单：</w:t>
      </w:r>
      <w:r>
        <w:rPr>
          <w:rFonts w:ascii="Hiragino Sans GB" w:hAnsi="Hiragino Sans GB" w:eastAsia="Hiragino Sans GB" w:cs="Hiragino Sans GB"/>
        </w:rPr>
        <w:t>&lt;待填：产品清单&gt;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销售区域：</w:t>
      </w:r>
      <w:r>
        <w:rPr>
          <w:rFonts w:ascii="Hiragino Sans GB" w:hAnsi="Hiragino Sans GB" w:eastAsia="Hiragino Sans GB" w:cs="Hiragino Sans GB"/>
        </w:rPr>
        <w:t>&lt;待填：销售区域&gt;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价格税费：</w:t>
      </w:r>
      <w:r>
        <w:rPr>
          <w:rFonts w:ascii="Hiragino Sans GB" w:hAnsi="Hiragino Sans GB" w:eastAsia="Hiragino Sans GB" w:cs="Hiragino Sans GB"/>
        </w:rPr>
        <w:t>&lt;待填：价格税费&gt;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交付方式：</w:t>
      </w:r>
      <w:r>
        <w:rPr>
          <w:rFonts w:ascii="Hiragino Sans GB" w:hAnsi="Hiragino Sans GB" w:eastAsia="Hiragino Sans GB" w:cs="Hiragino Sans GB"/>
        </w:rPr>
        <w:t>&lt;待填：交付方式&gt;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验收规则：</w:t>
      </w:r>
      <w:r>
        <w:rPr>
          <w:rFonts w:ascii="Hiragino Sans GB" w:hAnsi="Hiragino Sans GB" w:eastAsia="Hiragino Sans GB" w:cs="Hiragino Sans GB"/>
        </w:rPr>
        <w:t>&lt;待填：验收规则&gt;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售后与退换：</w:t>
      </w:r>
      <w:r>
        <w:rPr>
          <w:rFonts w:ascii="Hiragino Sans GB" w:hAnsi="Hiragino Sans GB" w:eastAsia="Hiragino Sans GB" w:cs="Hiragino Sans GB"/>
        </w:rPr>
        <w:t>&lt;待填：售后与退换&gt;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第1组｜货物、范围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mod-goods-scope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明确货物、范围的适用对象、触发条件、程序、期限和法律/商业后果，并与相邻模块保持一致。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第2组｜价格、税费、发票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mod-price-tax-invoice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明确价格、税费、发票的适用对象、触发条件、程序、期限和法律/商业后果，并与相邻模块保持一致。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第3组｜交付、风险转移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mod-delivery-risk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明确交付、风险转移的适用对象、触发条件、程序、期限和法律/商业后果，并与相邻模块保持一致。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第4组｜付款、验收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mod-payment-acceptance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明确付款、验收的适用对象、触发条件、程序、期限和法律/商业后果，并与相邻模块保持一致。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第5组｜违约、解除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mod-breach-termination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明确违约、解除的适用对象、触发条件、程序、期限和法律/商业后果，并与相邻模块保持一致。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mod-goods-scope → mod-price-tax-invoice → mod-delivery-risk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mod-delivery-risk → mod-payment-acceptance → mod-breach-termination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v2｜EC-02-003｜候选框架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产成品销售基础骨架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