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ntractSkeletonTitle"/>
        <w:jc w:val="center"/>
      </w:pPr>
      <w:r>
        <w:rPr>
          <w:rFonts w:ascii="Hiragino Sans GB" w:hAnsi="Hiragino Sans GB" w:eastAsia="Hiragino Sans GB" w:cs="Hiragino Sans GB"/>
        </w:rPr>
        <w:t>固定期限劳动合同基础骨架</w:t>
      </w:r>
    </w:p>
    <w:p>
      <w:pPr>
        <w:spacing w:after="240"/>
        <w:jc w:val="center"/>
      </w:pPr>
      <w:r>
        <w:rPr>
          <w:rFonts w:ascii="Hiragino Sans GB" w:hAnsi="Hiragino Sans GB" w:eastAsia="Hiragino Sans GB" w:cs="Hiragino Sans GB"/>
          <w:color w:val="5A5A5A"/>
          <w:sz w:val="20"/>
        </w:rPr>
        <w:t>EC-06-001｜版本 0.1.0｜candidate / inactive</w:t>
      </w:r>
    </w:p>
    <w:p>
      <w:pPr>
        <w:spacing w:before="40" w:after="200"/>
        <w:ind w:left="173" w:right="173"/>
        <w:shd w:fill="FFF2CC"/>
      </w:pPr>
      <w:r>
        <w:rPr>
          <w:rFonts w:ascii="Hiragino Sans GB" w:hAnsi="Hiragino Sans GB" w:eastAsia="Hiragino Sans GB" w:cs="Hiragino Sans GB"/>
          <w:b/>
          <w:color w:val="7A5A00"/>
        </w:rPr>
        <w:t>使用提示：本文件仅为待填充结构框架，不含经律师批准的条款正文。黄色内容须由用户结合模板、专业文章、交易事实和我方角色补充。</w:t>
      </w:r>
    </w:p>
    <w:p>
      <w:pPr>
        <w:pStyle w:val="Heading1"/>
      </w:pPr>
      <w:r>
        <w:t>一、合同画像与基础信息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合同主类型：</w:t>
      </w:r>
      <w:r>
        <w:rPr>
          <w:rFonts w:ascii="Hiragino Sans GB" w:hAnsi="Hiragino Sans GB" w:eastAsia="Hiragino Sans GB" w:cs="Hiragino Sans GB"/>
        </w:rPr>
        <w:t>EC-06-001 / type-fixed-term-employment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原则卡编号：</w:t>
      </w:r>
      <w:r>
        <w:rPr>
          <w:rFonts w:ascii="Hiragino Sans GB" w:hAnsi="Hiragino Sans GB" w:eastAsia="Hiragino Sans GB" w:cs="Hiragino Sans GB"/>
        </w:rPr>
        <w:t>doctrine-employment-mandatory-boundaries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我方角色：</w:t>
      </w:r>
      <w:r>
        <w:rPr>
          <w:rFonts w:ascii="Hiragino Sans GB" w:hAnsi="Hiragino Sans GB" w:eastAsia="Hiragino Sans GB" w:cs="Hiragino Sans GB"/>
        </w:rPr>
        <w:t>&lt;待填：我方在本交易中的角色&gt;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交易目的：</w:t>
      </w:r>
      <w:r>
        <w:rPr>
          <w:rFonts w:ascii="Hiragino Sans GB" w:hAnsi="Hiragino Sans GB" w:eastAsia="Hiragino Sans GB" w:cs="Hiragino Sans GB"/>
        </w:rPr>
        <w:t>&lt;待填：本合同拟实现的核心交易目的&gt;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适用场景标签：</w:t>
      </w:r>
      <w:r>
        <w:rPr>
          <w:rFonts w:ascii="Hiragino Sans GB" w:hAnsi="Hiragino Sans GB" w:eastAsia="Hiragino Sans GB" w:cs="Hiragino Sans GB"/>
        </w:rPr>
        <w:t>&lt;待填：行业、交易阶段、场景、地区等&gt;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文件体系：</w:t>
      </w:r>
      <w:r>
        <w:rPr>
          <w:rFonts w:ascii="Hiragino Sans GB" w:hAnsi="Hiragino Sans GB" w:eastAsia="Hiragino Sans GB" w:cs="Hiragino Sans GB"/>
        </w:rPr>
        <w:t>&lt;待填：主合同、订单、附件、技术文件、制度文件之间的关系&gt;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内部样本支持：</w:t>
      </w:r>
      <w:r>
        <w:rPr>
          <w:rFonts w:ascii="Hiragino Sans GB" w:hAnsi="Hiragino Sans GB" w:eastAsia="Hiragino Sans GB" w:cs="Hiragino Sans GB"/>
        </w:rPr>
        <w:t>placeholder_only_insufficient_representatives</w:t>
      </w:r>
    </w:p>
    <w:p>
      <w:pPr>
        <w:pStyle w:val="Heading1"/>
      </w:pPr>
      <w:r>
        <w:t>二、合同主体与签署信息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甲方名称及角色：</w:t>
      </w:r>
      <w:r>
        <w:rPr>
          <w:rFonts w:ascii="Hiragino Sans GB" w:hAnsi="Hiragino Sans GB" w:eastAsia="Hiragino Sans GB" w:cs="Hiragino Sans GB"/>
        </w:rPr>
        <w:t>&lt;待填：甲方名称及角色&gt;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乙方名称及角色：</w:t>
      </w:r>
      <w:r>
        <w:rPr>
          <w:rFonts w:ascii="Hiragino Sans GB" w:hAnsi="Hiragino Sans GB" w:eastAsia="Hiragino Sans GB" w:cs="Hiragino Sans GB"/>
        </w:rPr>
        <w:t>&lt;待填：乙方名称及角色&gt;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其他主体：</w:t>
      </w:r>
      <w:r>
        <w:rPr>
          <w:rFonts w:ascii="Hiragino Sans GB" w:hAnsi="Hiragino Sans GB" w:eastAsia="Hiragino Sans GB" w:cs="Hiragino Sans GB"/>
        </w:rPr>
        <w:t>&lt;待填：其他主体&gt;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签署授权与生效条件：</w:t>
      </w:r>
      <w:r>
        <w:rPr>
          <w:rFonts w:ascii="Hiragino Sans GB" w:hAnsi="Hiragino Sans GB" w:eastAsia="Hiragino Sans GB" w:cs="Hiragino Sans GB"/>
        </w:rPr>
        <w:t>&lt;待填：签署授权与生效条件&gt;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通知与送达信息：</w:t>
      </w:r>
      <w:r>
        <w:rPr>
          <w:rFonts w:ascii="Hiragino Sans GB" w:hAnsi="Hiragino Sans GB" w:eastAsia="Hiragino Sans GB" w:cs="Hiragino Sans GB"/>
        </w:rPr>
        <w:t>&lt;待填：通知与送达信息&gt;</w:t>
      </w:r>
    </w:p>
    <w:p>
      <w:pPr>
        <w:pStyle w:val="Heading1"/>
      </w:pPr>
      <w:r>
        <w:t>三、核心商业参数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合同期限：</w:t>
      </w:r>
      <w:r>
        <w:rPr>
          <w:rFonts w:ascii="Hiragino Sans GB" w:hAnsi="Hiragino Sans GB" w:eastAsia="Hiragino Sans GB" w:cs="Hiragino Sans GB"/>
        </w:rPr>
        <w:t>&lt;待填：合同期限&gt;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岗位地点：</w:t>
      </w:r>
      <w:r>
        <w:rPr>
          <w:rFonts w:ascii="Hiragino Sans GB" w:hAnsi="Hiragino Sans GB" w:eastAsia="Hiragino Sans GB" w:cs="Hiragino Sans GB"/>
        </w:rPr>
        <w:t>&lt;待填：岗位地点&gt;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工时休假：</w:t>
      </w:r>
      <w:r>
        <w:rPr>
          <w:rFonts w:ascii="Hiragino Sans GB" w:hAnsi="Hiragino Sans GB" w:eastAsia="Hiragino Sans GB" w:cs="Hiragino Sans GB"/>
        </w:rPr>
        <w:t>&lt;待填：工时休假&gt;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劳动报酬：</w:t>
      </w:r>
      <w:r>
        <w:rPr>
          <w:rFonts w:ascii="Hiragino Sans GB" w:hAnsi="Hiragino Sans GB" w:eastAsia="Hiragino Sans GB" w:cs="Hiragino Sans GB"/>
        </w:rPr>
        <w:t>&lt;待填：劳动报酬&gt;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规章制度：</w:t>
      </w:r>
      <w:r>
        <w:rPr>
          <w:rFonts w:ascii="Hiragino Sans GB" w:hAnsi="Hiragino Sans GB" w:eastAsia="Hiragino Sans GB" w:cs="Hiragino Sans GB"/>
        </w:rPr>
        <w:t>&lt;待填：规章制度&gt;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离职交接：</w:t>
      </w:r>
      <w:r>
        <w:rPr>
          <w:rFonts w:ascii="Hiragino Sans GB" w:hAnsi="Hiragino Sans GB" w:eastAsia="Hiragino Sans GB" w:cs="Hiragino Sans GB"/>
        </w:rPr>
        <w:t>&lt;待填：离职交接&gt;</w:t>
      </w:r>
    </w:p>
    <w:p>
      <w:pPr>
        <w:pStyle w:val="Heading1"/>
      </w:pPr>
      <w:r>
        <w:t>四、核心条款模块</w:t>
      </w:r>
    </w:p>
    <w:p>
      <w:pPr>
        <w:pStyle w:val="Heading2"/>
      </w:pPr>
      <w:r>
        <w:t>第1组｜劳动关系、期限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mod-employment-term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明确劳动关系、期限的适用对象、触发条件、程序、期限和法律/商业后果，并与相邻模块保持一致。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第2组｜岗位、地点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mod-position-location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明确岗位、地点的适用对象、触发条件、程序、期限和法律/商业后果，并与相邻模块保持一致。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第3组｜报酬、工时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mod-compensation-hours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明确报酬、工时的适用对象、触发条件、程序、期限和法律/商业后果，并与相邻模块保持一致。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第4组｜规章、纪律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mod-rules-discipline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明确规章、纪律的适用对象、触发条件、程序、期限和法律/商业后果，并与相邻模块保持一致。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第5组｜劳动关系、退出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mod-employment-exit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明确劳动关系、退出的适用对象、触发条件、程序、期限和法律/商业后果，并与相邻模块保持一致。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1"/>
      </w:pPr>
      <w:r>
        <w:t>六、联动检查</w:t>
      </w:r>
    </w:p>
    <w:p>
      <w:pPr>
        <w:pStyle w:val="Heading2"/>
      </w:pPr>
      <w:r>
        <w:t>履行与对价闭环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联动模块：</w:t>
      </w:r>
      <w:r>
        <w:rPr>
          <w:rFonts w:ascii="Hiragino Sans GB" w:hAnsi="Hiragino Sans GB" w:eastAsia="Hiragino Sans GB" w:cs="Hiragino Sans GB"/>
        </w:rPr>
        <w:t>mod-employment-term → mod-position-location → mod-compensation-hours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一致性检查：</w:t>
      </w:r>
      <w:r>
        <w:rPr>
          <w:rFonts w:ascii="Hiragino Sans GB" w:hAnsi="Hiragino Sans GB" w:eastAsia="Hiragino Sans GB" w:cs="Hiragino Sans GB"/>
        </w:rPr>
        <w:t>范围/标的与履行对象一致；付款触发与交付、验收节点一致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待补失败案例：</w:t>
      </w:r>
      <w:r>
        <w:rPr>
          <w:rFonts w:ascii="Hiragino Sans GB" w:hAnsi="Hiragino Sans GB" w:eastAsia="Hiragino Sans GB" w:cs="Hiragino Sans GB"/>
        </w:rPr>
        <w:t>待填充：历史失败案例；待填充：常见联动冲突</w:t>
      </w:r>
    </w:p>
    <w:p>
      <w:pPr>
        <w:pStyle w:val="Heading2"/>
      </w:pPr>
      <w:r>
        <w:t>风险、解除与退出闭环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联动模块：</w:t>
      </w:r>
      <w:r>
        <w:rPr>
          <w:rFonts w:ascii="Hiragino Sans GB" w:hAnsi="Hiragino Sans GB" w:eastAsia="Hiragino Sans GB" w:cs="Hiragino Sans GB"/>
        </w:rPr>
        <w:t>mod-compensation-hours → mod-rules-discipline → mod-employment-exit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一致性检查：</w:t>
      </w:r>
      <w:r>
        <w:rPr>
          <w:rFonts w:ascii="Hiragino Sans GB" w:hAnsi="Hiragino Sans GB" w:eastAsia="Hiragino Sans GB" w:cs="Hiragino Sans GB"/>
        </w:rPr>
        <w:t>解除触发与违约责任、结算后果一致；返还、交接、数据/资料处置与退出机制一致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待补失败案例：</w:t>
      </w:r>
      <w:r>
        <w:rPr>
          <w:rFonts w:ascii="Hiragino Sans GB" w:hAnsi="Hiragino Sans GB" w:eastAsia="Hiragino Sans GB" w:cs="Hiragino Sans GB"/>
        </w:rPr>
        <w:t>待填充：历史失败案例；待填充：常见联动冲突</w:t>
      </w:r>
    </w:p>
    <w:p>
      <w:pPr>
        <w:pStyle w:val="Heading1"/>
      </w:pPr>
      <w:r>
        <w:t>七、通用收尾条款与附件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定义与解释：</w:t>
      </w:r>
      <w:r>
        <w:rPr>
          <w:rFonts w:ascii="Hiragino Sans GB" w:hAnsi="Hiragino Sans GB" w:eastAsia="Hiragino Sans GB" w:cs="Hiragino Sans GB"/>
        </w:rPr>
        <w:t>&lt;待填：定义与解释及其与核心模块的联动&gt;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通知送达：</w:t>
      </w:r>
      <w:r>
        <w:rPr>
          <w:rFonts w:ascii="Hiragino Sans GB" w:hAnsi="Hiragino Sans GB" w:eastAsia="Hiragino Sans GB" w:cs="Hiragino Sans GB"/>
        </w:rPr>
        <w:t>&lt;待填：通知送达及其与核心模块的联动&gt;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保密与数据：</w:t>
      </w:r>
      <w:r>
        <w:rPr>
          <w:rFonts w:ascii="Hiragino Sans GB" w:hAnsi="Hiragino Sans GB" w:eastAsia="Hiragino Sans GB" w:cs="Hiragino Sans GB"/>
        </w:rPr>
        <w:t>&lt;待填：保密与数据及其与核心模块的联动&gt;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知识产权接口：</w:t>
      </w:r>
      <w:r>
        <w:rPr>
          <w:rFonts w:ascii="Hiragino Sans GB" w:hAnsi="Hiragino Sans GB" w:eastAsia="Hiragino Sans GB" w:cs="Hiragino Sans GB"/>
        </w:rPr>
        <w:t>&lt;待填：知识产权接口及其与核心模块的联动&gt;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责任限制与赔偿：</w:t>
      </w:r>
      <w:r>
        <w:rPr>
          <w:rFonts w:ascii="Hiragino Sans GB" w:hAnsi="Hiragino Sans GB" w:eastAsia="Hiragino Sans GB" w:cs="Hiragino Sans GB"/>
        </w:rPr>
        <w:t>&lt;待填：责任限制与赔偿及其与核心模块的联动&gt;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不可抗力：</w:t>
      </w:r>
      <w:r>
        <w:rPr>
          <w:rFonts w:ascii="Hiragino Sans GB" w:hAnsi="Hiragino Sans GB" w:eastAsia="Hiragino Sans GB" w:cs="Hiragino Sans GB"/>
        </w:rPr>
        <w:t>&lt;待填：不可抗力及其与核心模块的联动&gt;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适用法律与争议解决：</w:t>
      </w:r>
      <w:r>
        <w:rPr>
          <w:rFonts w:ascii="Hiragino Sans GB" w:hAnsi="Hiragino Sans GB" w:eastAsia="Hiragino Sans GB" w:cs="Hiragino Sans GB"/>
        </w:rPr>
        <w:t>&lt;待填：适用法律与争议解决及其与核心模块的联动&gt;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签署生效：</w:t>
      </w:r>
      <w:r>
        <w:rPr>
          <w:rFonts w:ascii="Hiragino Sans GB" w:hAnsi="Hiragino Sans GB" w:eastAsia="Hiragino Sans GB" w:cs="Hiragino Sans GB"/>
        </w:rPr>
        <w:t>&lt;待填：签署生效及其与核心模块的联动&gt;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附件清单：</w:t>
      </w:r>
      <w:r>
        <w:rPr>
          <w:rFonts w:ascii="Hiragino Sans GB" w:hAnsi="Hiragino Sans GB" w:eastAsia="Hiragino Sans GB" w:cs="Hiragino Sans GB"/>
        </w:rPr>
        <w:t>&lt;待填：附件清单及其与核心模块的联动&gt;</w:t>
      </w:r>
    </w:p>
    <w:p>
      <w:pPr>
        <w:pStyle w:val="Heading1"/>
      </w:pPr>
      <w:r>
        <w:t>八、来源与批准记录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模板来源：</w:t>
      </w:r>
      <w:r>
        <w:rPr>
          <w:rFonts w:ascii="Hiragino Sans GB" w:hAnsi="Hiragino Sans GB" w:eastAsia="Hiragino Sans GB" w:cs="Hiragino Sans GB"/>
        </w:rPr>
        <w:t>&lt;待填：用户提供模板或经批准代表合同&gt;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专业资料：</w:t>
      </w:r>
      <w:r>
        <w:rPr>
          <w:rFonts w:ascii="Hiragino Sans GB" w:hAnsi="Hiragino Sans GB" w:eastAsia="Hiragino Sans GB" w:cs="Hiragino Sans GB"/>
        </w:rPr>
        <w:t>&lt;待填：法规、司法解释、典型案例、实务文章及核验日期&gt;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历史修订/失败案例：</w:t>
      </w:r>
      <w:r>
        <w:rPr>
          <w:rFonts w:ascii="Hiragino Sans GB" w:hAnsi="Hiragino Sans GB" w:eastAsia="Hiragino Sans GB" w:cs="Hiragino Sans GB"/>
        </w:rPr>
        <w:t>&lt;待填：内部修订证据或去标识化失败案例&gt;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律师批准：</w:t>
      </w:r>
      <w:r>
        <w:rPr>
          <w:rFonts w:ascii="Hiragino Sans GB" w:hAnsi="Hiragino Sans GB" w:eastAsia="Hiragino Sans GB" w:cs="Hiragino Sans GB"/>
        </w:rPr>
        <w:t>未批准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激活状态：</w:t>
      </w:r>
      <w:r>
        <w:rPr>
          <w:rFonts w:ascii="Hiragino Sans GB" w:hAnsi="Hiragino Sans GB" w:eastAsia="Hiragino Sans GB" w:cs="Hiragino Sans GB"/>
        </w:rPr>
        <w:t>inactive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 w:cs="Hiragino Sans GB"/>
        <w:color w:val="646464"/>
        <w:sz w:val="16"/>
      </w:rPr>
      <w:t xml:space="preserve">候选框架｜未批准｜不得直接用于正式签署或审查｜第 </w:t>
    </w:r>
    <w:fldSimple w:instr="PAGE">
      <w:r/>
    </w:fldSimple>
    <w:r>
      <w:rPr>
        <w:rFonts w:ascii="Hiragino Sans GB" w:hAnsi="Hiragino Sans GB" w:eastAsia="Hiragino Sans GB" w:cs="Hiragino Sans GB"/>
        <w:color w:val="64646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 w:cs="Hiragino Sans GB"/>
        <w:color w:val="646464"/>
        <w:sz w:val="17"/>
      </w:rPr>
      <w:t>Contract Knowledge v2｜EC-06-001｜候选框架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iragino Sans GB" w:hAnsi="Hiragino Sans GB" w:eastAsia="Hiragino Sans GB" w:cs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SkeletonTitle">
    <w:name w:val="ContractSkeletonTitle"/>
    <w:pPr>
      <w:keepNext/>
      <w:spacing w:after="120"/>
    </w:pPr>
    <w:rPr>
      <w:rFonts w:ascii="Hiragino Sans GB" w:hAnsi="Hiragino Sans GB" w:eastAsia="Hiragino Sans GB" w:cs="Hiragino Sans GB"/>
      <w:b/>
      <w:sz w:val="4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固定期限劳动合同基础骨架</dc:title>
  <dc:subject>Contract Knowledge v2 candidate framework</dc:subject>
  <dc:creator>Contract Knowledge v2</dc:creator>
  <cp:keywords>candidate,inactive,contract_negotiation_brief,preset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