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竞业限制基础骨架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EC-06-003｜版本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EC-06-003 / type-noncompete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doctrine-noncompete-enforceability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适用人员：</w:t>
      </w:r>
      <w:r>
        <w:rPr>
          <w:rFonts w:ascii="Hiragino Sans GB" w:hAnsi="Hiragino Sans GB" w:eastAsia="Hiragino Sans GB" w:cs="Hiragino Sans GB"/>
        </w:rPr>
        <w:t>&lt;待填：适用人员&gt;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限制业务：</w:t>
      </w:r>
      <w:r>
        <w:rPr>
          <w:rFonts w:ascii="Hiragino Sans GB" w:hAnsi="Hiragino Sans GB" w:eastAsia="Hiragino Sans GB" w:cs="Hiragino Sans GB"/>
        </w:rPr>
        <w:t>&lt;待填：限制业务&gt;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区域期限：</w:t>
      </w:r>
      <w:r>
        <w:rPr>
          <w:rFonts w:ascii="Hiragino Sans GB" w:hAnsi="Hiragino Sans GB" w:eastAsia="Hiragino Sans GB" w:cs="Hiragino Sans GB"/>
        </w:rPr>
        <w:t>&lt;待填：区域期限&gt;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补偿安排：</w:t>
      </w:r>
      <w:r>
        <w:rPr>
          <w:rFonts w:ascii="Hiragino Sans GB" w:hAnsi="Hiragino Sans GB" w:eastAsia="Hiragino Sans GB" w:cs="Hiragino Sans GB"/>
        </w:rPr>
        <w:t>&lt;待填：补偿安排&gt;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解除机制：</w:t>
      </w:r>
      <w:r>
        <w:rPr>
          <w:rFonts w:ascii="Hiragino Sans GB" w:hAnsi="Hiragino Sans GB" w:eastAsia="Hiragino Sans GB" w:cs="Hiragino Sans GB"/>
        </w:rPr>
        <w:t>&lt;待填：解除机制&gt;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违约责任：</w:t>
      </w:r>
      <w:r>
        <w:rPr>
          <w:rFonts w:ascii="Hiragino Sans GB" w:hAnsi="Hiragino Sans GB" w:eastAsia="Hiragino Sans GB" w:cs="Hiragino Sans GB"/>
        </w:rPr>
        <w:t>&lt;待填：违约责任&gt;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第1组｜竞业限制、范围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mod-noncompete-scope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明确竞业限制、范围的适用对象、触发条件、程序、期限和法律/商业后果，并与相邻模块保持一致。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第2组｜竞业限制、期限、区域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mod-noncompete-term-region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明确竞业限制、期限、区域的适用对象、触发条件、程序、期限和法律/商业后果，并与相邻模块保持一致。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第3组｜竞业限制、报酬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mod-noncompete-compensation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明确竞业限制、报酬的适用对象、触发条件、程序、期限和法律/商业后果，并与相邻模块保持一致。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第4组｜竞业限制、解除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mod-noncompete-release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明确竞业限制、解除的适用对象、触发条件、程序、期限和法律/商业后果，并与相邻模块保持一致。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第5组｜竞业限制、救济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mod-noncompete-remedies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明确竞业限制、救济的适用对象、触发条件、程序、期限和法律/商业后果，并与相邻模块保持一致。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mod-noncompete-scope → mod-noncompete-term-region → mod-noncompete-compensation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mod-noncompete-compensation → mod-noncompete-release → mod-noncompete-remedies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v2｜EC-06-003｜候选框架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竞业限制基础骨架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