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InkTranslate – Multilingual Publishing Infrastructure</w:t>
      </w:r>
    </w:p>
    <w:p>
      <w:pPr>
        <w:pStyle w:val="Heading1"/>
      </w:pPr>
      <w:r>
        <w:t>Project Abstract</w:t>
      </w:r>
    </w:p>
    <w:p>
      <w:r>
        <w:t>InkTranslate is an advanced InnovateInk infrastructure initiative focused on multilingual publishing infrastructure.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multilingual publishing infrastructure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