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0F2D59"/>
          <w:sz w:val="32"/>
        </w:rPr>
        <w:t>Tumour-Core, Peritumoral-Margin, and Remote-Context Evidence in Brain MRI Classification: A Sham-Controlled, Plane-Stratified Counterfactual Audit Across CNN and Vision Transformer Models</w:t>
      </w:r>
    </w:p>
    <w:p>
      <w:pPr>
        <w:spacing w:after="240"/>
        <w:jc w:val="center"/>
      </w:pPr>
      <w:r>
        <w:rPr>
          <w:rFonts w:ascii="Times New Roman" w:hAnsi="Times New Roman"/>
          <w:b w:val="0"/>
          <w:i/>
          <w:color w:val="505050"/>
          <w:sz w:val="21"/>
        </w:rPr>
        <w:t>Running Title: Region-Resolved Counterfactual Evidence in Brain Tumour MRI</w:t>
      </w:r>
    </w:p>
    <w:p>
      <w:pPr>
        <w:spacing w:after="80"/>
        <w:jc w:val="center"/>
      </w:pPr>
      <w:r>
        <w:rPr>
          <w:rFonts w:ascii="Times New Roman" w:hAnsi="Times New Roman"/>
          <w:b/>
          <w:i w:val="0"/>
          <w:sz w:val="24"/>
        </w:rPr>
        <w:t>Chhotu</w:t>
      </w:r>
      <w:r>
        <w:rPr>
          <w:rFonts w:ascii="Times New Roman" w:hAnsi="Times New Roman"/>
          <w:b/>
          <w:i w:val="0"/>
          <w:sz w:val="18"/>
        </w:rPr>
        <w:t>1*</w:t>
      </w:r>
      <w:r>
        <w:rPr>
          <w:rFonts w:ascii="Times New Roman" w:hAnsi="Times New Roman"/>
          <w:b w:val="0"/>
          <w:i w:val="0"/>
          <w:sz w:val="24"/>
        </w:rPr>
        <w:t xml:space="preserve"> and </w:t>
      </w:r>
      <w:r>
        <w:rPr>
          <w:rFonts w:ascii="Times New Roman" w:hAnsi="Times New Roman"/>
          <w:b/>
          <w:i w:val="0"/>
          <w:sz w:val="24"/>
        </w:rPr>
        <w:t>Rishi Gupta</w:t>
      </w:r>
      <w:r>
        <w:rPr>
          <w:rFonts w:ascii="Times New Roman" w:hAnsi="Times New Roman"/>
          <w:b/>
          <w:i w:val="0"/>
          <w:sz w:val="18"/>
        </w:rPr>
        <w:t>2</w:t>
      </w:r>
    </w:p>
    <w:p>
      <w:pPr>
        <w:spacing w:after="40"/>
        <w:jc w:val="center"/>
      </w:pPr>
      <w:r>
        <w:rPr>
          <w:rFonts w:ascii="Times New Roman" w:hAnsi="Times New Roman"/>
          <w:b w:val="0"/>
          <w:i/>
          <w:sz w:val="20"/>
        </w:rPr>
        <w:t>1 Manipal University Jaipur, Jaipur, Rajasthan, India</w:t>
      </w:r>
    </w:p>
    <w:p>
      <w:pPr>
        <w:spacing w:after="80"/>
        <w:jc w:val="center"/>
      </w:pPr>
      <w:r>
        <w:rPr>
          <w:rFonts w:ascii="Times New Roman" w:hAnsi="Times New Roman"/>
          <w:b w:val="0"/>
          <w:i/>
          <w:sz w:val="20"/>
        </w:rPr>
        <w:t>2 Department of Computer Science &amp; Engineering, School of Computer Science and Engineering, Faculty of Science, Technology and Education, Manipal University Jaipur, Jaipur, Rajasthan, India</w:t>
      </w:r>
    </w:p>
    <w:p>
      <w:pPr>
        <w:spacing w:after="280"/>
        <w:jc w:val="center"/>
      </w:pPr>
      <w:r>
        <w:rPr>
          <w:rFonts w:ascii="Times New Roman" w:hAnsi="Times New Roman"/>
          <w:b w:val="0"/>
          <w:i/>
          <w:sz w:val="20"/>
        </w:rPr>
        <w:t>*Corresponding author. E-mail: chhotu.2427030521@muj.manipal.edu</w:t>
      </w:r>
    </w:p>
    <w:p>
      <w:pPr>
        <w:spacing w:before="160" w:after="80"/>
      </w:pPr>
      <w:r>
        <w:rPr>
          <w:rFonts w:ascii="Times New Roman" w:hAnsi="Times New Roman"/>
          <w:b/>
          <w:i w:val="0"/>
          <w:color w:val="1E3A8A"/>
          <w:sz w:val="24"/>
        </w:rPr>
        <w:t>Abstract</w:t>
      </w:r>
    </w:p>
    <w:p>
      <w:pPr>
        <w:spacing w:after="80" w:line="276" w:lineRule="auto"/>
      </w:pPr>
      <w:r>
        <w:rPr>
          <w:rFonts w:ascii="Times New Roman" w:hAnsi="Times New Roman"/>
          <w:b/>
          <w:i w:val="0"/>
          <w:sz w:val="20"/>
        </w:rPr>
        <w:t xml:space="preserve">Background: </w:t>
      </w:r>
      <w:r>
        <w:rPr>
          <w:rFonts w:ascii="Times New Roman" w:hAnsi="Times New Roman"/>
          <w:b w:val="0"/>
          <w:i w:val="0"/>
          <w:sz w:val="20"/>
        </w:rPr>
        <w:t>Deep convolutional neural networks (CNNs) and Vision Transformers (ViTs) regularly report high benchmark accuracy for classifying intracranial neoplasms from contrast-enhanced magnetic resonance imaging (CE-MRI). However, standard evaluation protocols fail to disentangle whether high diagnostic accuracy reflects genuine reliance on intra-lesional tumour morphology, opportunistic exploitation of peritumoral transitional zones, or spurious shortcut learning from remote cranial background context and scanner acquisition artifacts (the "Clever Hans" effect).</w:t>
      </w:r>
    </w:p>
    <w:p>
      <w:pPr>
        <w:spacing w:after="80" w:line="276" w:lineRule="auto"/>
      </w:pPr>
      <w:r>
        <w:rPr>
          <w:rFonts w:ascii="Times New Roman" w:hAnsi="Times New Roman"/>
          <w:b/>
          <w:i w:val="0"/>
          <w:sz w:val="20"/>
        </w:rPr>
        <w:t xml:space="preserve">Methods: </w:t>
      </w:r>
      <w:r>
        <w:rPr>
          <w:rFonts w:ascii="Times New Roman" w:hAnsi="Times New Roman"/>
          <w:b w:val="0"/>
          <w:i w:val="0"/>
          <w:sz w:val="20"/>
        </w:rPr>
        <w:t>We establish a literature-informed, fully reproducible counterfactual evaluation framework to audit region-resolved evidence across the Cheng brain tumour MRI dataset (N = 3,064 slices, 233 patients) and the multi-plane BRISC dataset (N = 6,000 slices). In Cheng, a 5-fold cross-validation scheme was strictly grouped by patient ID, guaranteeing zero patient overlap. In BRISC, perceptual hashing revealed 159 exact duplicate image pairs, identifying that 101 test slices (10.1% of the official test set) are exact duplicates of training images; a clean de-duplicated benchmark (N = 899) was established. We trained ImageNet-pretrained ResNet-50 (CNN) and DeiT-Small/16 (ViT) architectures. We engineered a five-region topological taxonomy for each slice: tumour core (R_core), immediate peritumoral margin (R_immediate, 4-pixel dilation ring), outer margin (R_outer, 12-pixel ring), remote brain parenchyma (R_remote), and an area- and contour-matched contralateral sham control (R_sham). Two complementary perturbation engines were implemented: Method A (Telea boundary PDE inpainting) and Method B (locally matched Gaussian texture filling). In total, 1,200 counterfactual interventions were verified with 100% compliance to strict non-target pixel invariance (|Delta| &lt; 10^-5 outside mask). We evaluated 1,800 paired counterfactual observations, computing raw sensitivity (Delta_r = p_y(x) - p_y(x_edit, r)) and sham-corrected causal sensitivity (tau_r = Delta_r - Delta_sham), paired Wilcoxon signed-rank tests, and Cohen's d_z effect sizes.</w:t>
      </w:r>
    </w:p>
    <w:p>
      <w:pPr>
        <w:spacing w:after="80" w:line="276" w:lineRule="auto"/>
      </w:pPr>
      <w:r>
        <w:rPr>
          <w:rFonts w:ascii="Times New Roman" w:hAnsi="Times New Roman"/>
          <w:b/>
          <w:i w:val="0"/>
          <w:sz w:val="20"/>
        </w:rPr>
        <w:t xml:space="preserve">Results: </w:t>
      </w:r>
      <w:r>
        <w:rPr>
          <w:rFonts w:ascii="Times New Roman" w:hAnsi="Times New Roman"/>
          <w:b w:val="0"/>
          <w:i w:val="0"/>
          <w:sz w:val="20"/>
        </w:rPr>
        <w:t>Perturbing the tumour core produced the largest, highly statistically significant evidence drop across both architectures (p &lt; 10^-5 on Cheng, p &lt; 0.01 on BRISC). On Cheng, DeiT-Small demonstrated a sham-corrected sensitivity of tau_core = 0.128 +/- 0.245 (p = 9.13 x 10^-6, d_z = 0.518) under inpainting and tau_core = 0.145 +/- 0.214 (p = 3.09 x 10^-8, d_z = 0.669) under texture filling. Immediate peritumoral margin modifications also induced statistically significant evidence drops (tau_immediate = 0.021 +/- 0.095, p = 0.0267 on Cheng; tau_immediate = 0.024 +/- 0.044, p = 4.70 x 10^-4 on BRISC for DeiT-Small). In contrast, perturbing remote parenchyma produced negligible, non-significant shifts (tau_remote &lt;= 0.018, p &gt; 0.05), confirming monotonic spatial decay. ViTs demonstrated significantly greater intra-lesion core reliance than CNNs (tau_core, ViT - tau_core, CNN = +0.074, p = 0.0123) and vastly superior probability calibration (Cheng Expected Calibration Error: DeiT-Small 0.037 vs ResNet-50 0.184). In BRISC, the evidence gradient hierarchy was preserved across Axial, Coronal, and Sagittal acquisition planes. Biologically, infiltrative gliomas exhibited a substantial margin-to-core sensitivity ratio (35.0%), whereas sellar-confined pituitary adenomas showed minimal margin dependence (15.1%). Finally, the 10.1% train-test duplicate leakage in BRISC was shown to inflate reported benchmark performance.</w:t>
      </w:r>
    </w:p>
    <w:p>
      <w:pPr>
        <w:spacing w:after="80" w:line="276" w:lineRule="auto"/>
      </w:pPr>
      <w:r>
        <w:rPr>
          <w:rFonts w:ascii="Times New Roman" w:hAnsi="Times New Roman"/>
          <w:b/>
          <w:i w:val="0"/>
          <w:sz w:val="20"/>
        </w:rPr>
        <w:t xml:space="preserve">Discussion: </w:t>
      </w:r>
      <w:r>
        <w:rPr>
          <w:rFonts w:ascii="Times New Roman" w:hAnsi="Times New Roman"/>
          <w:b w:val="0"/>
          <w:i w:val="0"/>
          <w:sz w:val="20"/>
        </w:rPr>
        <w:t>Contrast-enhanced brain tumour classifiers derive diagnostic evidence primarily from intra-tumoural features, with non-trivial contributions from immediate transitional margins, while remaining robust to remote context. ViTs demonstrate stronger core feature sensitivity and superior probability calibration compared to CNNs. However, pervasive duplicate leakage in public benchmarks underscores the critical necessity of rigorous data auditing before clinical interpretation.</w:t>
      </w:r>
    </w:p>
    <w:p>
      <w:pPr>
        <w:spacing w:before="80" w:after="280"/>
      </w:pPr>
      <w:r>
        <w:rPr>
          <w:rFonts w:ascii="Times New Roman" w:hAnsi="Times New Roman"/>
          <w:b/>
          <w:i w:val="0"/>
          <w:sz w:val="20"/>
        </w:rPr>
        <w:t xml:space="preserve">Keywords: </w:t>
      </w:r>
      <w:r>
        <w:rPr>
          <w:rFonts w:ascii="Times New Roman" w:hAnsi="Times New Roman"/>
          <w:b w:val="0"/>
          <w:i/>
          <w:sz w:val="20"/>
        </w:rPr>
        <w:t>Brain tumour classification; Counterfactual intervention; Clever Hans effect; Peritumoral margins; Vision Transformers; Convolutional neural networks; Benchmark leakage; Probability calibration.</w:t>
      </w:r>
    </w:p>
    <w:p>
      <w:pPr>
        <w:spacing w:before="200" w:after="80"/>
      </w:pPr>
      <w:r>
        <w:rPr>
          <w:rFonts w:ascii="Times New Roman" w:hAnsi="Times New Roman"/>
          <w:b/>
          <w:i w:val="0"/>
          <w:color w:val="1E3A8A"/>
          <w:sz w:val="28"/>
        </w:rPr>
        <w:t>Nomenclature</w:t>
      </w:r>
    </w:p>
    <w:tbl>
      <w:tblPr>
        <w:tblW w:type="auto" w:w="0"/>
        <w:jc w:val="center"/>
        <w:tblLook w:firstColumn="1" w:firstRow="1" w:lastColumn="0" w:lastRow="0" w:noHBand="0" w:noVBand="1" w:val="04A0"/>
      </w:tblPr>
      <w:tblGrid>
        <w:gridCol w:w="4514"/>
        <w:gridCol w:w="4514"/>
      </w:tblGrid>
      <w:tr>
        <w:tc>
          <w:tcPr>
            <w:tcW w:type="dxa" w:w="2592"/>
            <w:tcMar>
              <w:top w:w="40" w:type="dxa"/>
              <w:bottom w:w="40" w:type="dxa"/>
              <w:left w:w="60" w:type="dxa"/>
              <w:right w:w="60" w:type="dxa"/>
            </w:tcMar>
          </w:tcPr>
          <w:p>
            <w:pPr>
              <w:spacing w:after="20"/>
            </w:pPr>
            <w:r>
              <w:rPr>
                <w:rFonts w:ascii="Times New Roman" w:hAnsi="Times New Roman"/>
                <w:b/>
                <w:i w:val="0"/>
                <w:sz w:val="19"/>
              </w:rPr>
              <w:t>AUC</w:t>
            </w:r>
          </w:p>
        </w:tc>
        <w:tc>
          <w:tcPr>
            <w:tcW w:type="dxa" w:w="6480"/>
            <w:tcMar>
              <w:top w:w="40" w:type="dxa"/>
              <w:bottom w:w="40" w:type="dxa"/>
              <w:left w:w="60" w:type="dxa"/>
              <w:right w:w="60" w:type="dxa"/>
            </w:tcMar>
          </w:tcPr>
          <w:p>
            <w:pPr>
              <w:spacing w:after="20"/>
            </w:pPr>
            <w:r>
              <w:rPr>
                <w:rFonts w:ascii="Times New Roman" w:hAnsi="Times New Roman"/>
                <w:b w:val="0"/>
                <w:i w:val="0"/>
                <w:sz w:val="19"/>
              </w:rPr>
              <w:t>Area under the receiver operating characteristic curve</w:t>
            </w:r>
          </w:p>
        </w:tc>
      </w:tr>
      <w:tr>
        <w:tc>
          <w:tcPr>
            <w:tcW w:type="dxa" w:w="2592"/>
            <w:tcMar>
              <w:top w:w="40" w:type="dxa"/>
              <w:bottom w:w="40" w:type="dxa"/>
              <w:left w:w="60" w:type="dxa"/>
              <w:right w:w="60" w:type="dxa"/>
            </w:tcMar>
          </w:tcPr>
          <w:p>
            <w:pPr>
              <w:spacing w:after="20"/>
            </w:pPr>
            <w:r>
              <w:rPr>
                <w:rFonts w:ascii="Times New Roman" w:hAnsi="Times New Roman"/>
                <w:b/>
                <w:i w:val="0"/>
                <w:sz w:val="19"/>
              </w:rPr>
              <w:t>CE-MRI</w:t>
            </w:r>
          </w:p>
        </w:tc>
        <w:tc>
          <w:tcPr>
            <w:tcW w:type="dxa" w:w="6480"/>
            <w:tcMar>
              <w:top w:w="40" w:type="dxa"/>
              <w:bottom w:w="40" w:type="dxa"/>
              <w:left w:w="60" w:type="dxa"/>
              <w:right w:w="60" w:type="dxa"/>
            </w:tcMar>
          </w:tcPr>
          <w:p>
            <w:pPr>
              <w:spacing w:after="20"/>
            </w:pPr>
            <w:r>
              <w:rPr>
                <w:rFonts w:ascii="Times New Roman" w:hAnsi="Times New Roman"/>
                <w:b w:val="0"/>
                <w:i w:val="0"/>
                <w:sz w:val="19"/>
              </w:rPr>
              <w:t>Contrast-enhanced magnetic resonance imaging</w:t>
            </w:r>
          </w:p>
        </w:tc>
      </w:tr>
      <w:tr>
        <w:tc>
          <w:tcPr>
            <w:tcW w:type="dxa" w:w="2592"/>
            <w:tcMar>
              <w:top w:w="40" w:type="dxa"/>
              <w:bottom w:w="40" w:type="dxa"/>
              <w:left w:w="60" w:type="dxa"/>
              <w:right w:w="60" w:type="dxa"/>
            </w:tcMar>
          </w:tcPr>
          <w:p>
            <w:pPr>
              <w:spacing w:after="20"/>
            </w:pPr>
            <w:r>
              <w:rPr>
                <w:rFonts w:ascii="Times New Roman" w:hAnsi="Times New Roman"/>
                <w:b/>
                <w:i w:val="0"/>
                <w:sz w:val="19"/>
              </w:rPr>
              <w:t>CNN</w:t>
            </w:r>
          </w:p>
        </w:tc>
        <w:tc>
          <w:tcPr>
            <w:tcW w:type="dxa" w:w="6480"/>
            <w:tcMar>
              <w:top w:w="40" w:type="dxa"/>
              <w:bottom w:w="40" w:type="dxa"/>
              <w:left w:w="60" w:type="dxa"/>
              <w:right w:w="60" w:type="dxa"/>
            </w:tcMar>
          </w:tcPr>
          <w:p>
            <w:pPr>
              <w:spacing w:after="20"/>
            </w:pPr>
            <w:r>
              <w:rPr>
                <w:rFonts w:ascii="Times New Roman" w:hAnsi="Times New Roman"/>
                <w:b w:val="0"/>
                <w:i w:val="0"/>
                <w:sz w:val="19"/>
              </w:rPr>
              <w:t>Convolutional neural network</w:t>
            </w:r>
          </w:p>
        </w:tc>
      </w:tr>
      <w:tr>
        <w:tc>
          <w:tcPr>
            <w:tcW w:type="dxa" w:w="2592"/>
            <w:tcMar>
              <w:top w:w="40" w:type="dxa"/>
              <w:bottom w:w="40" w:type="dxa"/>
              <w:left w:w="60" w:type="dxa"/>
              <w:right w:w="60" w:type="dxa"/>
            </w:tcMar>
          </w:tcPr>
          <w:p>
            <w:pPr>
              <w:spacing w:after="20"/>
            </w:pPr>
            <w:r>
              <w:rPr>
                <w:rFonts w:ascii="Times New Roman" w:hAnsi="Times New Roman"/>
                <w:b/>
                <w:i w:val="0"/>
                <w:sz w:val="19"/>
              </w:rPr>
              <w:t>DeiT</w:t>
            </w:r>
          </w:p>
        </w:tc>
        <w:tc>
          <w:tcPr>
            <w:tcW w:type="dxa" w:w="6480"/>
            <w:tcMar>
              <w:top w:w="40" w:type="dxa"/>
              <w:bottom w:w="40" w:type="dxa"/>
              <w:left w:w="60" w:type="dxa"/>
              <w:right w:w="60" w:type="dxa"/>
            </w:tcMar>
          </w:tcPr>
          <w:p>
            <w:pPr>
              <w:spacing w:after="20"/>
            </w:pPr>
            <w:r>
              <w:rPr>
                <w:rFonts w:ascii="Times New Roman" w:hAnsi="Times New Roman"/>
                <w:b w:val="0"/>
                <w:i w:val="0"/>
                <w:sz w:val="19"/>
              </w:rPr>
              <w:t>Data-efficient image transformer</w:t>
            </w:r>
          </w:p>
        </w:tc>
      </w:tr>
      <w:tr>
        <w:tc>
          <w:tcPr>
            <w:tcW w:type="dxa" w:w="2592"/>
            <w:tcMar>
              <w:top w:w="40" w:type="dxa"/>
              <w:bottom w:w="40" w:type="dxa"/>
              <w:left w:w="60" w:type="dxa"/>
              <w:right w:w="60" w:type="dxa"/>
            </w:tcMar>
          </w:tcPr>
          <w:p>
            <w:pPr>
              <w:spacing w:after="20"/>
            </w:pPr>
            <w:r>
              <w:rPr>
                <w:rFonts w:ascii="Times New Roman" w:hAnsi="Times New Roman"/>
                <w:b/>
                <w:i w:val="0"/>
                <w:sz w:val="19"/>
              </w:rPr>
              <w:t>ECE</w:t>
            </w:r>
          </w:p>
        </w:tc>
        <w:tc>
          <w:tcPr>
            <w:tcW w:type="dxa" w:w="6480"/>
            <w:tcMar>
              <w:top w:w="40" w:type="dxa"/>
              <w:bottom w:w="40" w:type="dxa"/>
              <w:left w:w="60" w:type="dxa"/>
              <w:right w:w="60" w:type="dxa"/>
            </w:tcMar>
          </w:tcPr>
          <w:p>
            <w:pPr>
              <w:spacing w:after="20"/>
            </w:pPr>
            <w:r>
              <w:rPr>
                <w:rFonts w:ascii="Times New Roman" w:hAnsi="Times New Roman"/>
                <w:b w:val="0"/>
                <w:i w:val="0"/>
                <w:sz w:val="19"/>
              </w:rPr>
              <w:t>Expected calibration error</w:t>
            </w:r>
          </w:p>
        </w:tc>
      </w:tr>
      <w:tr>
        <w:tc>
          <w:tcPr>
            <w:tcW w:type="dxa" w:w="2592"/>
            <w:tcMar>
              <w:top w:w="40" w:type="dxa"/>
              <w:bottom w:w="40" w:type="dxa"/>
              <w:left w:w="60" w:type="dxa"/>
              <w:right w:w="60" w:type="dxa"/>
            </w:tcMar>
          </w:tcPr>
          <w:p>
            <w:pPr>
              <w:spacing w:after="20"/>
            </w:pPr>
            <w:r>
              <w:rPr>
                <w:rFonts w:ascii="Times New Roman" w:hAnsi="Times New Roman"/>
                <w:b/>
                <w:i w:val="0"/>
                <w:sz w:val="19"/>
              </w:rPr>
              <w:t>MAD</w:t>
            </w:r>
          </w:p>
        </w:tc>
        <w:tc>
          <w:tcPr>
            <w:tcW w:type="dxa" w:w="6480"/>
            <w:tcMar>
              <w:top w:w="40" w:type="dxa"/>
              <w:bottom w:w="40" w:type="dxa"/>
              <w:left w:w="60" w:type="dxa"/>
              <w:right w:w="60" w:type="dxa"/>
            </w:tcMar>
          </w:tcPr>
          <w:p>
            <w:pPr>
              <w:spacing w:after="20"/>
            </w:pPr>
            <w:r>
              <w:rPr>
                <w:rFonts w:ascii="Times New Roman" w:hAnsi="Times New Roman"/>
                <w:b w:val="0"/>
                <w:i w:val="0"/>
                <w:sz w:val="19"/>
              </w:rPr>
              <w:t>Mean absolute difference</w:t>
            </w:r>
          </w:p>
        </w:tc>
      </w:tr>
      <w:tr>
        <w:tc>
          <w:tcPr>
            <w:tcW w:type="dxa" w:w="2592"/>
            <w:tcMar>
              <w:top w:w="40" w:type="dxa"/>
              <w:bottom w:w="40" w:type="dxa"/>
              <w:left w:w="60" w:type="dxa"/>
              <w:right w:w="60" w:type="dxa"/>
            </w:tcMar>
          </w:tcPr>
          <w:p>
            <w:pPr>
              <w:spacing w:after="20"/>
            </w:pPr>
            <w:r>
              <w:rPr>
                <w:rFonts w:ascii="Times New Roman" w:hAnsi="Times New Roman"/>
                <w:b/>
                <w:i w:val="0"/>
                <w:sz w:val="19"/>
              </w:rPr>
              <w:t>OOF</w:t>
            </w:r>
          </w:p>
        </w:tc>
        <w:tc>
          <w:tcPr>
            <w:tcW w:type="dxa" w:w="6480"/>
            <w:tcMar>
              <w:top w:w="40" w:type="dxa"/>
              <w:bottom w:w="40" w:type="dxa"/>
              <w:left w:w="60" w:type="dxa"/>
              <w:right w:w="60" w:type="dxa"/>
            </w:tcMar>
          </w:tcPr>
          <w:p>
            <w:pPr>
              <w:spacing w:after="20"/>
            </w:pPr>
            <w:r>
              <w:rPr>
                <w:rFonts w:ascii="Times New Roman" w:hAnsi="Times New Roman"/>
                <w:b w:val="0"/>
                <w:i w:val="0"/>
                <w:sz w:val="19"/>
              </w:rPr>
              <w:t>Out-of-fold cross-validation</w:t>
            </w:r>
          </w:p>
        </w:tc>
      </w:tr>
      <w:tr>
        <w:tc>
          <w:tcPr>
            <w:tcW w:type="dxa" w:w="2592"/>
            <w:tcMar>
              <w:top w:w="40" w:type="dxa"/>
              <w:bottom w:w="40" w:type="dxa"/>
              <w:left w:w="60" w:type="dxa"/>
              <w:right w:w="60" w:type="dxa"/>
            </w:tcMar>
          </w:tcPr>
          <w:p>
            <w:pPr>
              <w:spacing w:after="20"/>
            </w:pPr>
            <w:r>
              <w:rPr>
                <w:rFonts w:ascii="Times New Roman" w:hAnsi="Times New Roman"/>
                <w:b/>
                <w:i w:val="0"/>
                <w:sz w:val="19"/>
              </w:rPr>
              <w:t>PDE</w:t>
            </w:r>
          </w:p>
        </w:tc>
        <w:tc>
          <w:tcPr>
            <w:tcW w:type="dxa" w:w="6480"/>
            <w:tcMar>
              <w:top w:w="40" w:type="dxa"/>
              <w:bottom w:w="40" w:type="dxa"/>
              <w:left w:w="60" w:type="dxa"/>
              <w:right w:w="60" w:type="dxa"/>
            </w:tcMar>
          </w:tcPr>
          <w:p>
            <w:pPr>
              <w:spacing w:after="20"/>
            </w:pPr>
            <w:r>
              <w:rPr>
                <w:rFonts w:ascii="Times New Roman" w:hAnsi="Times New Roman"/>
                <w:b w:val="0"/>
                <w:i w:val="0"/>
                <w:sz w:val="19"/>
              </w:rPr>
              <w:t>Partial differential equation</w:t>
            </w:r>
          </w:p>
        </w:tc>
      </w:tr>
      <w:tr>
        <w:tc>
          <w:tcPr>
            <w:tcW w:type="dxa" w:w="2592"/>
            <w:tcMar>
              <w:top w:w="40" w:type="dxa"/>
              <w:bottom w:w="40" w:type="dxa"/>
              <w:left w:w="60" w:type="dxa"/>
              <w:right w:w="60" w:type="dxa"/>
            </w:tcMar>
          </w:tcPr>
          <w:p>
            <w:pPr>
              <w:spacing w:after="20"/>
            </w:pPr>
            <w:r>
              <w:rPr>
                <w:rFonts w:ascii="Times New Roman" w:hAnsi="Times New Roman"/>
                <w:b/>
                <w:i w:val="0"/>
                <w:sz w:val="19"/>
              </w:rPr>
              <w:t>pHash</w:t>
            </w:r>
          </w:p>
        </w:tc>
        <w:tc>
          <w:tcPr>
            <w:tcW w:type="dxa" w:w="6480"/>
            <w:tcMar>
              <w:top w:w="40" w:type="dxa"/>
              <w:bottom w:w="40" w:type="dxa"/>
              <w:left w:w="60" w:type="dxa"/>
              <w:right w:w="60" w:type="dxa"/>
            </w:tcMar>
          </w:tcPr>
          <w:p>
            <w:pPr>
              <w:spacing w:after="20"/>
            </w:pPr>
            <w:r>
              <w:rPr>
                <w:rFonts w:ascii="Times New Roman" w:hAnsi="Times New Roman"/>
                <w:b w:val="0"/>
                <w:i w:val="0"/>
                <w:sz w:val="19"/>
              </w:rPr>
              <w:t>Perceptual hashing algorithm</w:t>
            </w:r>
          </w:p>
        </w:tc>
      </w:tr>
      <w:tr>
        <w:tc>
          <w:tcPr>
            <w:tcW w:type="dxa" w:w="2592"/>
            <w:tcMar>
              <w:top w:w="40" w:type="dxa"/>
              <w:bottom w:w="40" w:type="dxa"/>
              <w:left w:w="60" w:type="dxa"/>
              <w:right w:w="60" w:type="dxa"/>
            </w:tcMar>
          </w:tcPr>
          <w:p>
            <w:pPr>
              <w:spacing w:after="20"/>
            </w:pPr>
            <w:r>
              <w:rPr>
                <w:rFonts w:ascii="Times New Roman" w:hAnsi="Times New Roman"/>
                <w:b/>
                <w:i w:val="0"/>
                <w:sz w:val="19"/>
              </w:rPr>
              <w:t>SSIM</w:t>
            </w:r>
          </w:p>
        </w:tc>
        <w:tc>
          <w:tcPr>
            <w:tcW w:type="dxa" w:w="6480"/>
            <w:tcMar>
              <w:top w:w="40" w:type="dxa"/>
              <w:bottom w:w="40" w:type="dxa"/>
              <w:left w:w="60" w:type="dxa"/>
              <w:right w:w="60" w:type="dxa"/>
            </w:tcMar>
          </w:tcPr>
          <w:p>
            <w:pPr>
              <w:spacing w:after="20"/>
            </w:pPr>
            <w:r>
              <w:rPr>
                <w:rFonts w:ascii="Times New Roman" w:hAnsi="Times New Roman"/>
                <w:b w:val="0"/>
                <w:i w:val="0"/>
                <w:sz w:val="19"/>
              </w:rPr>
              <w:t>Structural similarity index measure</w:t>
            </w:r>
          </w:p>
        </w:tc>
      </w:tr>
      <w:tr>
        <w:tc>
          <w:tcPr>
            <w:tcW w:type="dxa" w:w="2592"/>
            <w:tcMar>
              <w:top w:w="40" w:type="dxa"/>
              <w:bottom w:w="40" w:type="dxa"/>
              <w:left w:w="60" w:type="dxa"/>
              <w:right w:w="60" w:type="dxa"/>
            </w:tcMar>
          </w:tcPr>
          <w:p>
            <w:pPr>
              <w:spacing w:after="20"/>
            </w:pPr>
            <w:r>
              <w:rPr>
                <w:rFonts w:ascii="Times New Roman" w:hAnsi="Times New Roman"/>
                <w:b/>
                <w:i w:val="0"/>
                <w:sz w:val="19"/>
              </w:rPr>
              <w:t>ViT</w:t>
            </w:r>
          </w:p>
        </w:tc>
        <w:tc>
          <w:tcPr>
            <w:tcW w:type="dxa" w:w="6480"/>
            <w:tcMar>
              <w:top w:w="40" w:type="dxa"/>
              <w:bottom w:w="40" w:type="dxa"/>
              <w:left w:w="60" w:type="dxa"/>
              <w:right w:w="60" w:type="dxa"/>
            </w:tcMar>
          </w:tcPr>
          <w:p>
            <w:pPr>
              <w:spacing w:after="20"/>
            </w:pPr>
            <w:r>
              <w:rPr>
                <w:rFonts w:ascii="Times New Roman" w:hAnsi="Times New Roman"/>
                <w:b w:val="0"/>
                <w:i w:val="0"/>
                <w:sz w:val="19"/>
              </w:rPr>
              <w:t>Vision transformer</w:t>
            </w:r>
          </w:p>
        </w:tc>
      </w:tr>
      <w:tr>
        <w:tc>
          <w:tcPr>
            <w:tcW w:type="dxa" w:w="2592"/>
            <w:tcMar>
              <w:top w:w="40" w:type="dxa"/>
              <w:bottom w:w="40" w:type="dxa"/>
              <w:left w:w="60" w:type="dxa"/>
              <w:right w:w="60" w:type="dxa"/>
            </w:tcMar>
          </w:tcPr>
          <w:p>
            <w:pPr>
              <w:spacing w:after="20"/>
            </w:pPr>
            <w:r>
              <w:rPr>
                <w:rFonts w:ascii="Times New Roman" w:hAnsi="Times New Roman"/>
                <w:b/>
                <w:i w:val="0"/>
                <w:sz w:val="19"/>
              </w:rPr>
              <w:t>R_core</w:t>
            </w:r>
          </w:p>
        </w:tc>
        <w:tc>
          <w:tcPr>
            <w:tcW w:type="dxa" w:w="6480"/>
            <w:tcMar>
              <w:top w:w="40" w:type="dxa"/>
              <w:bottom w:w="40" w:type="dxa"/>
              <w:left w:w="60" w:type="dxa"/>
              <w:right w:w="60" w:type="dxa"/>
            </w:tcMar>
          </w:tcPr>
          <w:p>
            <w:pPr>
              <w:spacing w:after="20"/>
            </w:pPr>
            <w:r>
              <w:rPr>
                <w:rFonts w:ascii="Times New Roman" w:hAnsi="Times New Roman"/>
                <w:b w:val="0"/>
                <w:i w:val="0"/>
                <w:sz w:val="19"/>
              </w:rPr>
              <w:t>Tumour core anatomical region (ground-truth lesion mask M)</w:t>
            </w:r>
          </w:p>
        </w:tc>
      </w:tr>
      <w:tr>
        <w:tc>
          <w:tcPr>
            <w:tcW w:type="dxa" w:w="2592"/>
            <w:tcMar>
              <w:top w:w="40" w:type="dxa"/>
              <w:bottom w:w="40" w:type="dxa"/>
              <w:left w:w="60" w:type="dxa"/>
              <w:right w:w="60" w:type="dxa"/>
            </w:tcMar>
          </w:tcPr>
          <w:p>
            <w:pPr>
              <w:spacing w:after="20"/>
            </w:pPr>
            <w:r>
              <w:rPr>
                <w:rFonts w:ascii="Times New Roman" w:hAnsi="Times New Roman"/>
                <w:b/>
                <w:i w:val="0"/>
                <w:sz w:val="19"/>
              </w:rPr>
              <w:t>R_immediate</w:t>
            </w:r>
          </w:p>
        </w:tc>
        <w:tc>
          <w:tcPr>
            <w:tcW w:type="dxa" w:w="6480"/>
            <w:tcMar>
              <w:top w:w="40" w:type="dxa"/>
              <w:bottom w:w="40" w:type="dxa"/>
              <w:left w:w="60" w:type="dxa"/>
              <w:right w:w="60" w:type="dxa"/>
            </w:tcMar>
          </w:tcPr>
          <w:p>
            <w:pPr>
              <w:spacing w:after="20"/>
            </w:pPr>
            <w:r>
              <w:rPr>
                <w:rFonts w:ascii="Times New Roman" w:hAnsi="Times New Roman"/>
                <w:b w:val="0"/>
                <w:i w:val="0"/>
                <w:sz w:val="19"/>
              </w:rPr>
              <w:t>Immediate peritumoral margin ring (4-pixel dilation)</w:t>
            </w:r>
          </w:p>
        </w:tc>
      </w:tr>
      <w:tr>
        <w:tc>
          <w:tcPr>
            <w:tcW w:type="dxa" w:w="2592"/>
            <w:tcMar>
              <w:top w:w="40" w:type="dxa"/>
              <w:bottom w:w="40" w:type="dxa"/>
              <w:left w:w="60" w:type="dxa"/>
              <w:right w:w="60" w:type="dxa"/>
            </w:tcMar>
          </w:tcPr>
          <w:p>
            <w:pPr>
              <w:spacing w:after="20"/>
            </w:pPr>
            <w:r>
              <w:rPr>
                <w:rFonts w:ascii="Times New Roman" w:hAnsi="Times New Roman"/>
                <w:b/>
                <w:i w:val="0"/>
                <w:sz w:val="19"/>
              </w:rPr>
              <w:t>R_outer</w:t>
            </w:r>
          </w:p>
        </w:tc>
        <w:tc>
          <w:tcPr>
            <w:tcW w:type="dxa" w:w="6480"/>
            <w:tcMar>
              <w:top w:w="40" w:type="dxa"/>
              <w:bottom w:w="40" w:type="dxa"/>
              <w:left w:w="60" w:type="dxa"/>
              <w:right w:w="60" w:type="dxa"/>
            </w:tcMar>
          </w:tcPr>
          <w:p>
            <w:pPr>
              <w:spacing w:after="20"/>
            </w:pPr>
            <w:r>
              <w:rPr>
                <w:rFonts w:ascii="Times New Roman" w:hAnsi="Times New Roman"/>
                <w:b w:val="0"/>
                <w:i w:val="0"/>
                <w:sz w:val="19"/>
              </w:rPr>
              <w:t>Outer peritumoral margin ring (12-pixel dilation)</w:t>
            </w:r>
          </w:p>
        </w:tc>
      </w:tr>
      <w:tr>
        <w:tc>
          <w:tcPr>
            <w:tcW w:type="dxa" w:w="2592"/>
            <w:tcMar>
              <w:top w:w="40" w:type="dxa"/>
              <w:bottom w:w="40" w:type="dxa"/>
              <w:left w:w="60" w:type="dxa"/>
              <w:right w:w="60" w:type="dxa"/>
            </w:tcMar>
          </w:tcPr>
          <w:p>
            <w:pPr>
              <w:spacing w:after="20"/>
            </w:pPr>
            <w:r>
              <w:rPr>
                <w:rFonts w:ascii="Times New Roman" w:hAnsi="Times New Roman"/>
                <w:b/>
                <w:i w:val="0"/>
                <w:sz w:val="19"/>
              </w:rPr>
              <w:t>R_remote</w:t>
            </w:r>
          </w:p>
        </w:tc>
        <w:tc>
          <w:tcPr>
            <w:tcW w:type="dxa" w:w="6480"/>
            <w:tcMar>
              <w:top w:w="40" w:type="dxa"/>
              <w:bottom w:w="40" w:type="dxa"/>
              <w:left w:w="60" w:type="dxa"/>
              <w:right w:w="60" w:type="dxa"/>
            </w:tcMar>
          </w:tcPr>
          <w:p>
            <w:pPr>
              <w:spacing w:after="20"/>
            </w:pPr>
            <w:r>
              <w:rPr>
                <w:rFonts w:ascii="Times New Roman" w:hAnsi="Times New Roman"/>
                <w:b w:val="0"/>
                <w:i w:val="0"/>
                <w:sz w:val="19"/>
              </w:rPr>
              <w:t>Remote normal brain parenchyma region (&gt;32 px away)</w:t>
            </w:r>
          </w:p>
        </w:tc>
      </w:tr>
      <w:tr>
        <w:tc>
          <w:tcPr>
            <w:tcW w:type="dxa" w:w="2592"/>
            <w:tcMar>
              <w:top w:w="40" w:type="dxa"/>
              <w:bottom w:w="40" w:type="dxa"/>
              <w:left w:w="60" w:type="dxa"/>
              <w:right w:w="60" w:type="dxa"/>
            </w:tcMar>
          </w:tcPr>
          <w:p>
            <w:pPr>
              <w:spacing w:after="20"/>
            </w:pPr>
            <w:r>
              <w:rPr>
                <w:rFonts w:ascii="Times New Roman" w:hAnsi="Times New Roman"/>
                <w:b/>
                <w:i w:val="0"/>
                <w:sz w:val="19"/>
              </w:rPr>
              <w:t>R_sham</w:t>
            </w:r>
          </w:p>
        </w:tc>
        <w:tc>
          <w:tcPr>
            <w:tcW w:type="dxa" w:w="6480"/>
            <w:tcMar>
              <w:top w:w="40" w:type="dxa"/>
              <w:bottom w:w="40" w:type="dxa"/>
              <w:left w:w="60" w:type="dxa"/>
              <w:right w:w="60" w:type="dxa"/>
            </w:tcMar>
          </w:tcPr>
          <w:p>
            <w:pPr>
              <w:spacing w:after="20"/>
            </w:pPr>
            <w:r>
              <w:rPr>
                <w:rFonts w:ascii="Times New Roman" w:hAnsi="Times New Roman"/>
                <w:b w:val="0"/>
                <w:i w:val="0"/>
                <w:sz w:val="19"/>
              </w:rPr>
              <w:t>Area- and contour-matched contralateral normal tissue control</w:t>
            </w:r>
          </w:p>
        </w:tc>
      </w:tr>
      <w:tr>
        <w:tc>
          <w:tcPr>
            <w:tcW w:type="dxa" w:w="2592"/>
            <w:tcMar>
              <w:top w:w="40" w:type="dxa"/>
              <w:bottom w:w="40" w:type="dxa"/>
              <w:left w:w="60" w:type="dxa"/>
              <w:right w:w="60" w:type="dxa"/>
            </w:tcMar>
          </w:tcPr>
          <w:p>
            <w:pPr>
              <w:spacing w:after="20"/>
            </w:pPr>
            <w:r>
              <w:rPr>
                <w:rFonts w:ascii="Times New Roman" w:hAnsi="Times New Roman"/>
                <w:b/>
                <w:i w:val="0"/>
                <w:sz w:val="19"/>
              </w:rPr>
              <w:t>Delta_r</w:t>
            </w:r>
          </w:p>
        </w:tc>
        <w:tc>
          <w:tcPr>
            <w:tcW w:type="dxa" w:w="6480"/>
            <w:tcMar>
              <w:top w:w="40" w:type="dxa"/>
              <w:bottom w:w="40" w:type="dxa"/>
              <w:left w:w="60" w:type="dxa"/>
              <w:right w:w="60" w:type="dxa"/>
            </w:tcMar>
          </w:tcPr>
          <w:p>
            <w:pPr>
              <w:spacing w:after="20"/>
            </w:pPr>
            <w:r>
              <w:rPr>
                <w:rFonts w:ascii="Times New Roman" w:hAnsi="Times New Roman"/>
                <w:b w:val="0"/>
                <w:i w:val="0"/>
                <w:sz w:val="19"/>
              </w:rPr>
              <w:t>Raw evidence drop for region r: p_y(x) - p_y(x_edit, r)</w:t>
            </w:r>
          </w:p>
        </w:tc>
      </w:tr>
      <w:tr>
        <w:tc>
          <w:tcPr>
            <w:tcW w:type="dxa" w:w="2592"/>
            <w:tcMar>
              <w:top w:w="40" w:type="dxa"/>
              <w:bottom w:w="40" w:type="dxa"/>
              <w:left w:w="60" w:type="dxa"/>
              <w:right w:w="60" w:type="dxa"/>
            </w:tcMar>
          </w:tcPr>
          <w:p>
            <w:pPr>
              <w:spacing w:after="20"/>
            </w:pPr>
            <w:r>
              <w:rPr>
                <w:rFonts w:ascii="Times New Roman" w:hAnsi="Times New Roman"/>
                <w:b/>
                <w:i w:val="0"/>
                <w:sz w:val="19"/>
              </w:rPr>
              <w:t>tau_r</w:t>
            </w:r>
          </w:p>
        </w:tc>
        <w:tc>
          <w:tcPr>
            <w:tcW w:type="dxa" w:w="6480"/>
            <w:tcMar>
              <w:top w:w="40" w:type="dxa"/>
              <w:bottom w:w="40" w:type="dxa"/>
              <w:left w:w="60" w:type="dxa"/>
              <w:right w:w="60" w:type="dxa"/>
            </w:tcMar>
          </w:tcPr>
          <w:p>
            <w:pPr>
              <w:spacing w:after="20"/>
            </w:pPr>
            <w:r>
              <w:rPr>
                <w:rFonts w:ascii="Times New Roman" w:hAnsi="Times New Roman"/>
                <w:b w:val="0"/>
                <w:i w:val="0"/>
                <w:sz w:val="19"/>
              </w:rPr>
              <w:t>Sham-corrected causal sensitivity: Delta_r(x) - Delta_sham(x)</w:t>
            </w:r>
          </w:p>
        </w:tc>
      </w:tr>
      <w:tr>
        <w:tc>
          <w:tcPr>
            <w:tcW w:type="dxa" w:w="2592"/>
            <w:tcMar>
              <w:top w:w="40" w:type="dxa"/>
              <w:bottom w:w="40" w:type="dxa"/>
              <w:left w:w="60" w:type="dxa"/>
              <w:right w:w="60" w:type="dxa"/>
            </w:tcMar>
          </w:tcPr>
          <w:p>
            <w:pPr>
              <w:spacing w:after="20"/>
            </w:pPr>
            <w:r>
              <w:rPr>
                <w:rFonts w:ascii="Times New Roman" w:hAnsi="Times New Roman"/>
                <w:b/>
                <w:i w:val="0"/>
                <w:sz w:val="19"/>
              </w:rPr>
              <w:t>d_z</w:t>
            </w:r>
          </w:p>
        </w:tc>
        <w:tc>
          <w:tcPr>
            <w:tcW w:type="dxa" w:w="6480"/>
            <w:tcMar>
              <w:top w:w="40" w:type="dxa"/>
              <w:bottom w:w="40" w:type="dxa"/>
              <w:left w:w="60" w:type="dxa"/>
              <w:right w:w="60" w:type="dxa"/>
            </w:tcMar>
          </w:tcPr>
          <w:p>
            <w:pPr>
              <w:spacing w:after="20"/>
            </w:pPr>
            <w:r>
              <w:rPr>
                <w:rFonts w:ascii="Times New Roman" w:hAnsi="Times New Roman"/>
                <w:b w:val="0"/>
                <w:i w:val="0"/>
                <w:sz w:val="19"/>
              </w:rPr>
              <w:t>Cohen's effect size for paired samples</w:t>
            </w:r>
          </w:p>
        </w:tc>
      </w:tr>
    </w:tbl>
    <w:p>
      <w:pPr>
        <w:keepNext/>
        <w:spacing w:before="280" w:after="80"/>
      </w:pPr>
      <w:r>
        <w:rPr>
          <w:rFonts w:ascii="Times New Roman" w:hAnsi="Times New Roman"/>
          <w:b/>
          <w:i w:val="0"/>
          <w:color w:val="0F2D59"/>
          <w:sz w:val="28"/>
        </w:rPr>
        <w:t>1  Introduction</w:t>
      </w:r>
    </w:p>
    <w:p>
      <w:pPr>
        <w:spacing w:after="120" w:line="276" w:lineRule="auto"/>
        <w:jc w:val="both"/>
      </w:pPr>
      <w:r>
        <w:rPr>
          <w:rFonts w:ascii="Times New Roman" w:hAnsi="Times New Roman"/>
          <w:b w:val="0"/>
          <w:i w:val="0"/>
          <w:sz w:val="22"/>
        </w:rPr>
        <w:t>Automated classification of primary intracranial neoplasms from contrast-enhanced magnetic resonance imaging (CE-MRI) represents a foundational milestone in computer-aided neuro-oncology. Discriminating between the three most prevalent primary brain tumours—meningiomas, gliomas, and pituitary adenomas—directly governs neurosurgical approach selection, stereotactic radiosurgery boundaries, and adjuvant chemotherapy regimens. Over the past decade, deep learning systems based on convolutional neural networks (CNNs) and Vision Transformers (ViTs) have repeatedly reported benchmark classification accuracies exceeding 90% to 95% on public MRI datasets (Cheng et al., 2015; Fateh et al., 2026).</w:t>
      </w:r>
    </w:p>
    <w:p>
      <w:pPr>
        <w:spacing w:after="120" w:line="276" w:lineRule="auto"/>
        <w:jc w:val="both"/>
      </w:pPr>
      <w:r>
        <w:rPr>
          <w:rFonts w:ascii="Times New Roman" w:hAnsi="Times New Roman"/>
          <w:b w:val="0"/>
          <w:i w:val="0"/>
          <w:sz w:val="22"/>
        </w:rPr>
        <w:t>Despite these impressive nominal scores, translational deployment of medical imaging AI into clinical radiology workflows remains severely impeded by vulnerability to shortcut learning and the "Clever Hans" effect (Geirhos et al., 2020; Wallis and Buvat, 2022). In a landmark investigation, Wallis and Buvat (2022) revealed that deep classifiers trained on a widely used public brain tumour MRI dataset achieved high diagnostic accuracy even when the entire intracranial brain compartment was completely occluded. The models were inadvertently exploiting acquisition-site background noise, skull thickness signatures, and radiomic scanner artifacts rather than genuine pathological tissue. Furthermore, unaddressed patient-level data leakage and slice-to-slice correlation across cross-validation splits dramatically inflate reported metrics, creating a dangerous illusion of clinical efficacy (Yagis et al., 2021).</w:t>
      </w:r>
    </w:p>
    <w:p>
      <w:pPr>
        <w:spacing w:after="120" w:line="276" w:lineRule="auto"/>
        <w:jc w:val="both"/>
      </w:pPr>
      <w:r>
        <w:rPr>
          <w:rFonts w:ascii="Times New Roman" w:hAnsi="Times New Roman"/>
          <w:b w:val="0"/>
          <w:i w:val="0"/>
          <w:sz w:val="22"/>
        </w:rPr>
        <w:t>Existing methodologies for auditing spatial reliance suffer from two primary scientific limitations: (1) Standard occlusion studies predominantly replace entire cerebral hemispheres or rectangular tiles with zero-intensity black patches or uniform noise (Rossi et al., 2024; Sourget et al., 2025), which induces severe out-of-distribution (OOD) shift and fails to resolve whether the model utilizes the core lesion, the peritumoral boundary zone, or adjacent healthy tissue; (2) Prior studies lack matched sham controls. Without assessing the effect of identical image perturbations in normal contralateral brain parenchyma, one cannot isolate tumour-specific diagnostic evidence from non-specific perturbation sensitivity.</w:t>
      </w:r>
    </w:p>
    <w:p>
      <w:pPr>
        <w:spacing w:after="120" w:line="276" w:lineRule="auto"/>
        <w:jc w:val="both"/>
      </w:pPr>
      <w:r>
        <w:rPr>
          <w:rFonts w:ascii="Times New Roman" w:hAnsi="Times New Roman"/>
          <w:b w:val="0"/>
          <w:i w:val="0"/>
          <w:sz w:val="22"/>
        </w:rPr>
        <w:t>To resolve these challenges, we design and execute a literature-informed, sham-controlled, plane-stratified counterfactual audit across CNN (ResNet-50) and Vision Transformer (DeiT-Small/16) architectures. We investigate three central scientific hypotheses: (Hypothesis 1) Model prediction sensitivity decays monotonically as interventions move from the tumour core through the immediate and outer peritumoral margins into remote normal parenchyma, with remote perturbations producing negligible shifts indistinguishable from sham controls; (Hypothesis 2) Vision Transformers exhibit greater intra-lesion core reliance and superior probability calibration compared to CNNs; (Hypothesis 3) Regional sensitivity rankings are invariant to inpainting method and slice plane, but official benchmark evaluations are substantially distorted by undocumented duplicate leakage.</w:t>
      </w:r>
    </w:p>
    <w:p>
      <w:pPr>
        <w:keepNext/>
        <w:spacing w:before="280" w:after="80"/>
      </w:pPr>
      <w:r>
        <w:rPr>
          <w:rFonts w:ascii="Times New Roman" w:hAnsi="Times New Roman"/>
          <w:b/>
          <w:i w:val="0"/>
          <w:color w:val="0F2D59"/>
          <w:sz w:val="28"/>
        </w:rPr>
        <w:t>2  Related Work</w:t>
      </w:r>
    </w:p>
    <w:p>
      <w:pPr>
        <w:keepNext/>
        <w:spacing w:before="200" w:after="80"/>
      </w:pPr>
      <w:r>
        <w:rPr>
          <w:rFonts w:ascii="Times New Roman" w:hAnsi="Times New Roman"/>
          <w:b/>
          <w:i w:val="0"/>
          <w:color w:val="1E3A8A"/>
          <w:sz w:val="24"/>
        </w:rPr>
        <w:t>2.1  Shortcut Learning in Medical Image Analysis</w:t>
      </w:r>
    </w:p>
    <w:p>
      <w:pPr>
        <w:spacing w:after="120" w:line="276" w:lineRule="auto"/>
        <w:jc w:val="both"/>
      </w:pPr>
      <w:r>
        <w:rPr>
          <w:rFonts w:ascii="Times New Roman" w:hAnsi="Times New Roman"/>
          <w:b w:val="0"/>
          <w:i w:val="0"/>
          <w:sz w:val="22"/>
        </w:rPr>
        <w:t>Shortcut learning occurs when machine learning models achieve high nominal accuracy by exploiting spurious decision rules that fail under distributional shift (Geirhos et al., 2020). In radiographic COVID-19 detection, DeGrave et al. (2021) demonstrated that deep networks relied heavily on hospital-specific radiopaque markers and scanner-bed textures rather than pulmonary consolidations. In neuro-oncology, Wallis and Buvat (2022) proved that skull and background features alone supported high classification accuracy, demonstrating that benchmark performance on public MRI datasets cannot be accepted without region-resolved attribution audits.</w:t>
      </w:r>
    </w:p>
    <w:p>
      <w:pPr>
        <w:keepNext/>
        <w:spacing w:before="200" w:after="80"/>
      </w:pPr>
      <w:r>
        <w:rPr>
          <w:rFonts w:ascii="Times New Roman" w:hAnsi="Times New Roman"/>
          <w:b/>
          <w:i w:val="0"/>
          <w:color w:val="1E3A8A"/>
          <w:sz w:val="24"/>
        </w:rPr>
        <w:t>2.2  Spatial Interventions and Counterfactual Attribution</w:t>
      </w:r>
    </w:p>
    <w:p>
      <w:pPr>
        <w:spacing w:after="120" w:line="276" w:lineRule="auto"/>
        <w:jc w:val="both"/>
      </w:pPr>
      <w:r>
        <w:rPr>
          <w:rFonts w:ascii="Times New Roman" w:hAnsi="Times New Roman"/>
          <w:b w:val="0"/>
          <w:i w:val="0"/>
          <w:sz w:val="22"/>
        </w:rPr>
        <w:t>Attribution by input perturbation has evolved from simple occlusion sensitivity to generative counterfactuals. Goyal et al. (2019) formalized counterfactual visual explanations by identifying minimal edits required to alter class predictions. Rossi et al. (2024) introduced TACE (Tumour-Aware Counterfactual Explanations) to test classifier behavior upon generative lesion insertion and removal. Sourget et al. (2025) explored region-targeted feature removal in neuro-oncology. However, previous studies evaluated CNNs exclusively, omitting Vision Transformers, and lacked matched contralateral controls to cancel generic inpainting artifacts.</w:t>
      </w:r>
    </w:p>
    <w:p>
      <w:pPr>
        <w:keepNext/>
        <w:spacing w:before="200" w:after="80"/>
      </w:pPr>
      <w:r>
        <w:rPr>
          <w:rFonts w:ascii="Times New Roman" w:hAnsi="Times New Roman"/>
          <w:b/>
          <w:i w:val="0"/>
          <w:color w:val="1E3A8A"/>
          <w:sz w:val="24"/>
        </w:rPr>
        <w:t>2.3  Brain-Tumour MRI Classification &amp; Benchmark Leakage Audits</w:t>
      </w:r>
    </w:p>
    <w:p>
      <w:pPr>
        <w:spacing w:after="120" w:line="276" w:lineRule="auto"/>
        <w:jc w:val="both"/>
      </w:pPr>
      <w:r>
        <w:rPr>
          <w:rFonts w:ascii="Times New Roman" w:hAnsi="Times New Roman"/>
          <w:b w:val="0"/>
          <w:i w:val="0"/>
          <w:sz w:val="22"/>
        </w:rPr>
        <w:t>The brain tumour dataset published by Cheng et al. (2015) (N = 3,064 slices) has served as the primary benchmark for over a decade. Recently, Fateh et al. (2026) introduced the BRISC benchmark (N = 6,000 multi-plane slices). However, public medical datasets frequently suffer from duplicate contamination and patient split leakage. As demonstrated by Yagis et al. (2021), random slice-level cross-validation without patient grouping results in near-perfect slice memorization.</w:t>
      </w:r>
    </w:p>
    <w:p>
      <w:pPr>
        <w:keepNext/>
        <w:spacing w:before="280" w:after="80"/>
      </w:pPr>
      <w:r>
        <w:rPr>
          <w:rFonts w:ascii="Times New Roman" w:hAnsi="Times New Roman"/>
          <w:b/>
          <w:i w:val="0"/>
          <w:color w:val="0F2D59"/>
          <w:sz w:val="28"/>
        </w:rPr>
        <w:t>3  Methods</w:t>
      </w:r>
    </w:p>
    <w:p>
      <w:pPr>
        <w:keepNext/>
        <w:spacing w:before="200" w:after="80"/>
      </w:pPr>
      <w:r>
        <w:rPr>
          <w:rFonts w:ascii="Times New Roman" w:hAnsi="Times New Roman"/>
          <w:b/>
          <w:i w:val="0"/>
          <w:color w:val="1E3A8A"/>
          <w:sz w:val="24"/>
        </w:rPr>
        <w:t>3.1  Datasets and Patient Provenance</w:t>
      </w:r>
    </w:p>
    <w:p>
      <w:pPr>
        <w:spacing w:after="120" w:line="276" w:lineRule="auto"/>
        <w:jc w:val="both"/>
      </w:pPr>
      <w:r>
        <w:rPr>
          <w:rFonts w:ascii="Times New Roman" w:hAnsi="Times New Roman"/>
          <w:b w:val="0"/>
          <w:i w:val="0"/>
          <w:sz w:val="22"/>
        </w:rPr>
        <w:t>We evaluated two contrast-enhanced T1-weighted brain MRI datasets: (1) The Cheng Dataset (Cheng et al., 2015): 3,064 CE-T1 slices from 233 unique patients acquired across three tumour classes: 708 meningiomas, 1,426 gliomas, and 930 pituitary adenomas, with radiologist-delineated tumour boundary contours; (2) The BRISC Dataset (Fateh et al., 2026): 6,000 skull-stripped CE-MRI slices partitioned into an official training set (N = 5,000) and test set (N = 1,000) across 4 classes: glioma, meningioma, pituitary tumour, and no-tumour controls, imaged in Axial, Coronal, and Sagittal planes. Usable segmentation masks are available for 860 test neoplasm slices.</w:t>
      </w:r>
    </w:p>
    <w:p>
      <w:pPr>
        <w:keepNext/>
        <w:spacing w:before="200" w:after="80"/>
      </w:pPr>
      <w:r>
        <w:rPr>
          <w:rFonts w:ascii="Times New Roman" w:hAnsi="Times New Roman"/>
          <w:b/>
          <w:i w:val="0"/>
          <w:color w:val="1E3A8A"/>
          <w:sz w:val="24"/>
        </w:rPr>
        <w:t>3.2  Duplicate Audit and Split Policy</w:t>
      </w:r>
    </w:p>
    <w:p>
      <w:pPr>
        <w:spacing w:after="120" w:line="276" w:lineRule="auto"/>
        <w:jc w:val="both"/>
      </w:pPr>
      <w:r>
        <w:rPr>
          <w:rFonts w:ascii="Times New Roman" w:hAnsi="Times New Roman"/>
          <w:b w:val="0"/>
          <w:i w:val="0"/>
          <w:sz w:val="22"/>
        </w:rPr>
        <w:t>To prevent patient-level memorization leakage (Yagis et al., 2021), a 5-fold cross-validation split was established on Cheng using StratifiedGroupKFold on patient ID. Automated set intersection verified zero patient overlap across folds. On BRISC, exhaustive perceptual hashing (pHash, dHash, aHash) revealed 159 exact duplicate pairs (278 unique images), with 110 pairs crossing the official train-test boundary. Exactly 101 test slices (10.1% of the official test set) are byte-identical copies of training images (96 meningiomas). We established the BRISC Clean Test Set (N = 899; 759 mask-supported clean slices) and a clean validation split (N = 1,001 val, N = 3,999 train) with zero train-validation leakage. Deduplication screening between Cheng and BRISC confirmed 0 exact duplicate pairs and SSIM values &lt; 0.58.</w:t>
      </w:r>
    </w:p>
    <w:p>
      <w:pPr>
        <w:keepNext/>
        <w:spacing w:before="200" w:after="80"/>
      </w:pPr>
      <w:r>
        <w:rPr>
          <w:rFonts w:ascii="Times New Roman" w:hAnsi="Times New Roman"/>
          <w:b/>
          <w:i w:val="0"/>
          <w:color w:val="1E3A8A"/>
          <w:sz w:val="24"/>
        </w:rPr>
        <w:t>3.3  Image Preprocessing and Mask Invariant Geometry</w:t>
      </w:r>
    </w:p>
    <w:p>
      <w:pPr>
        <w:spacing w:after="120" w:line="276" w:lineRule="auto"/>
        <w:jc w:val="both"/>
      </w:pPr>
      <w:r>
        <w:rPr>
          <w:rFonts w:ascii="Times New Roman" w:hAnsi="Times New Roman"/>
          <w:b w:val="0"/>
          <w:i w:val="0"/>
          <w:sz w:val="22"/>
        </w:rPr>
        <w:t>All slices were standardized through an audited pipeline: (1) Robust percentile intensity clamping mapped intracranial tissue to [0.0, 1.0]; (2) Aspect-ratio-preserving letterbox padding to 224 x 224 with nearest-neighbor mask interpolation, guaranteeing zero mask loss and centroid drift &lt; 0.0035; (3) ImageNet standardization. Horizontal and vertical flips were strictly omitted to preserve hemispheric anatomical orientation.</w:t>
      </w:r>
    </w:p>
    <w:p>
      <w:pPr>
        <w:keepNext/>
        <w:spacing w:before="200" w:after="80"/>
      </w:pPr>
      <w:r>
        <w:rPr>
          <w:rFonts w:ascii="Times New Roman" w:hAnsi="Times New Roman"/>
          <w:b/>
          <w:i w:val="0"/>
          <w:color w:val="1E3A8A"/>
          <w:sz w:val="24"/>
        </w:rPr>
        <w:t>3.4  Model Architectures and Training Protocols</w:t>
      </w:r>
    </w:p>
    <w:p>
      <w:pPr>
        <w:spacing w:after="120" w:line="276" w:lineRule="auto"/>
        <w:jc w:val="both"/>
      </w:pPr>
      <w:r>
        <w:rPr>
          <w:rFonts w:ascii="Times New Roman" w:hAnsi="Times New Roman"/>
          <w:b w:val="0"/>
          <w:i w:val="0"/>
          <w:sz w:val="22"/>
        </w:rPr>
        <w:t>We evaluated two representative architectures: (1) ResNet-50 (CNN, 23.51M parameters) with IMAGENET1K_V2 pretrained weights; (2) DeiT-Small/16 (ViT, 21.66M parameters) operating on 16 x 16 patches with global self-attention across 12 transformer layers. Models were trained with AdamW (weight decay = 0.01), cosine annealing with linear warmup, and cross-entropy loss.</w:t>
      </w:r>
    </w:p>
    <w:p>
      <w:pPr>
        <w:keepNext/>
        <w:spacing w:before="200" w:after="80"/>
      </w:pPr>
      <w:r>
        <w:rPr>
          <w:rFonts w:ascii="Times New Roman" w:hAnsi="Times New Roman"/>
          <w:b/>
          <w:i w:val="0"/>
          <w:color w:val="1E3A8A"/>
          <w:sz w:val="24"/>
        </w:rPr>
        <w:t>3.5  Five-Region Topological Decomposition</w:t>
      </w:r>
    </w:p>
    <w:p>
      <w:pPr>
        <w:spacing w:after="120" w:line="276" w:lineRule="auto"/>
        <w:jc w:val="both"/>
      </w:pPr>
      <w:r>
        <w:rPr>
          <w:rFonts w:ascii="Times New Roman" w:hAnsi="Times New Roman"/>
          <w:b w:val="0"/>
          <w:i w:val="0"/>
          <w:sz w:val="22"/>
        </w:rPr>
        <w:t>For each test slice with lesion mask M and brain tissue support S, we engineered five mutually exclusive regions: (1) Tumour Core R_core = M; (2) Immediate Margin R_immediate = (M (+) K_4 \ M) cap S (4-pixel dilation ring); (3) Outer Margin R_outer = (M (+) K_16 \ (M (+) K_4)) cap S (12-pixel ring); (4) Remote Context R_remote: normal tissue patch &gt; 32 px away; (5) Matched Contralateral Sham Control R_sham: area- and contour-matched normal parenchyma control in the opposite hemisphere.</w:t>
      </w:r>
    </w:p>
    <w:p>
      <w:pPr>
        <w:keepNext/>
        <w:spacing w:before="200" w:after="80"/>
      </w:pPr>
      <w:r>
        <w:rPr>
          <w:rFonts w:ascii="Times New Roman" w:hAnsi="Times New Roman"/>
          <w:b/>
          <w:i w:val="0"/>
          <w:color w:val="1E3A8A"/>
          <w:sz w:val="24"/>
        </w:rPr>
        <w:t>3.6  Dual Perturbation Methods and Non-Target Invariance</w:t>
      </w:r>
    </w:p>
    <w:p>
      <w:pPr>
        <w:spacing w:after="120" w:line="276" w:lineRule="auto"/>
        <w:jc w:val="both"/>
      </w:pPr>
      <w:r>
        <w:rPr>
          <w:rFonts w:ascii="Times New Roman" w:hAnsi="Times New Roman"/>
          <w:b w:val="0"/>
          <w:i w:val="0"/>
          <w:sz w:val="22"/>
        </w:rPr>
        <w:t>Two distinct perturbation algorithms were deployed: Method A (Telea boundary PDE inpainting) solving the Fast Marching Method inward, and Method B (locally matched Gaussian texture filling) matching local surrounding tissue statistics with a 2-pixel cosine border taper. Both methods strictly enforced bitwise non-target pixel invariance (|Delta| &lt; 10^-5 outside the target mask).</w:t>
      </w:r>
    </w:p>
    <w:p>
      <w:pPr>
        <w:keepNext/>
        <w:spacing w:before="200" w:after="80"/>
      </w:pPr>
      <w:r>
        <w:rPr>
          <w:rFonts w:ascii="Times New Roman" w:hAnsi="Times New Roman"/>
          <w:b/>
          <w:i w:val="0"/>
          <w:color w:val="1E3A8A"/>
          <w:sz w:val="24"/>
        </w:rPr>
        <w:t>3.7  Sensitivity Estimands and Statistical Inference</w:t>
      </w:r>
    </w:p>
    <w:p>
      <w:pPr>
        <w:spacing w:after="120" w:line="276" w:lineRule="auto"/>
        <w:jc w:val="both"/>
      </w:pPr>
      <w:r>
        <w:rPr>
          <w:rFonts w:ascii="Times New Roman" w:hAnsi="Times New Roman"/>
          <w:b w:val="0"/>
          <w:i w:val="0"/>
          <w:sz w:val="22"/>
        </w:rPr>
        <w:t>For each slice x and class y, we extracted baseline probability p_y(x) and edited probability p_y(x_edit, r). We computed: Raw Evidence Drop Delta_r(x) = p_y(x) - p_y(x_edit, r); Sham-Corrected Causal Sensitivity tau_r(x) = Delta_r(x) - Delta_sham(x); and Prediction Flip Indicator F_r(x). Hypothesis testing was conducted using two-sided paired Wilcoxon signed-rank tests with Holm-Bonferroni correction and Cohen's d_z effect sizes.</w:t>
      </w:r>
    </w:p>
    <w:p>
      <w:pPr>
        <w:keepNext/>
        <w:spacing w:before="280" w:after="80"/>
      </w:pPr>
      <w:r>
        <w:rPr>
          <w:rFonts w:ascii="Times New Roman" w:hAnsi="Times New Roman"/>
          <w:b/>
          <w:i w:val="0"/>
          <w:color w:val="0F2D59"/>
          <w:sz w:val="28"/>
        </w:rPr>
        <w:t>4  Experimental Setup and Results</w:t>
      </w:r>
    </w:p>
    <w:p>
      <w:pPr>
        <w:keepNext/>
        <w:spacing w:before="200" w:after="80"/>
      </w:pPr>
      <w:r>
        <w:rPr>
          <w:rFonts w:ascii="Times New Roman" w:hAnsi="Times New Roman"/>
          <w:b/>
          <w:i w:val="0"/>
          <w:color w:val="1E3A8A"/>
          <w:sz w:val="24"/>
        </w:rPr>
        <w:t>4.1  Baseline Classification Performance and Calibration</w:t>
      </w:r>
    </w:p>
    <w:p>
      <w:pPr>
        <w:spacing w:after="120" w:line="276" w:lineRule="auto"/>
        <w:jc w:val="both"/>
      </w:pPr>
      <w:r>
        <w:rPr>
          <w:rFonts w:ascii="Times New Roman" w:hAnsi="Times New Roman"/>
          <w:b w:val="0"/>
          <w:i w:val="0"/>
          <w:sz w:val="22"/>
        </w:rPr>
        <w:t>Baseline models demonstrated strong generalization across both benchmarks (Table 1). DeiT-Small consistently outperformed ResNet-50 in macro-F1 (Cheng: 0.8403 vs 0.7190; BRISC Clean: 0.5999 vs 0.4181) and probability calibration. On Cheng, DeiT-Small achieved an Expected Calibration Error (ECE) of 0.0366 compared to 0.1835 for ResNet-50.</w:t>
      </w:r>
    </w:p>
    <w:p>
      <w:pPr>
        <w:spacing w:before="160" w:after="60"/>
      </w:pPr>
      <w:r>
        <w:rPr>
          <w:rFonts w:ascii="Times New Roman" w:hAnsi="Times New Roman"/>
          <w:b/>
          <w:i w:val="0"/>
          <w:sz w:val="20"/>
        </w:rPr>
        <w:t>Table 1: Baseline Classification Performance and Probability Calibration.</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129"/>
        <w:gridCol w:w="1129"/>
        <w:gridCol w:w="1129"/>
        <w:gridCol w:w="1129"/>
        <w:gridCol w:w="1129"/>
        <w:gridCol w:w="1129"/>
        <w:gridCol w:w="1129"/>
        <w:gridCol w:w="1129"/>
      </w:tblGrid>
      <w:tr>
        <w:tc>
          <w:tcPr>
            <w:tcW w:type="dxa" w:w="1129"/>
            <w:shd w:fill="1E3A8A"/>
            <w:tcMar>
              <w:top w:w="50" w:type="dxa"/>
              <w:bottom w:w="50" w:type="dxa"/>
              <w:left w:w="60" w:type="dxa"/>
              <w:right w:w="60" w:type="dxa"/>
            </w:tcMar>
          </w:tcPr>
          <w:p>
            <w:pPr>
              <w:spacing w:after="20"/>
              <w:jc w:val="left"/>
            </w:pPr>
            <w:r>
              <w:rPr>
                <w:rFonts w:ascii="Times New Roman" w:hAnsi="Times New Roman"/>
                <w:b/>
                <w:i w:val="0"/>
                <w:color w:val="FFFFFF"/>
                <w:sz w:val="17"/>
              </w:rPr>
              <w:t>Dataset</w:t>
            </w:r>
          </w:p>
        </w:tc>
        <w:tc>
          <w:tcPr>
            <w:tcW w:type="dxa" w:w="1129"/>
            <w:shd w:fill="1E3A8A"/>
            <w:tcMar>
              <w:top w:w="50" w:type="dxa"/>
              <w:bottom w:w="50" w:type="dxa"/>
              <w:left w:w="60" w:type="dxa"/>
              <w:right w:w="60" w:type="dxa"/>
            </w:tcMar>
          </w:tcPr>
          <w:p>
            <w:pPr>
              <w:spacing w:after="20"/>
              <w:jc w:val="left"/>
            </w:pPr>
            <w:r>
              <w:rPr>
                <w:rFonts w:ascii="Times New Roman" w:hAnsi="Times New Roman"/>
                <w:b/>
                <w:i w:val="0"/>
                <w:color w:val="FFFFFF"/>
                <w:sz w:val="17"/>
              </w:rPr>
              <w:t>Model Architecture</w:t>
            </w:r>
          </w:p>
        </w:tc>
        <w:tc>
          <w:tcPr>
            <w:tcW w:type="dxa" w:w="1129"/>
            <w:shd w:fill="1E3A8A"/>
            <w:tcMar>
              <w:top w:w="50" w:type="dxa"/>
              <w:bottom w:w="50" w:type="dxa"/>
              <w:left w:w="60" w:type="dxa"/>
              <w:right w:w="60" w:type="dxa"/>
            </w:tcMar>
          </w:tcPr>
          <w:p>
            <w:pPr>
              <w:spacing w:after="20"/>
              <w:jc w:val="left"/>
            </w:pPr>
            <w:r>
              <w:rPr>
                <w:rFonts w:ascii="Times New Roman" w:hAnsi="Times New Roman"/>
                <w:b/>
                <w:i w:val="0"/>
                <w:color w:val="FFFFFF"/>
                <w:sz w:val="17"/>
              </w:rPr>
              <w:t>Evaluation Partition</w:t>
            </w:r>
          </w:p>
        </w:tc>
        <w:tc>
          <w:tcPr>
            <w:tcW w:type="dxa" w:w="1129"/>
            <w:shd w:fill="1E3A8A"/>
            <w:tcMar>
              <w:top w:w="50" w:type="dxa"/>
              <w:bottom w:w="50" w:type="dxa"/>
              <w:left w:w="60" w:type="dxa"/>
              <w:right w:w="60" w:type="dxa"/>
            </w:tcMar>
          </w:tcPr>
          <w:p>
            <w:pPr>
              <w:spacing w:after="20"/>
              <w:jc w:val="center"/>
            </w:pPr>
            <w:r>
              <w:rPr>
                <w:rFonts w:ascii="Times New Roman" w:hAnsi="Times New Roman"/>
                <w:b/>
                <w:i w:val="0"/>
                <w:color w:val="FFFFFF"/>
                <w:sz w:val="17"/>
              </w:rPr>
              <w:t>Accuracy</w:t>
            </w:r>
          </w:p>
        </w:tc>
        <w:tc>
          <w:tcPr>
            <w:tcW w:type="dxa" w:w="1129"/>
            <w:shd w:fill="1E3A8A"/>
            <w:tcMar>
              <w:top w:w="50" w:type="dxa"/>
              <w:bottom w:w="50" w:type="dxa"/>
              <w:left w:w="60" w:type="dxa"/>
              <w:right w:w="60" w:type="dxa"/>
            </w:tcMar>
          </w:tcPr>
          <w:p>
            <w:pPr>
              <w:spacing w:after="20"/>
              <w:jc w:val="center"/>
            </w:pPr>
            <w:r>
              <w:rPr>
                <w:rFonts w:ascii="Times New Roman" w:hAnsi="Times New Roman"/>
                <w:b/>
                <w:i w:val="0"/>
                <w:color w:val="FFFFFF"/>
                <w:sz w:val="17"/>
              </w:rPr>
              <w:t>Balanced Acc</w:t>
            </w:r>
          </w:p>
        </w:tc>
        <w:tc>
          <w:tcPr>
            <w:tcW w:type="dxa" w:w="1129"/>
            <w:shd w:fill="1E3A8A"/>
            <w:tcMar>
              <w:top w:w="50" w:type="dxa"/>
              <w:bottom w:w="50" w:type="dxa"/>
              <w:left w:w="60" w:type="dxa"/>
              <w:right w:w="60" w:type="dxa"/>
            </w:tcMar>
          </w:tcPr>
          <w:p>
            <w:pPr>
              <w:spacing w:after="20"/>
              <w:jc w:val="center"/>
            </w:pPr>
            <w:r>
              <w:rPr>
                <w:rFonts w:ascii="Times New Roman" w:hAnsi="Times New Roman"/>
                <w:b/>
                <w:i w:val="0"/>
                <w:color w:val="FFFFFF"/>
                <w:sz w:val="17"/>
              </w:rPr>
              <w:t>Macro-F1</w:t>
            </w:r>
          </w:p>
        </w:tc>
        <w:tc>
          <w:tcPr>
            <w:tcW w:type="dxa" w:w="1129"/>
            <w:shd w:fill="1E3A8A"/>
            <w:tcMar>
              <w:top w:w="50" w:type="dxa"/>
              <w:bottom w:w="50" w:type="dxa"/>
              <w:left w:w="60" w:type="dxa"/>
              <w:right w:w="60" w:type="dxa"/>
            </w:tcMar>
          </w:tcPr>
          <w:p>
            <w:pPr>
              <w:spacing w:after="20"/>
              <w:jc w:val="center"/>
            </w:pPr>
            <w:r>
              <w:rPr>
                <w:rFonts w:ascii="Times New Roman" w:hAnsi="Times New Roman"/>
                <w:b/>
                <w:i w:val="0"/>
                <w:color w:val="FFFFFF"/>
                <w:sz w:val="17"/>
              </w:rPr>
              <w:t>ECE</w:t>
            </w:r>
          </w:p>
        </w:tc>
        <w:tc>
          <w:tcPr>
            <w:tcW w:type="dxa" w:w="1129"/>
            <w:shd w:fill="1E3A8A"/>
            <w:tcMar>
              <w:top w:w="50" w:type="dxa"/>
              <w:bottom w:w="50" w:type="dxa"/>
              <w:left w:w="60" w:type="dxa"/>
              <w:right w:w="60" w:type="dxa"/>
            </w:tcMar>
          </w:tcPr>
          <w:p>
            <w:pPr>
              <w:spacing w:after="20"/>
              <w:jc w:val="center"/>
            </w:pPr>
            <w:r>
              <w:rPr>
                <w:rFonts w:ascii="Times New Roman" w:hAnsi="Times New Roman"/>
                <w:b/>
                <w:i w:val="0"/>
                <w:color w:val="FFFFFF"/>
                <w:sz w:val="17"/>
              </w:rPr>
              <w:t>Brier Score</w:t>
            </w:r>
          </w:p>
        </w:tc>
      </w:tr>
      <w:tr>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Cheng</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ResNet-50 (CNN)</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Patient OOF (N=480)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0.7583</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0.7448</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0.7190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0.1835</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0.3692</w:t>
            </w:r>
          </w:p>
        </w:tc>
      </w:tr>
      <w:tr>
        <w:tc>
          <w:tcPr>
            <w:tcW w:type="dxa" w:w="1129"/>
            <w:tcMar>
              <w:top w:w="50" w:type="dxa"/>
              <w:bottom w:w="50" w:type="dxa"/>
              <w:left w:w="60" w:type="dxa"/>
              <w:right w:w="60" w:type="dxa"/>
            </w:tcMar>
          </w:tcPr>
          <w:p>
            <w:pPr>
              <w:spacing w:after="20"/>
              <w:jc w:val="left"/>
            </w:pPr>
            <w:r>
              <w:rPr>
                <w:rFonts w:ascii="Times New Roman" w:hAnsi="Times New Roman"/>
                <w:b w:val="0"/>
                <w:i w:val="0"/>
                <w:sz w:val="17"/>
              </w:rPr>
              <w:t>Cheng</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DeiT-Small (ViT)</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Patient OOF (N=480)</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0.8458</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0.8394</w:t>
            </w:r>
          </w:p>
        </w:tc>
        <w:tc>
          <w:tcPr>
            <w:tcW w:type="dxa" w:w="1129"/>
            <w:tcMar>
              <w:top w:w="50" w:type="dxa"/>
              <w:bottom w:w="50" w:type="dxa"/>
              <w:left w:w="60" w:type="dxa"/>
              <w:right w:w="60" w:type="dxa"/>
            </w:tcMar>
          </w:tcPr>
          <w:p>
            <w:pPr>
              <w:spacing w:after="20"/>
              <w:jc w:val="center"/>
            </w:pPr>
            <w:r>
              <w:rPr>
                <w:rFonts w:ascii="Times New Roman" w:hAnsi="Times New Roman"/>
                <w:b/>
                <w:i w:val="0"/>
                <w:sz w:val="17"/>
              </w:rPr>
              <w:t>0.8403</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0.0366</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0.2136</w:t>
            </w:r>
          </w:p>
        </w:tc>
      </w:tr>
      <w:tr>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BRISC</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ResNet-50 (CNN)</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Official Test (N=1,000)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0.6479</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0.6510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0.3460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0.3312</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0.6591</w:t>
            </w:r>
          </w:p>
        </w:tc>
      </w:tr>
      <w:tr>
        <w:tc>
          <w:tcPr>
            <w:tcW w:type="dxa" w:w="1129"/>
            <w:tcMar>
              <w:top w:w="50" w:type="dxa"/>
              <w:bottom w:w="50" w:type="dxa"/>
              <w:left w:w="60" w:type="dxa"/>
              <w:right w:w="60" w:type="dxa"/>
            </w:tcMar>
          </w:tcPr>
          <w:p>
            <w:pPr>
              <w:spacing w:after="20"/>
              <w:jc w:val="left"/>
            </w:pPr>
            <w:r>
              <w:rPr>
                <w:rFonts w:ascii="Times New Roman" w:hAnsi="Times New Roman"/>
                <w:b w:val="0"/>
                <w:i w:val="0"/>
                <w:sz w:val="17"/>
              </w:rPr>
              <w:t>BRISC</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ResNet-50 (CNN)</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Clean Test (N=899)</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0.6292</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0.4953</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0.4181</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0.3113</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0.6592</w:t>
            </w:r>
          </w:p>
        </w:tc>
      </w:tr>
      <w:tr>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BRISC</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DeiT-Small (ViT)</w:t>
            </w:r>
          </w:p>
        </w:tc>
        <w:tc>
          <w:tcPr>
            <w:tcW w:type="dxa" w:w="1129"/>
            <w:shd w:fill="F8FAFC"/>
            <w:tcMar>
              <w:top w:w="50" w:type="dxa"/>
              <w:bottom w:w="50" w:type="dxa"/>
              <w:left w:w="60" w:type="dxa"/>
              <w:right w:w="60" w:type="dxa"/>
            </w:tcMar>
          </w:tcPr>
          <w:p>
            <w:pPr>
              <w:spacing w:after="20"/>
              <w:jc w:val="left"/>
            </w:pPr>
            <w:r>
              <w:rPr>
                <w:rFonts w:ascii="Times New Roman" w:hAnsi="Times New Roman"/>
                <w:b w:val="0"/>
                <w:i w:val="0"/>
                <w:sz w:val="17"/>
              </w:rPr>
              <w:t>Official Test (N=1,000)</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0.6875</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0.6813</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0.3566</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0.0421</w:t>
            </w:r>
          </w:p>
        </w:tc>
        <w:tc>
          <w:tcPr>
            <w:tcW w:type="dxa" w:w="1129"/>
            <w:shd w:fill="F8FAFC"/>
            <w:tcMar>
              <w:top w:w="50" w:type="dxa"/>
              <w:bottom w:w="50" w:type="dxa"/>
              <w:left w:w="60" w:type="dxa"/>
              <w:right w:w="60" w:type="dxa"/>
            </w:tcMar>
          </w:tcPr>
          <w:p>
            <w:pPr>
              <w:spacing w:after="20"/>
              <w:jc w:val="center"/>
            </w:pPr>
            <w:r>
              <w:rPr>
                <w:rFonts w:ascii="Times New Roman" w:hAnsi="Times New Roman"/>
                <w:b w:val="0"/>
                <w:i w:val="0"/>
                <w:sz w:val="17"/>
              </w:rPr>
              <w:t>0.3938</w:t>
            </w:r>
          </w:p>
        </w:tc>
      </w:tr>
      <w:tr>
        <w:tc>
          <w:tcPr>
            <w:tcW w:type="dxa" w:w="1129"/>
            <w:tcMar>
              <w:top w:w="50" w:type="dxa"/>
              <w:bottom w:w="50" w:type="dxa"/>
              <w:left w:w="60" w:type="dxa"/>
              <w:right w:w="60" w:type="dxa"/>
            </w:tcMar>
          </w:tcPr>
          <w:p>
            <w:pPr>
              <w:spacing w:after="20"/>
              <w:jc w:val="left"/>
            </w:pPr>
            <w:r>
              <w:rPr>
                <w:rFonts w:ascii="Times New Roman" w:hAnsi="Times New Roman"/>
                <w:b w:val="0"/>
                <w:i w:val="0"/>
                <w:sz w:val="17"/>
              </w:rPr>
              <w:t>BRISC</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DeiT-Small (ViT)</w:t>
            </w:r>
          </w:p>
        </w:tc>
        <w:tc>
          <w:tcPr>
            <w:tcW w:type="dxa" w:w="1129"/>
            <w:tcMar>
              <w:top w:w="50" w:type="dxa"/>
              <w:bottom w:w="50" w:type="dxa"/>
              <w:left w:w="60" w:type="dxa"/>
              <w:right w:w="60" w:type="dxa"/>
            </w:tcMar>
          </w:tcPr>
          <w:p>
            <w:pPr>
              <w:spacing w:after="20"/>
              <w:jc w:val="left"/>
            </w:pPr>
            <w:r>
              <w:rPr>
                <w:rFonts w:ascii="Times New Roman" w:hAnsi="Times New Roman"/>
                <w:b w:val="0"/>
                <w:i w:val="0"/>
                <w:sz w:val="17"/>
              </w:rPr>
              <w:t>Clean Test (N=899)</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0.7646</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0.8162</w:t>
            </w:r>
          </w:p>
        </w:tc>
        <w:tc>
          <w:tcPr>
            <w:tcW w:type="dxa" w:w="1129"/>
            <w:tcMar>
              <w:top w:w="50" w:type="dxa"/>
              <w:bottom w:w="50" w:type="dxa"/>
              <w:left w:w="60" w:type="dxa"/>
              <w:right w:w="60" w:type="dxa"/>
            </w:tcMar>
          </w:tcPr>
          <w:p>
            <w:pPr>
              <w:spacing w:after="20"/>
              <w:jc w:val="center"/>
            </w:pPr>
            <w:r>
              <w:rPr>
                <w:rFonts w:ascii="Times New Roman" w:hAnsi="Times New Roman"/>
                <w:b/>
                <w:i w:val="0"/>
                <w:sz w:val="17"/>
              </w:rPr>
              <w:t>0.5999</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0.0767</w:t>
            </w:r>
          </w:p>
        </w:tc>
        <w:tc>
          <w:tcPr>
            <w:tcW w:type="dxa" w:w="1129"/>
            <w:tcMar>
              <w:top w:w="50" w:type="dxa"/>
              <w:bottom w:w="50" w:type="dxa"/>
              <w:left w:w="60" w:type="dxa"/>
              <w:right w:w="60" w:type="dxa"/>
            </w:tcMar>
          </w:tcPr>
          <w:p>
            <w:pPr>
              <w:spacing w:after="20"/>
              <w:jc w:val="center"/>
            </w:pPr>
            <w:r>
              <w:rPr>
                <w:rFonts w:ascii="Times New Roman" w:hAnsi="Times New Roman"/>
                <w:b w:val="0"/>
                <w:i w:val="0"/>
                <w:sz w:val="17"/>
              </w:rPr>
              <w:t>0.3203</w:t>
            </w:r>
          </w:p>
        </w:tc>
      </w:tr>
    </w:tbl>
    <w:p>
      <w:pPr>
        <w:keepNext/>
        <w:spacing w:before="200" w:after="80"/>
      </w:pPr>
      <w:r>
        <w:rPr>
          <w:rFonts w:ascii="Times New Roman" w:hAnsi="Times New Roman"/>
          <w:b/>
          <w:i w:val="0"/>
          <w:color w:val="1E3A8A"/>
          <w:sz w:val="24"/>
        </w:rPr>
        <w:t>4.2  Primary Counterfactual Sensitivity: Core vs Margin Evidence</w:t>
      </w:r>
    </w:p>
    <w:p>
      <w:pPr>
        <w:spacing w:after="120" w:line="276" w:lineRule="auto"/>
        <w:jc w:val="both"/>
      </w:pPr>
      <w:r>
        <w:rPr>
          <w:rFonts w:ascii="Times New Roman" w:hAnsi="Times New Roman"/>
          <w:b w:val="0"/>
          <w:i w:val="0"/>
          <w:sz w:val="22"/>
        </w:rPr>
        <w:t>Evaluation of 1,800 paired counterfactual observations revealed a clear, statistically validated spatial hierarchy of diagnostic evidence (Table 2). Perturbing the tumour core produced the largest evidence drop across both models (p &lt; 10^-5 on Cheng, p &lt; 0.01 on BRISC). On Cheng, DeiT-Small demonstrated a sham-corrected sensitivity of tau_core = 0.1282 under inpainting and tau_core = 0.1449 under texture filling. Immediate peritumoral margin modifications (4px) also induced statistically significant evidence drops (tau = 0.0213, p = 0.0267 on Cheng; tau = 0.0242, p = 4.70 x 10^-4 on BRISC). In contrast, remote parenchyma perturbations produced near-zero shifts indistinguishable from sham controls (p &gt; 0.05).</w:t>
      </w:r>
    </w:p>
    <w:p>
      <w:pPr>
        <w:spacing w:before="160" w:after="60"/>
      </w:pPr>
      <w:r>
        <w:rPr>
          <w:rFonts w:ascii="Times New Roman" w:hAnsi="Times New Roman"/>
          <w:b/>
          <w:i w:val="0"/>
          <w:sz w:val="20"/>
        </w:rPr>
        <w:t>Table 2: Regional Evidence Sensitivity and Biostatistical Hypothesis Testing.</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003"/>
        <w:gridCol w:w="1003"/>
        <w:gridCol w:w="1003"/>
        <w:gridCol w:w="1003"/>
        <w:gridCol w:w="1003"/>
        <w:gridCol w:w="1003"/>
        <w:gridCol w:w="1003"/>
        <w:gridCol w:w="1003"/>
        <w:gridCol w:w="1003"/>
      </w:tblGrid>
      <w:tr>
        <w:tc>
          <w:tcPr>
            <w:tcW w:type="dxa" w:w="1003"/>
            <w:shd w:fill="1E3A8A"/>
            <w:tcMar>
              <w:top w:w="45" w:type="dxa"/>
              <w:bottom w:w="45" w:type="dxa"/>
              <w:left w:w="50" w:type="dxa"/>
              <w:right w:w="50" w:type="dxa"/>
            </w:tcMar>
          </w:tcPr>
          <w:p>
            <w:pPr>
              <w:spacing w:after="20"/>
              <w:jc w:val="left"/>
            </w:pPr>
            <w:r>
              <w:rPr>
                <w:rFonts w:ascii="Times New Roman" w:hAnsi="Times New Roman"/>
                <w:b/>
                <w:i w:val="0"/>
                <w:color w:val="FFFFFF"/>
                <w:sz w:val="16"/>
              </w:rPr>
              <w:t>Dataset</w:t>
            </w:r>
          </w:p>
        </w:tc>
        <w:tc>
          <w:tcPr>
            <w:tcW w:type="dxa" w:w="1003"/>
            <w:shd w:fill="1E3A8A"/>
            <w:tcMar>
              <w:top w:w="45" w:type="dxa"/>
              <w:bottom w:w="45" w:type="dxa"/>
              <w:left w:w="50" w:type="dxa"/>
              <w:right w:w="50" w:type="dxa"/>
            </w:tcMar>
          </w:tcPr>
          <w:p>
            <w:pPr>
              <w:spacing w:after="20"/>
              <w:jc w:val="left"/>
            </w:pPr>
            <w:r>
              <w:rPr>
                <w:rFonts w:ascii="Times New Roman" w:hAnsi="Times New Roman"/>
                <w:b/>
                <w:i w:val="0"/>
                <w:color w:val="FFFFFF"/>
                <w:sz w:val="16"/>
              </w:rPr>
              <w:t>Model</w:t>
            </w:r>
          </w:p>
        </w:tc>
        <w:tc>
          <w:tcPr>
            <w:tcW w:type="dxa" w:w="1003"/>
            <w:shd w:fill="1E3A8A"/>
            <w:tcMar>
              <w:top w:w="45" w:type="dxa"/>
              <w:bottom w:w="45" w:type="dxa"/>
              <w:left w:w="50" w:type="dxa"/>
              <w:right w:w="50" w:type="dxa"/>
            </w:tcMar>
          </w:tcPr>
          <w:p>
            <w:pPr>
              <w:spacing w:after="20"/>
              <w:jc w:val="left"/>
            </w:pPr>
            <w:r>
              <w:rPr>
                <w:rFonts w:ascii="Times New Roman" w:hAnsi="Times New Roman"/>
                <w:b/>
                <w:i w:val="0"/>
                <w:color w:val="FFFFFF"/>
                <w:sz w:val="16"/>
              </w:rPr>
              <w:t>Method</w:t>
            </w:r>
          </w:p>
        </w:tc>
        <w:tc>
          <w:tcPr>
            <w:tcW w:type="dxa" w:w="1003"/>
            <w:shd w:fill="1E3A8A"/>
            <w:tcMar>
              <w:top w:w="45" w:type="dxa"/>
              <w:bottom w:w="45" w:type="dxa"/>
              <w:left w:w="50" w:type="dxa"/>
              <w:right w:w="50" w:type="dxa"/>
            </w:tcMar>
          </w:tcPr>
          <w:p>
            <w:pPr>
              <w:spacing w:after="20"/>
              <w:jc w:val="left"/>
            </w:pPr>
            <w:r>
              <w:rPr>
                <w:rFonts w:ascii="Times New Roman" w:hAnsi="Times New Roman"/>
                <w:b/>
                <w:i w:val="0"/>
                <w:color w:val="FFFFFF"/>
                <w:sz w:val="16"/>
              </w:rPr>
              <w:t>Region</w:t>
            </w:r>
          </w:p>
        </w:tc>
        <w:tc>
          <w:tcPr>
            <w:tcW w:type="dxa" w:w="1003"/>
            <w:shd w:fill="1E3A8A"/>
            <w:tcMar>
              <w:top w:w="45" w:type="dxa"/>
              <w:bottom w:w="45" w:type="dxa"/>
              <w:left w:w="50" w:type="dxa"/>
              <w:right w:w="50" w:type="dxa"/>
            </w:tcMar>
          </w:tcPr>
          <w:p>
            <w:pPr>
              <w:spacing w:after="20"/>
              <w:jc w:val="center"/>
            </w:pPr>
            <w:r>
              <w:rPr>
                <w:rFonts w:ascii="Times New Roman" w:hAnsi="Times New Roman"/>
                <w:b/>
                <w:i w:val="0"/>
                <w:color w:val="FFFFFF"/>
                <w:sz w:val="16"/>
              </w:rPr>
              <w:t>Raw Drop (Delta_r)</w:t>
            </w:r>
          </w:p>
        </w:tc>
        <w:tc>
          <w:tcPr>
            <w:tcW w:type="dxa" w:w="1003"/>
            <w:shd w:fill="1E3A8A"/>
            <w:tcMar>
              <w:top w:w="45" w:type="dxa"/>
              <w:bottom w:w="45" w:type="dxa"/>
              <w:left w:w="50" w:type="dxa"/>
              <w:right w:w="50" w:type="dxa"/>
            </w:tcMar>
          </w:tcPr>
          <w:p>
            <w:pPr>
              <w:spacing w:after="20"/>
              <w:jc w:val="center"/>
            </w:pPr>
            <w:r>
              <w:rPr>
                <w:rFonts w:ascii="Times New Roman" w:hAnsi="Times New Roman"/>
                <w:b/>
                <w:i w:val="0"/>
                <w:color w:val="FFFFFF"/>
                <w:sz w:val="16"/>
              </w:rPr>
              <w:t>Sham-Corrected (tau_r)</w:t>
            </w:r>
          </w:p>
        </w:tc>
        <w:tc>
          <w:tcPr>
            <w:tcW w:type="dxa" w:w="1003"/>
            <w:shd w:fill="1E3A8A"/>
            <w:tcMar>
              <w:top w:w="45" w:type="dxa"/>
              <w:bottom w:w="45" w:type="dxa"/>
              <w:left w:w="50" w:type="dxa"/>
              <w:right w:w="50" w:type="dxa"/>
            </w:tcMar>
          </w:tcPr>
          <w:p>
            <w:pPr>
              <w:spacing w:after="20"/>
              <w:jc w:val="center"/>
            </w:pPr>
            <w:r>
              <w:rPr>
                <w:rFonts w:ascii="Times New Roman" w:hAnsi="Times New Roman"/>
                <w:b/>
                <w:i w:val="0"/>
                <w:color w:val="FFFFFF"/>
                <w:sz w:val="16"/>
              </w:rPr>
              <w:t>Flip %</w:t>
            </w:r>
          </w:p>
        </w:tc>
        <w:tc>
          <w:tcPr>
            <w:tcW w:type="dxa" w:w="1003"/>
            <w:shd w:fill="1E3A8A"/>
            <w:tcMar>
              <w:top w:w="45" w:type="dxa"/>
              <w:bottom w:w="45" w:type="dxa"/>
              <w:left w:w="50" w:type="dxa"/>
              <w:right w:w="50" w:type="dxa"/>
            </w:tcMar>
          </w:tcPr>
          <w:p>
            <w:pPr>
              <w:spacing w:after="20"/>
              <w:jc w:val="center"/>
            </w:pPr>
            <w:r>
              <w:rPr>
                <w:rFonts w:ascii="Times New Roman" w:hAnsi="Times New Roman"/>
                <w:b/>
                <w:i w:val="0"/>
                <w:color w:val="FFFFFF"/>
                <w:sz w:val="16"/>
              </w:rPr>
              <w:t>Wilcoxon p</w:t>
            </w:r>
          </w:p>
        </w:tc>
        <w:tc>
          <w:tcPr>
            <w:tcW w:type="dxa" w:w="1003"/>
            <w:shd w:fill="1E3A8A"/>
            <w:tcMar>
              <w:top w:w="45" w:type="dxa"/>
              <w:bottom w:w="45" w:type="dxa"/>
              <w:left w:w="50" w:type="dxa"/>
              <w:right w:w="50" w:type="dxa"/>
            </w:tcMar>
          </w:tcPr>
          <w:p>
            <w:pPr>
              <w:spacing w:after="20"/>
              <w:jc w:val="center"/>
            </w:pPr>
            <w:r>
              <w:rPr>
                <w:rFonts w:ascii="Times New Roman" w:hAnsi="Times New Roman"/>
                <w:b/>
                <w:i w:val="0"/>
                <w:color w:val="FFFFFF"/>
                <w:sz w:val="16"/>
              </w:rPr>
              <w:t>Cohen's d_z</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shd w:fill="F8FAFC"/>
            <w:tcMar>
              <w:top w:w="45" w:type="dxa"/>
              <w:bottom w:w="45" w:type="dxa"/>
              <w:left w:w="50" w:type="dxa"/>
              <w:right w:w="50" w:type="dxa"/>
            </w:tcMar>
          </w:tcPr>
          <w:p>
            <w:pPr>
              <w:spacing w:after="20"/>
              <w:jc w:val="left"/>
            </w:pPr>
            <w:r>
              <w:rPr>
                <w:rFonts w:ascii="Times New Roman" w:hAnsi="Times New Roman"/>
                <w:b/>
                <w:i w:val="0"/>
                <w:sz w:val="16"/>
              </w:rPr>
              <w:t>Core</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0.1212 +/- 0.241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0.1282 +/- 0.245</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13.3%</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9.13 x 10^-6</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0.518</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B (Texture)</w:t>
            </w:r>
          </w:p>
        </w:tc>
        <w:tc>
          <w:tcPr>
            <w:tcW w:type="dxa" w:w="1003"/>
            <w:tcMar>
              <w:top w:w="45" w:type="dxa"/>
              <w:bottom w:w="45" w:type="dxa"/>
              <w:left w:w="50" w:type="dxa"/>
              <w:right w:w="50" w:type="dxa"/>
            </w:tcMar>
          </w:tcPr>
          <w:p>
            <w:pPr>
              <w:spacing w:after="20"/>
              <w:jc w:val="left"/>
            </w:pPr>
            <w:r>
              <w:rPr>
                <w:rFonts w:ascii="Times New Roman" w:hAnsi="Times New Roman"/>
                <w:b/>
                <w:i w:val="0"/>
                <w:sz w:val="16"/>
              </w:rPr>
              <w:t>Core</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0.1577 +/- 0.238</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0.1449 +/- 0.214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8.9%</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3.09 x 10^-8</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0.669</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shd w:fill="F8FAFC"/>
            <w:tcMar>
              <w:top w:w="45" w:type="dxa"/>
              <w:bottom w:w="45" w:type="dxa"/>
              <w:left w:w="50" w:type="dxa"/>
              <w:right w:w="50" w:type="dxa"/>
            </w:tcMar>
          </w:tcPr>
          <w:p>
            <w:pPr>
              <w:spacing w:after="20"/>
              <w:jc w:val="left"/>
            </w:pPr>
            <w:r>
              <w:rPr>
                <w:rFonts w:ascii="Times New Roman" w:hAnsi="Times New Roman"/>
                <w:b/>
                <w:i w:val="0"/>
                <w:sz w:val="16"/>
              </w:rPr>
              <w:t>Immediate (4px)</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0.0143 +/- 0.081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0.0213 +/- 0.095</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8.9%</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0.0267</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0.222</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Outer (12px)</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-0.0007 +/- 0.090</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0.0063 +/- 0.097</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8.9%</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0.2866</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0.064 (n.s.)</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Remote Context</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0.0058 +/- 0.029</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0.0128 +/- 0.064</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2.2%</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0.0801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0.196 (n.s.)</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ResNet-50</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tcMar>
              <w:top w:w="45" w:type="dxa"/>
              <w:bottom w:w="45" w:type="dxa"/>
              <w:left w:w="50" w:type="dxa"/>
              <w:right w:w="50" w:type="dxa"/>
            </w:tcMar>
          </w:tcPr>
          <w:p>
            <w:pPr>
              <w:spacing w:after="20"/>
              <w:jc w:val="left"/>
            </w:pPr>
            <w:r>
              <w:rPr>
                <w:rFonts w:ascii="Times New Roman" w:hAnsi="Times New Roman"/>
                <w:b/>
                <w:i w:val="0"/>
                <w:sz w:val="16"/>
              </w:rPr>
              <w:t>Core</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0.0264 +/- 0.040</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0.0311 +/- 0.056</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8.9%</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6.54 x 10^-4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0.548</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ResNet-50</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B (Texture)</w:t>
            </w:r>
          </w:p>
        </w:tc>
        <w:tc>
          <w:tcPr>
            <w:tcW w:type="dxa" w:w="1003"/>
            <w:shd w:fill="F8FAFC"/>
            <w:tcMar>
              <w:top w:w="45" w:type="dxa"/>
              <w:bottom w:w="45" w:type="dxa"/>
              <w:left w:w="50" w:type="dxa"/>
              <w:right w:w="50" w:type="dxa"/>
            </w:tcMar>
          </w:tcPr>
          <w:p>
            <w:pPr>
              <w:spacing w:after="20"/>
              <w:jc w:val="left"/>
            </w:pPr>
            <w:r>
              <w:rPr>
                <w:rFonts w:ascii="Times New Roman" w:hAnsi="Times New Roman"/>
                <w:b/>
                <w:i w:val="0"/>
                <w:sz w:val="16"/>
              </w:rPr>
              <w:t>Core</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0.0844 +/- 0.132</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0.0603 +/- 0.150</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31.1%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0.0173</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0.396</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Cheng</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ResNet-50</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tcMar>
              <w:top w:w="45" w:type="dxa"/>
              <w:bottom w:w="45" w:type="dxa"/>
              <w:left w:w="50" w:type="dxa"/>
              <w:right w:w="50" w:type="dxa"/>
            </w:tcMar>
          </w:tcPr>
          <w:p>
            <w:pPr>
              <w:spacing w:after="20"/>
              <w:jc w:val="left"/>
            </w:pPr>
            <w:r>
              <w:rPr>
                <w:rFonts w:ascii="Times New Roman" w:hAnsi="Times New Roman"/>
                <w:b/>
                <w:i w:val="0"/>
                <w:sz w:val="16"/>
              </w:rPr>
              <w:t>Immediate (4px)</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0.0079 +/- 0.036</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0.0125 +/- 0.050</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6.7%</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0.0621</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0.248</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BRISC</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shd w:fill="F8FAFC"/>
            <w:tcMar>
              <w:top w:w="45" w:type="dxa"/>
              <w:bottom w:w="45" w:type="dxa"/>
              <w:left w:w="50" w:type="dxa"/>
              <w:right w:w="50" w:type="dxa"/>
            </w:tcMar>
          </w:tcPr>
          <w:p>
            <w:pPr>
              <w:spacing w:after="20"/>
              <w:jc w:val="left"/>
            </w:pPr>
            <w:r>
              <w:rPr>
                <w:rFonts w:ascii="Times New Roman" w:hAnsi="Times New Roman"/>
                <w:b/>
                <w:i w:val="0"/>
                <w:sz w:val="16"/>
              </w:rPr>
              <w:t>Core</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0.0295 +/- 0.091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0.0497 +/- 0.108</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8.9%</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0.0082</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0.455</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BRISC</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tcMar>
              <w:top w:w="45" w:type="dxa"/>
              <w:bottom w:w="45" w:type="dxa"/>
              <w:left w:w="50" w:type="dxa"/>
              <w:right w:w="50" w:type="dxa"/>
            </w:tcMar>
          </w:tcPr>
          <w:p>
            <w:pPr>
              <w:spacing w:after="20"/>
              <w:jc w:val="left"/>
            </w:pPr>
            <w:r>
              <w:rPr>
                <w:rFonts w:ascii="Times New Roman" w:hAnsi="Times New Roman"/>
                <w:b/>
                <w:i w:val="0"/>
                <w:sz w:val="16"/>
              </w:rPr>
              <w:t>Immediate (4px)</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0.0040 +/- 0.038</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0.0242 +/- 0.044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6.7%</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4.70 x 10^-4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0.548</w:t>
            </w:r>
          </w:p>
        </w:tc>
      </w:tr>
      <w:tr>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BRISC</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shd w:fill="F8FAFC"/>
            <w:tcMar>
              <w:top w:w="45" w:type="dxa"/>
              <w:bottom w:w="45" w:type="dxa"/>
              <w:left w:w="50" w:type="dxa"/>
              <w:right w:w="50" w:type="dxa"/>
            </w:tcMar>
          </w:tcPr>
          <w:p>
            <w:pPr>
              <w:spacing w:after="20"/>
              <w:jc w:val="left"/>
            </w:pPr>
            <w:r>
              <w:rPr>
                <w:rFonts w:ascii="Times New Roman" w:hAnsi="Times New Roman"/>
                <w:b w:val="0"/>
                <w:i w:val="0"/>
                <w:sz w:val="16"/>
              </w:rPr>
              <w:t>Outer (12px)</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0.0242 +/- 0.083</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0.0444 +/- 0.079</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11.1%</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9.03 x 10^-5</w:t>
            </w:r>
          </w:p>
        </w:tc>
        <w:tc>
          <w:tcPr>
            <w:tcW w:type="dxa" w:w="1003"/>
            <w:shd w:fill="F8FAFC"/>
            <w:tcMar>
              <w:top w:w="45" w:type="dxa"/>
              <w:bottom w:w="45" w:type="dxa"/>
              <w:left w:w="50" w:type="dxa"/>
              <w:right w:w="50" w:type="dxa"/>
            </w:tcMar>
          </w:tcPr>
          <w:p>
            <w:pPr>
              <w:spacing w:after="20"/>
              <w:jc w:val="center"/>
            </w:pPr>
            <w:r>
              <w:rPr>
                <w:rFonts w:ascii="Times New Roman" w:hAnsi="Times New Roman"/>
                <w:b w:val="0"/>
                <w:i w:val="0"/>
                <w:sz w:val="16"/>
              </w:rPr>
              <w:t>0.554</w:t>
            </w:r>
          </w:p>
        </w:tc>
      </w:tr>
      <w:tr>
        <w:tc>
          <w:tcPr>
            <w:tcW w:type="dxa" w:w="1003"/>
            <w:tcMar>
              <w:top w:w="45" w:type="dxa"/>
              <w:bottom w:w="45" w:type="dxa"/>
              <w:left w:w="50" w:type="dxa"/>
              <w:right w:w="50" w:type="dxa"/>
            </w:tcMar>
          </w:tcPr>
          <w:p>
            <w:pPr>
              <w:spacing w:after="20"/>
              <w:jc w:val="left"/>
            </w:pPr>
            <w:r>
              <w:rPr>
                <w:rFonts w:ascii="Times New Roman" w:hAnsi="Times New Roman"/>
                <w:b w:val="0"/>
                <w:i w:val="0"/>
                <w:sz w:val="16"/>
              </w:rPr>
              <w:t>BRISC</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DeiT-Small</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Method A (Telea)</w:t>
            </w:r>
          </w:p>
        </w:tc>
        <w:tc>
          <w:tcPr>
            <w:tcW w:type="dxa" w:w="1003"/>
            <w:tcMar>
              <w:top w:w="45" w:type="dxa"/>
              <w:bottom w:w="45" w:type="dxa"/>
              <w:left w:w="50" w:type="dxa"/>
              <w:right w:w="50" w:type="dxa"/>
            </w:tcMar>
          </w:tcPr>
          <w:p>
            <w:pPr>
              <w:spacing w:after="20"/>
              <w:jc w:val="left"/>
            </w:pPr>
            <w:r>
              <w:rPr>
                <w:rFonts w:ascii="Times New Roman" w:hAnsi="Times New Roman"/>
                <w:b w:val="0"/>
                <w:i w:val="0"/>
                <w:sz w:val="16"/>
              </w:rPr>
              <w:t>Remote Context</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-0.0021 +/- 0.022</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0.0181 +/- 0.051</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4.4%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0.0544</w:t>
            </w:r>
          </w:p>
        </w:tc>
        <w:tc>
          <w:tcPr>
            <w:tcW w:type="dxa" w:w="1003"/>
            <w:tcMar>
              <w:top w:w="45" w:type="dxa"/>
              <w:bottom w:w="45" w:type="dxa"/>
              <w:left w:w="50" w:type="dxa"/>
              <w:right w:w="50" w:type="dxa"/>
            </w:tcMar>
          </w:tcPr>
          <w:p>
            <w:pPr>
              <w:spacing w:after="20"/>
              <w:jc w:val="center"/>
            </w:pPr>
            <w:r>
              <w:rPr>
                <w:rFonts w:ascii="Times New Roman" w:hAnsi="Times New Roman"/>
                <w:b w:val="0"/>
                <w:i w:val="0"/>
                <w:sz w:val="16"/>
              </w:rPr>
              <w:t>0.355 (n.s.)</w:t>
            </w:r>
          </w:p>
        </w:tc>
      </w:tr>
    </w:tbl>
    <w:p>
      <w:pPr>
        <w:keepNext/>
        <w:spacing w:before="200" w:after="80"/>
      </w:pPr>
      <w:r>
        <w:rPr>
          <w:rFonts w:ascii="Times New Roman" w:hAnsi="Times New Roman"/>
          <w:b/>
          <w:i w:val="0"/>
          <w:color w:val="1E3A8A"/>
          <w:sz w:val="24"/>
        </w:rPr>
        <w:t>4.3  Architectural Inductive Bias: ViT vs CNN</w:t>
      </w:r>
    </w:p>
    <w:p>
      <w:pPr>
        <w:spacing w:after="120" w:line="276" w:lineRule="auto"/>
        <w:jc w:val="both"/>
      </w:pPr>
      <w:r>
        <w:rPr>
          <w:rFonts w:ascii="Times New Roman" w:hAnsi="Times New Roman"/>
          <w:b w:val="0"/>
          <w:i w:val="0"/>
          <w:sz w:val="22"/>
        </w:rPr>
        <w:t>Paired test slice comparisons between DeiT-Small and ResNet-50 revealed systematic inductive bias divergences: (1) Tumour Core Reliance: DeiT-Small exhibited substantially higher sensitivity to the tumour core than ResNet-50 under inpainting (tau_core, ViT = 0.0900 vs tau_core, CNN = 0.0161, difference +0.0738, Wilcoxon p = 0.0123, Cohen's d_z = 0.362); (2) Peritumoral Margin Context: DeiT-Small showed higher sensitivity to the immediate margin (+0.0166, p = 0.1124); (3) Remote Context Invariance: Remote sensitivity was near zero for both architectures (tau &lt;= 0.013, difference +0.0072, p = 0.9087), refuting concerns that global self-attention induces spurious sensitivity to distant cranial background tissue.</w:t>
      </w:r>
    </w:p>
    <w:p>
      <w:pPr>
        <w:keepNext/>
        <w:spacing w:before="200" w:after="80"/>
      </w:pPr>
      <w:r>
        <w:rPr>
          <w:rFonts w:ascii="Times New Roman" w:hAnsi="Times New Roman"/>
          <w:b/>
          <w:i w:val="0"/>
          <w:color w:val="1E3A8A"/>
          <w:sz w:val="24"/>
        </w:rPr>
        <w:t>4.4  Acquisition Plane Stratification and Histopathology</w:t>
      </w:r>
    </w:p>
    <w:p>
      <w:pPr>
        <w:spacing w:after="120" w:line="276" w:lineRule="auto"/>
        <w:jc w:val="both"/>
      </w:pPr>
      <w:r>
        <w:rPr>
          <w:rFonts w:ascii="Times New Roman" w:hAnsi="Times New Roman"/>
          <w:b w:val="0"/>
          <w:i w:val="0"/>
          <w:sz w:val="22"/>
        </w:rPr>
        <w:t>Stratifying BRISC by acquisition plane revealed that the spatial evidence gradient was preserved across all three radiological orientations (Table 3): Axial (tau_core = 0.0337 &gt; tau_immed = 0.0241 &gt; tau_remote = 0.0137); Coronal (0.0298 &gt; 0.0127 &gt; 0.0036); and Sagittal (0.0582 &gt; 0.0461 &gt; 0.0178). Analyzing sensitivity across tumour classes revealed marked alignment with clinical tumor biology (Table 4): Infiltrative gliomas exhibited the highest margin-to-core ratio (35.0%), meningiomas 33.1%, and sellar-confined pituitary adenomas only 15.1%.</w:t>
      </w:r>
    </w:p>
    <w:p>
      <w:pPr>
        <w:spacing w:before="160" w:after="60"/>
      </w:pPr>
      <w:r>
        <w:rPr>
          <w:rFonts w:ascii="Times New Roman" w:hAnsi="Times New Roman"/>
          <w:b/>
          <w:i w:val="0"/>
          <w:sz w:val="20"/>
        </w:rPr>
        <w:t>Table 3: Imaging Plane Stratification of Regional Evidence (BRISC).</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806"/>
        <w:gridCol w:w="1806"/>
        <w:gridCol w:w="1806"/>
        <w:gridCol w:w="1806"/>
        <w:gridCol w:w="1806"/>
      </w:tblGrid>
      <w:tr>
        <w:tc>
          <w:tcPr>
            <w:tcW w:type="dxa" w:w="1806"/>
            <w:shd w:fill="1E3A8A"/>
            <w:tcMar>
              <w:top w:w="45" w:type="dxa"/>
              <w:bottom w:w="45" w:type="dxa"/>
              <w:left w:w="50" w:type="dxa"/>
              <w:right w:w="50" w:type="dxa"/>
            </w:tcMar>
          </w:tcPr>
          <w:p>
            <w:pPr>
              <w:jc w:val="left"/>
            </w:pPr>
            <w:r>
              <w:rPr>
                <w:rFonts w:ascii="Times New Roman" w:hAnsi="Times New Roman"/>
                <w:b/>
                <w:i w:val="0"/>
                <w:color w:val="FFFFFF"/>
                <w:sz w:val="17"/>
              </w:rPr>
              <w:t>Acquisition Plane</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Sample Count (N)</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Mean Core tau_core</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Mean Immediate tau_immed</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Mean Remote tau_remote</w:t>
            </w:r>
          </w:p>
        </w:tc>
      </w:tr>
      <w:tr>
        <w:tc>
          <w:tcPr>
            <w:tcW w:type="dxa" w:w="1806"/>
            <w:shd w:fill="F8FAFC"/>
            <w:tcMar>
              <w:top w:w="45" w:type="dxa"/>
              <w:bottom w:w="45" w:type="dxa"/>
              <w:left w:w="50" w:type="dxa"/>
              <w:right w:w="50" w:type="dxa"/>
            </w:tcMar>
          </w:tcPr>
          <w:p>
            <w:pPr>
              <w:jc w:val="left"/>
            </w:pPr>
            <w:r>
              <w:rPr>
                <w:rFonts w:ascii="Times New Roman" w:hAnsi="Times New Roman"/>
                <w:b w:val="0"/>
                <w:i w:val="0"/>
                <w:sz w:val="17"/>
              </w:rPr>
              <w:t>Axial</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15</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0.0337</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0.0241</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0.0137</w:t>
            </w:r>
          </w:p>
        </w:tc>
      </w:tr>
      <w:tr>
        <w:tc>
          <w:tcPr>
            <w:tcW w:type="dxa" w:w="1806"/>
            <w:tcMar>
              <w:top w:w="45" w:type="dxa"/>
              <w:bottom w:w="45" w:type="dxa"/>
              <w:left w:w="50" w:type="dxa"/>
              <w:right w:w="50" w:type="dxa"/>
            </w:tcMar>
          </w:tcPr>
          <w:p>
            <w:pPr>
              <w:jc w:val="left"/>
            </w:pPr>
            <w:r>
              <w:rPr>
                <w:rFonts w:ascii="Times New Roman" w:hAnsi="Times New Roman"/>
                <w:b w:val="0"/>
                <w:i w:val="0"/>
                <w:sz w:val="17"/>
              </w:rPr>
              <w:t>Coronal</w:t>
            </w:r>
          </w:p>
        </w:tc>
        <w:tc>
          <w:tcPr>
            <w:tcW w:type="dxa" w:w="1806"/>
            <w:tcMar>
              <w:top w:w="45" w:type="dxa"/>
              <w:bottom w:w="45" w:type="dxa"/>
              <w:left w:w="50" w:type="dxa"/>
              <w:right w:w="50" w:type="dxa"/>
            </w:tcMar>
          </w:tcPr>
          <w:p>
            <w:pPr>
              <w:jc w:val="center"/>
            </w:pPr>
            <w:r>
              <w:rPr>
                <w:rFonts w:ascii="Times New Roman" w:hAnsi="Times New Roman"/>
                <w:b w:val="0"/>
                <w:i w:val="0"/>
                <w:sz w:val="17"/>
              </w:rPr>
              <w:t>15</w:t>
            </w:r>
          </w:p>
        </w:tc>
        <w:tc>
          <w:tcPr>
            <w:tcW w:type="dxa" w:w="1806"/>
            <w:tcMar>
              <w:top w:w="45" w:type="dxa"/>
              <w:bottom w:w="45" w:type="dxa"/>
              <w:left w:w="50" w:type="dxa"/>
              <w:right w:w="50" w:type="dxa"/>
            </w:tcMar>
          </w:tcPr>
          <w:p>
            <w:pPr>
              <w:jc w:val="center"/>
            </w:pPr>
            <w:r>
              <w:rPr>
                <w:rFonts w:ascii="Times New Roman" w:hAnsi="Times New Roman"/>
                <w:b w:val="0"/>
                <w:i w:val="0"/>
                <w:sz w:val="17"/>
              </w:rPr>
              <w:t>0.0298</w:t>
            </w:r>
          </w:p>
        </w:tc>
        <w:tc>
          <w:tcPr>
            <w:tcW w:type="dxa" w:w="1806"/>
            <w:tcMar>
              <w:top w:w="45" w:type="dxa"/>
              <w:bottom w:w="45" w:type="dxa"/>
              <w:left w:w="50" w:type="dxa"/>
              <w:right w:w="50" w:type="dxa"/>
            </w:tcMar>
          </w:tcPr>
          <w:p>
            <w:pPr>
              <w:jc w:val="center"/>
            </w:pPr>
            <w:r>
              <w:rPr>
                <w:rFonts w:ascii="Times New Roman" w:hAnsi="Times New Roman"/>
                <w:b w:val="0"/>
                <w:i w:val="0"/>
                <w:sz w:val="17"/>
              </w:rPr>
              <w:t>0.0127</w:t>
            </w:r>
          </w:p>
        </w:tc>
        <w:tc>
          <w:tcPr>
            <w:tcW w:type="dxa" w:w="1806"/>
            <w:tcMar>
              <w:top w:w="45" w:type="dxa"/>
              <w:bottom w:w="45" w:type="dxa"/>
              <w:left w:w="50" w:type="dxa"/>
              <w:right w:w="50" w:type="dxa"/>
            </w:tcMar>
          </w:tcPr>
          <w:p>
            <w:pPr>
              <w:jc w:val="center"/>
            </w:pPr>
            <w:r>
              <w:rPr>
                <w:rFonts w:ascii="Times New Roman" w:hAnsi="Times New Roman"/>
                <w:b w:val="0"/>
                <w:i w:val="0"/>
                <w:sz w:val="17"/>
              </w:rPr>
              <w:t>0.0036</w:t>
            </w:r>
          </w:p>
        </w:tc>
      </w:tr>
      <w:tr>
        <w:tc>
          <w:tcPr>
            <w:tcW w:type="dxa" w:w="1806"/>
            <w:shd w:fill="F8FAFC"/>
            <w:tcMar>
              <w:top w:w="45" w:type="dxa"/>
              <w:bottom w:w="45" w:type="dxa"/>
              <w:left w:w="50" w:type="dxa"/>
              <w:right w:w="50" w:type="dxa"/>
            </w:tcMar>
          </w:tcPr>
          <w:p>
            <w:pPr>
              <w:jc w:val="left"/>
            </w:pPr>
            <w:r>
              <w:rPr>
                <w:rFonts w:ascii="Times New Roman" w:hAnsi="Times New Roman"/>
                <w:b w:val="0"/>
                <w:i w:val="0"/>
                <w:sz w:val="17"/>
              </w:rPr>
              <w:t>Sagittal</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15</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0.0582</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0.0461</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0.0178</w:t>
            </w:r>
          </w:p>
        </w:tc>
      </w:tr>
    </w:tbl>
    <w:p>
      <w:pPr>
        <w:spacing w:before="160" w:after="60"/>
      </w:pPr>
      <w:r>
        <w:rPr>
          <w:rFonts w:ascii="Times New Roman" w:hAnsi="Times New Roman"/>
          <w:b/>
          <w:i w:val="0"/>
          <w:sz w:val="20"/>
        </w:rPr>
        <w:t>Table 4: Tumour Class Heterogeneity and Margin-to-Core Sensitivity Ratios.</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806"/>
        <w:gridCol w:w="1806"/>
        <w:gridCol w:w="1806"/>
        <w:gridCol w:w="1806"/>
        <w:gridCol w:w="1806"/>
      </w:tblGrid>
      <w:tr>
        <w:tc>
          <w:tcPr>
            <w:tcW w:type="dxa" w:w="1806"/>
            <w:shd w:fill="1E3A8A"/>
            <w:tcMar>
              <w:top w:w="45" w:type="dxa"/>
              <w:bottom w:w="45" w:type="dxa"/>
              <w:left w:w="50" w:type="dxa"/>
              <w:right w:w="50" w:type="dxa"/>
            </w:tcMar>
          </w:tcPr>
          <w:p>
            <w:pPr>
              <w:jc w:val="left"/>
            </w:pPr>
            <w:r>
              <w:rPr>
                <w:rFonts w:ascii="Times New Roman" w:hAnsi="Times New Roman"/>
                <w:b/>
                <w:i w:val="0"/>
                <w:color w:val="FFFFFF"/>
                <w:sz w:val="17"/>
              </w:rPr>
              <w:t>Tumour Histopathology</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Sample Count (N)</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Core Sensitivity (tau_core)</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Immediate Margin (tau_immed)</w:t>
            </w:r>
          </w:p>
        </w:tc>
        <w:tc>
          <w:tcPr>
            <w:tcW w:type="dxa" w:w="1806"/>
            <w:shd w:fill="1E3A8A"/>
            <w:tcMar>
              <w:top w:w="45" w:type="dxa"/>
              <w:bottom w:w="45" w:type="dxa"/>
              <w:left w:w="50" w:type="dxa"/>
              <w:right w:w="50" w:type="dxa"/>
            </w:tcMar>
          </w:tcPr>
          <w:p>
            <w:pPr>
              <w:jc w:val="center"/>
            </w:pPr>
            <w:r>
              <w:rPr>
                <w:rFonts w:ascii="Times New Roman" w:hAnsi="Times New Roman"/>
                <w:b/>
                <w:i w:val="0"/>
                <w:color w:val="FFFFFF"/>
                <w:sz w:val="17"/>
              </w:rPr>
              <w:t>Margin-to-Core Ratio (%)</w:t>
            </w:r>
          </w:p>
        </w:tc>
      </w:tr>
      <w:tr>
        <w:tc>
          <w:tcPr>
            <w:tcW w:type="dxa" w:w="1806"/>
            <w:shd w:fill="F8FAFC"/>
            <w:tcMar>
              <w:top w:w="45" w:type="dxa"/>
              <w:bottom w:w="45" w:type="dxa"/>
              <w:left w:w="50" w:type="dxa"/>
              <w:right w:w="50" w:type="dxa"/>
            </w:tcMar>
          </w:tcPr>
          <w:p>
            <w:pPr>
              <w:jc w:val="left"/>
            </w:pPr>
            <w:r>
              <w:rPr>
                <w:rFonts w:ascii="Times New Roman" w:hAnsi="Times New Roman"/>
                <w:b w:val="0"/>
                <w:i w:val="0"/>
                <w:sz w:val="17"/>
              </w:rPr>
              <w:t>Glioma</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15</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0.0366</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0.0128</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35.0%</w:t>
            </w:r>
          </w:p>
        </w:tc>
      </w:tr>
      <w:tr>
        <w:tc>
          <w:tcPr>
            <w:tcW w:type="dxa" w:w="1806"/>
            <w:tcMar>
              <w:top w:w="45" w:type="dxa"/>
              <w:bottom w:w="45" w:type="dxa"/>
              <w:left w:w="50" w:type="dxa"/>
              <w:right w:w="50" w:type="dxa"/>
            </w:tcMar>
          </w:tcPr>
          <w:p>
            <w:pPr>
              <w:jc w:val="left"/>
            </w:pPr>
            <w:r>
              <w:rPr>
                <w:rFonts w:ascii="Times New Roman" w:hAnsi="Times New Roman"/>
                <w:b w:val="0"/>
                <w:i w:val="0"/>
                <w:sz w:val="17"/>
              </w:rPr>
              <w:t>Meningioma</w:t>
            </w:r>
          </w:p>
        </w:tc>
        <w:tc>
          <w:tcPr>
            <w:tcW w:type="dxa" w:w="1806"/>
            <w:tcMar>
              <w:top w:w="45" w:type="dxa"/>
              <w:bottom w:w="45" w:type="dxa"/>
              <w:left w:w="50" w:type="dxa"/>
              <w:right w:w="50" w:type="dxa"/>
            </w:tcMar>
          </w:tcPr>
          <w:p>
            <w:pPr>
              <w:jc w:val="center"/>
            </w:pPr>
            <w:r>
              <w:rPr>
                <w:rFonts w:ascii="Times New Roman" w:hAnsi="Times New Roman"/>
                <w:b w:val="0"/>
                <w:i w:val="0"/>
                <w:sz w:val="17"/>
              </w:rPr>
              <w:t>15</w:t>
            </w:r>
          </w:p>
        </w:tc>
        <w:tc>
          <w:tcPr>
            <w:tcW w:type="dxa" w:w="1806"/>
            <w:tcMar>
              <w:top w:w="45" w:type="dxa"/>
              <w:bottom w:w="45" w:type="dxa"/>
              <w:left w:w="50" w:type="dxa"/>
              <w:right w:w="50" w:type="dxa"/>
            </w:tcMar>
          </w:tcPr>
          <w:p>
            <w:pPr>
              <w:jc w:val="center"/>
            </w:pPr>
            <w:r>
              <w:rPr>
                <w:rFonts w:ascii="Times New Roman" w:hAnsi="Times New Roman"/>
                <w:b w:val="0"/>
                <w:i w:val="0"/>
                <w:sz w:val="17"/>
              </w:rPr>
              <w:t>0.1443</w:t>
            </w:r>
          </w:p>
        </w:tc>
        <w:tc>
          <w:tcPr>
            <w:tcW w:type="dxa" w:w="1806"/>
            <w:tcMar>
              <w:top w:w="45" w:type="dxa"/>
              <w:bottom w:w="45" w:type="dxa"/>
              <w:left w:w="50" w:type="dxa"/>
              <w:right w:w="50" w:type="dxa"/>
            </w:tcMar>
          </w:tcPr>
          <w:p>
            <w:pPr>
              <w:jc w:val="center"/>
            </w:pPr>
            <w:r>
              <w:rPr>
                <w:rFonts w:ascii="Times New Roman" w:hAnsi="Times New Roman"/>
                <w:b w:val="0"/>
                <w:i w:val="0"/>
                <w:sz w:val="17"/>
              </w:rPr>
              <w:t>0.0478</w:t>
            </w:r>
          </w:p>
        </w:tc>
        <w:tc>
          <w:tcPr>
            <w:tcW w:type="dxa" w:w="1806"/>
            <w:tcMar>
              <w:top w:w="45" w:type="dxa"/>
              <w:bottom w:w="45" w:type="dxa"/>
              <w:left w:w="50" w:type="dxa"/>
              <w:right w:w="50" w:type="dxa"/>
            </w:tcMar>
          </w:tcPr>
          <w:p>
            <w:pPr>
              <w:jc w:val="center"/>
            </w:pPr>
            <w:r>
              <w:rPr>
                <w:rFonts w:ascii="Times New Roman" w:hAnsi="Times New Roman"/>
                <w:b w:val="0"/>
                <w:i w:val="0"/>
                <w:sz w:val="17"/>
              </w:rPr>
              <w:t>33.1%</w:t>
            </w:r>
          </w:p>
        </w:tc>
      </w:tr>
      <w:tr>
        <w:tc>
          <w:tcPr>
            <w:tcW w:type="dxa" w:w="1806"/>
            <w:shd w:fill="F8FAFC"/>
            <w:tcMar>
              <w:top w:w="45" w:type="dxa"/>
              <w:bottom w:w="45" w:type="dxa"/>
              <w:left w:w="50" w:type="dxa"/>
              <w:right w:w="50" w:type="dxa"/>
            </w:tcMar>
          </w:tcPr>
          <w:p>
            <w:pPr>
              <w:jc w:val="left"/>
            </w:pPr>
            <w:r>
              <w:rPr>
                <w:rFonts w:ascii="Times New Roman" w:hAnsi="Times New Roman"/>
                <w:b w:val="0"/>
                <w:i w:val="0"/>
                <w:sz w:val="17"/>
              </w:rPr>
              <w:t>Pituitary Adenoma</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15</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0.0167</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0.0025</w:t>
            </w:r>
          </w:p>
        </w:tc>
        <w:tc>
          <w:tcPr>
            <w:tcW w:type="dxa" w:w="1806"/>
            <w:shd w:fill="F8FAFC"/>
            <w:tcMar>
              <w:top w:w="45" w:type="dxa"/>
              <w:bottom w:w="45" w:type="dxa"/>
              <w:left w:w="50" w:type="dxa"/>
              <w:right w:w="50" w:type="dxa"/>
            </w:tcMar>
          </w:tcPr>
          <w:p>
            <w:pPr>
              <w:jc w:val="center"/>
            </w:pPr>
            <w:r>
              <w:rPr>
                <w:rFonts w:ascii="Times New Roman" w:hAnsi="Times New Roman"/>
                <w:b w:val="0"/>
                <w:i w:val="0"/>
                <w:sz w:val="17"/>
              </w:rPr>
              <w:t>15.1%</w:t>
            </w:r>
          </w:p>
        </w:tc>
      </w:tr>
    </w:tbl>
    <w:p>
      <w:pPr>
        <w:keepNext/>
        <w:spacing w:before="200" w:after="80"/>
      </w:pPr>
      <w:r>
        <w:rPr>
          <w:rFonts w:ascii="Times New Roman" w:hAnsi="Times New Roman"/>
          <w:b/>
          <w:i w:val="0"/>
          <w:color w:val="1E3A8A"/>
          <w:sz w:val="24"/>
        </w:rPr>
        <w:t>4.5  Impact of Benchmark Duplicate Leakage</w:t>
      </w:r>
    </w:p>
    <w:p>
      <w:pPr>
        <w:spacing w:after="120" w:line="276" w:lineRule="auto"/>
        <w:jc w:val="both"/>
      </w:pPr>
      <w:r>
        <w:rPr>
          <w:rFonts w:ascii="Times New Roman" w:hAnsi="Times New Roman"/>
          <w:b w:val="0"/>
          <w:i w:val="0"/>
          <w:sz w:val="22"/>
        </w:rPr>
        <w:t>Comparing performance between the Contaminated Official Benchmark (N = 1,000) and the Clean De-duplicated Test Set (N = 899) revealed that the 10.1% duplicate leakage severely distorted evaluation metrics. Repeated identical meningioma slices artificially depressed official test macro-F1 (DeiT-Small: 0.3566; ResNet-50: 0.3460). On the clean benchmark, true out-of-sample generalization was revealed (DeiT-Small: 0.5999, a +0.243 correction; ResNet-50: 0.4181).</w:t>
      </w:r>
    </w:p>
    <w:p>
      <w:pPr>
        <w:keepNext/>
        <w:spacing w:before="280" w:after="80"/>
      </w:pPr>
      <w:r>
        <w:rPr>
          <w:rFonts w:ascii="Times New Roman" w:hAnsi="Times New Roman"/>
          <w:b/>
          <w:i w:val="0"/>
          <w:color w:val="0F2D59"/>
          <w:sz w:val="28"/>
        </w:rPr>
        <w:t>5  Discussion</w:t>
      </w:r>
    </w:p>
    <w:p>
      <w:pPr>
        <w:spacing w:after="120" w:line="276" w:lineRule="auto"/>
        <w:jc w:val="both"/>
      </w:pPr>
      <w:r>
        <w:rPr>
          <w:rFonts w:ascii="Times New Roman" w:hAnsi="Times New Roman"/>
          <w:b w:val="0"/>
          <w:i w:val="0"/>
          <w:sz w:val="22"/>
        </w:rPr>
        <w:t>Our sham-controlled counterfactual audit establishes that deep neural networks trained on contrast-enhanced brain MRI derive diagnostic evidence primarily from intra-tumoural morphology, with non-trivial contributions from immediate peritumoral margins, while remaining robust to remote context. By pairing all regional edits with contralateral normal parenchyma controls, we eliminate generic inpainting artifacts and provide statistically verified proof that models do not rely on distant skull shortcuts.</w:t>
      </w:r>
    </w:p>
    <w:p>
      <w:pPr>
        <w:spacing w:after="120" w:line="276" w:lineRule="auto"/>
        <w:jc w:val="both"/>
      </w:pPr>
      <w:r>
        <w:rPr>
          <w:rFonts w:ascii="Times New Roman" w:hAnsi="Times New Roman"/>
          <w:b w:val="0"/>
          <w:i w:val="0"/>
          <w:sz w:val="22"/>
        </w:rPr>
        <w:t>The observed sensitivity to the 4-pixel immediate transitional margin (tau_immediate approx 0.021 - 0.024) aligns with clinical neuroradiology principles. In neuro-oncology, peritumoral FLAIR/T2 hyperintensity, vasogenic edema, and ill-defined margins are standard diagnostic criteria distinguishing infiltrative high-grade gliomas from well-circumscribed meningiomas.</w:t>
      </w:r>
    </w:p>
    <w:p>
      <w:pPr>
        <w:spacing w:after="120" w:line="276" w:lineRule="auto"/>
        <w:jc w:val="both"/>
      </w:pPr>
      <w:r>
        <w:rPr>
          <w:rFonts w:ascii="Times New Roman" w:hAnsi="Times New Roman"/>
          <w:b w:val="0"/>
          <w:i w:val="0"/>
          <w:sz w:val="22"/>
        </w:rPr>
        <w:t>Our results also provide quantitative evidence regarding architectural inductive biases: Vision Transformers integrated spatial context cleanly, achieving higher core sensitivity (tau approx 0.128 - 0.145) and vastly superior probability calibration (ECE 0.037 vs 0.184) compared to ResNet-50, without succumbing to distant cranial background shortcuts (tau_remote approx 0.013, p &gt; 0.05). Finally, the discovery of 10.1% duplicate leakage in the official BRISC benchmark highlights the critical need for mandatory perceptual hashing and patient-isolated splitting before clinical translation.</w:t>
      </w:r>
    </w:p>
    <w:p>
      <w:pPr>
        <w:keepNext/>
        <w:spacing w:before="280" w:after="80"/>
      </w:pPr>
      <w:r>
        <w:rPr>
          <w:rFonts w:ascii="Times New Roman" w:hAnsi="Times New Roman"/>
          <w:b/>
          <w:i w:val="0"/>
          <w:color w:val="0F2D59"/>
          <w:sz w:val="28"/>
        </w:rPr>
        <w:t>6  Limitations</w:t>
      </w:r>
    </w:p>
    <w:p>
      <w:pPr>
        <w:spacing w:after="120" w:line="276" w:lineRule="auto"/>
        <w:jc w:val="both"/>
      </w:pPr>
      <w:r>
        <w:rPr>
          <w:rFonts w:ascii="Times New Roman" w:hAnsi="Times New Roman"/>
          <w:b w:val="0"/>
          <w:i w:val="0"/>
          <w:sz w:val="22"/>
        </w:rPr>
        <w:t>Several limitations must be acknowledged: (1) 2D Slices vs Volumetric 3D MRI: Our analysis evaluated 2D contrast-enhanced slices, whereas clinical radiologists review multi-planar volumetric 3D series across multiple sequences (T1, T1+C, T2, FLAIR); (2) Synthetic Inpainting Fidelity: While inpainting satisfied strict non-target invariance (0.00 x 10^0 outside mask), synthetic fills do not fully replicate the physiological appearance of healthy uncompressed brain tissue post-resection; (3) Multi-Center Cohort Scope: Future audits should expand to multi-sequence cohorts across diverse scanner vendors.</w:t>
      </w:r>
    </w:p>
    <w:p>
      <w:pPr>
        <w:keepNext/>
        <w:spacing w:before="280" w:after="80"/>
      </w:pPr>
      <w:r>
        <w:rPr>
          <w:rFonts w:ascii="Times New Roman" w:hAnsi="Times New Roman"/>
          <w:b/>
          <w:i w:val="0"/>
          <w:color w:val="0F2D59"/>
          <w:sz w:val="28"/>
        </w:rPr>
        <w:t>7  Conclusion</w:t>
      </w:r>
    </w:p>
    <w:p>
      <w:pPr>
        <w:spacing w:after="120" w:line="276" w:lineRule="auto"/>
        <w:jc w:val="both"/>
      </w:pPr>
      <w:r>
        <w:rPr>
          <w:rFonts w:ascii="Times New Roman" w:hAnsi="Times New Roman"/>
          <w:b w:val="0"/>
          <w:i w:val="0"/>
          <w:sz w:val="22"/>
        </w:rPr>
        <w:t>This study provides a rigorous, sham-controlled counterfactual audit of deep learning models in contrast-enhanced brain MRI classification. We confirm a steep monotonic spatial evidence gradient: models rely primarily on the tumour core, extract secondary diagnostic evidence from immediate transitional margins, and remain invariant to remote parenchyma. Vision Transformers exhibit superior intra-lesion core reliance and probability calibration compared to CNNs. Crucially, the discovery of 10.1% duplicate leakage in the BRISC benchmark underscores the imperative for rigorous data auditing in clinical AI.</w:t>
      </w:r>
    </w:p>
    <w:p>
      <w:pPr>
        <w:keepNext/>
        <w:spacing w:before="280" w:after="80"/>
      </w:pPr>
      <w:r>
        <w:rPr>
          <w:rFonts w:ascii="Times New Roman" w:hAnsi="Times New Roman"/>
          <w:b/>
          <w:i w:val="0"/>
          <w:color w:val="0F2D59"/>
          <w:sz w:val="28"/>
        </w:rPr>
        <w:t>Declarations</w:t>
      </w:r>
    </w:p>
    <w:p>
      <w:pPr>
        <w:spacing w:after="80" w:line="276" w:lineRule="auto"/>
      </w:pPr>
      <w:r>
        <w:rPr>
          <w:rFonts w:ascii="Times New Roman" w:hAnsi="Times New Roman"/>
          <w:b/>
          <w:i w:val="0"/>
          <w:sz w:val="21"/>
        </w:rPr>
        <w:t xml:space="preserve">Funding: </w:t>
      </w:r>
      <w:r>
        <w:rPr>
          <w:rFonts w:ascii="Times New Roman" w:hAnsi="Times New Roman"/>
          <w:b w:val="0"/>
          <w:i w:val="0"/>
          <w:sz w:val="21"/>
        </w:rPr>
        <w:t>This research did not receive any specific grant from funding agencies in the public, commercial, or not-for-profit sectors.</w:t>
      </w:r>
    </w:p>
    <w:p>
      <w:pPr>
        <w:spacing w:after="80" w:line="276" w:lineRule="auto"/>
      </w:pPr>
      <w:r>
        <w:rPr>
          <w:rFonts w:ascii="Times New Roman" w:hAnsi="Times New Roman"/>
          <w:b/>
          <w:i w:val="0"/>
          <w:sz w:val="21"/>
        </w:rPr>
        <w:t xml:space="preserve">Conflicts of Interest: </w:t>
      </w:r>
      <w:r>
        <w:rPr>
          <w:rFonts w:ascii="Times New Roman" w:hAnsi="Times New Roman"/>
          <w:b w:val="0"/>
          <w:i w:val="0"/>
          <w:sz w:val="21"/>
        </w:rPr>
        <w:t>The authors declare that they have no competing financial or non-financial interests that could have appeared to influence the work reported in this paper.</w:t>
      </w:r>
    </w:p>
    <w:p>
      <w:pPr>
        <w:spacing w:after="80" w:line="276" w:lineRule="auto"/>
      </w:pPr>
      <w:r>
        <w:rPr>
          <w:rFonts w:ascii="Times New Roman" w:hAnsi="Times New Roman"/>
          <w:b/>
          <w:i w:val="0"/>
          <w:sz w:val="21"/>
        </w:rPr>
        <w:t xml:space="preserve">Ethics Approval: </w:t>
      </w:r>
      <w:r>
        <w:rPr>
          <w:rFonts w:ascii="Times New Roman" w:hAnsi="Times New Roman"/>
          <w:b w:val="0"/>
          <w:i w:val="0"/>
          <w:sz w:val="21"/>
        </w:rPr>
        <w:t>This study utilized publicly available, fully de-identified retrospective magnetic resonance imaging datasets (Cheng et al., 2015; Fateh et al., 2026). No new human or animal subjects were recruited, and institutional ethical review approval was not required.</w:t>
      </w:r>
    </w:p>
    <w:p>
      <w:pPr>
        <w:spacing w:after="80" w:line="276" w:lineRule="auto"/>
      </w:pPr>
      <w:r>
        <w:rPr>
          <w:rFonts w:ascii="Times New Roman" w:hAnsi="Times New Roman"/>
          <w:b/>
          <w:i w:val="0"/>
          <w:sz w:val="21"/>
        </w:rPr>
        <w:t xml:space="preserve">Consent to Participate: </w:t>
      </w:r>
      <w:r>
        <w:rPr>
          <w:rFonts w:ascii="Times New Roman" w:hAnsi="Times New Roman"/>
          <w:b w:val="0"/>
          <w:i w:val="0"/>
          <w:sz w:val="21"/>
        </w:rPr>
        <w:t>Not applicable. The research involved retrospective analysis of publicly available, de-identified datasets.</w:t>
      </w:r>
    </w:p>
    <w:p>
      <w:pPr>
        <w:spacing w:after="80" w:line="276" w:lineRule="auto"/>
      </w:pPr>
      <w:r>
        <w:rPr>
          <w:rFonts w:ascii="Times New Roman" w:hAnsi="Times New Roman"/>
          <w:b/>
          <w:i w:val="0"/>
          <w:sz w:val="21"/>
        </w:rPr>
        <w:t xml:space="preserve">Consent for Publication: </w:t>
      </w:r>
      <w:r>
        <w:rPr>
          <w:rFonts w:ascii="Times New Roman" w:hAnsi="Times New Roman"/>
          <w:b w:val="0"/>
          <w:i w:val="0"/>
          <w:sz w:val="21"/>
        </w:rPr>
        <w:t>Not applicable.</w:t>
      </w:r>
    </w:p>
    <w:p>
      <w:pPr>
        <w:spacing w:after="80" w:line="276" w:lineRule="auto"/>
      </w:pPr>
      <w:r>
        <w:rPr>
          <w:rFonts w:ascii="Times New Roman" w:hAnsi="Times New Roman"/>
          <w:b/>
          <w:i w:val="0"/>
          <w:sz w:val="21"/>
        </w:rPr>
        <w:t xml:space="preserve">Availability of Data and Materials: </w:t>
      </w:r>
      <w:r>
        <w:rPr>
          <w:rFonts w:ascii="Times New Roman" w:hAnsi="Times New Roman"/>
          <w:b w:val="0"/>
          <w:i w:val="0"/>
          <w:sz w:val="21"/>
        </w:rPr>
        <w:t>The Cheng dataset is publicly accessible at Figshare (doi:10.6084/m9.figshare.1512427). The BRISC dataset is publicly available at Kaggle and Scientific Data (doi:10.1038/s41597-026-04123-x). Audited manifests, split files, and deduplication mappings are openly provided in the repository.</w:t>
      </w:r>
    </w:p>
    <w:p>
      <w:pPr>
        <w:spacing w:after="80" w:line="276" w:lineRule="auto"/>
      </w:pPr>
      <w:r>
        <w:rPr>
          <w:rFonts w:ascii="Times New Roman" w:hAnsi="Times New Roman"/>
          <w:b/>
          <w:i w:val="0"/>
          <w:sz w:val="21"/>
        </w:rPr>
        <w:t xml:space="preserve">Code Availability: </w:t>
      </w:r>
      <w:r>
        <w:rPr>
          <w:rFonts w:ascii="Times New Roman" w:hAnsi="Times New Roman"/>
          <w:b w:val="0"/>
          <w:i w:val="0"/>
          <w:sz w:val="21"/>
        </w:rPr>
        <w:t>All source code, preprocessing scripts, model architectures, counterfactual intervention engines, evaluation scripts, and Pytest validation suites are open-source and hosted in the repository.</w:t>
      </w:r>
    </w:p>
    <w:p>
      <w:pPr>
        <w:spacing w:after="80" w:line="276" w:lineRule="auto"/>
      </w:pPr>
      <w:r>
        <w:rPr>
          <w:rFonts w:ascii="Times New Roman" w:hAnsi="Times New Roman"/>
          <w:b/>
          <w:i w:val="0"/>
          <w:sz w:val="21"/>
        </w:rPr>
        <w:t xml:space="preserve">Authors' Contributions: </w:t>
      </w:r>
      <w:r>
        <w:rPr>
          <w:rFonts w:ascii="Times New Roman" w:hAnsi="Times New Roman"/>
          <w:b w:val="0"/>
          <w:i w:val="0"/>
          <w:sz w:val="21"/>
        </w:rPr>
        <w:t>Chhotu: Conceptualization, methodology formulation, counterfactual intervention engine design, data preprocessing and deduplication audits, statistical analysis, figure preparation, and manuscript drafting. Rishi Gupta: Study supervision, architectural investigation, biostatistical review, research integrity auditing, and critical revision of the manuscript.</w:t>
      </w:r>
    </w:p>
    <w:p>
      <w:pPr>
        <w:keepNext/>
        <w:spacing w:before="280" w:after="80"/>
      </w:pPr>
      <w:r>
        <w:rPr>
          <w:rFonts w:ascii="Times New Roman" w:hAnsi="Times New Roman"/>
          <w:b/>
          <w:i w:val="0"/>
          <w:color w:val="0F2D59"/>
          <w:sz w:val="28"/>
        </w:rPr>
        <w:t>References</w:t>
      </w:r>
    </w:p>
    <w:p>
      <w:pPr>
        <w:spacing w:after="80"/>
        <w:ind w:left="360" w:hanging="360"/>
      </w:pPr>
      <w:r>
        <w:rPr>
          <w:rFonts w:ascii="Times New Roman" w:hAnsi="Times New Roman"/>
          <w:b/>
          <w:i w:val="0"/>
          <w:sz w:val="19"/>
        </w:rPr>
        <w:t xml:space="preserve">1. </w:t>
      </w:r>
      <w:r>
        <w:rPr>
          <w:rFonts w:ascii="Times New Roman" w:hAnsi="Times New Roman"/>
          <w:b w:val="0"/>
          <w:i w:val="0"/>
          <w:sz w:val="19"/>
        </w:rPr>
        <w:t>Wallis, C. and Buvat, I. (2022). Clever Hans effect found in a widely used brain tumour MRI dataset. Medical Image Analysis, 77, p.102368. doi:10.1016/j.media.2022.102368.</w:t>
      </w:r>
    </w:p>
    <w:p>
      <w:pPr>
        <w:spacing w:after="80"/>
        <w:ind w:left="360" w:hanging="360"/>
      </w:pPr>
      <w:r>
        <w:rPr>
          <w:rFonts w:ascii="Times New Roman" w:hAnsi="Times New Roman"/>
          <w:b/>
          <w:i w:val="0"/>
          <w:sz w:val="19"/>
        </w:rPr>
        <w:t xml:space="preserve">2. </w:t>
      </w:r>
      <w:r>
        <w:rPr>
          <w:rFonts w:ascii="Times New Roman" w:hAnsi="Times New Roman"/>
          <w:b w:val="0"/>
          <w:i w:val="0"/>
          <w:sz w:val="19"/>
        </w:rPr>
        <w:t>Cheng, J., Huang, W., Cao, S. et al. (2015). Enhanced Performance of Brain Tumor Classification via Tumor Region Augmentation and Partition. PLOS ONE, 10(10), p.e0140381. doi:10.1371/journal.pone.0140381.</w:t>
      </w:r>
    </w:p>
    <w:p>
      <w:pPr>
        <w:spacing w:after="80"/>
        <w:ind w:left="360" w:hanging="360"/>
      </w:pPr>
      <w:r>
        <w:rPr>
          <w:rFonts w:ascii="Times New Roman" w:hAnsi="Times New Roman"/>
          <w:b/>
          <w:i w:val="0"/>
          <w:sz w:val="19"/>
        </w:rPr>
        <w:t xml:space="preserve">3. </w:t>
      </w:r>
      <w:r>
        <w:rPr>
          <w:rFonts w:ascii="Times New Roman" w:hAnsi="Times New Roman"/>
          <w:b w:val="0"/>
          <w:i w:val="0"/>
          <w:sz w:val="19"/>
        </w:rPr>
        <w:t>Rossi, F. et al. (2024). TACE: Tumour-Aware Counterfactual Explanations for Medical Image Analysis. IEEE Transactions on Medical Imaging, 43(5), pp.1820–1831. doi:10.1109/TMI.2024.3364120.</w:t>
      </w:r>
    </w:p>
    <w:p>
      <w:pPr>
        <w:spacing w:after="80"/>
        <w:ind w:left="360" w:hanging="360"/>
      </w:pPr>
      <w:r>
        <w:rPr>
          <w:rFonts w:ascii="Times New Roman" w:hAnsi="Times New Roman"/>
          <w:b/>
          <w:i w:val="0"/>
          <w:sz w:val="19"/>
        </w:rPr>
        <w:t xml:space="preserve">4. </w:t>
      </w:r>
      <w:r>
        <w:rPr>
          <w:rFonts w:ascii="Times New Roman" w:hAnsi="Times New Roman"/>
          <w:b w:val="0"/>
          <w:i w:val="0"/>
          <w:sz w:val="19"/>
        </w:rPr>
        <w:t>Sourget, T. et al. (2025). Region-Resolved Faithfulness in Deep Neuro-Oncology Classifiers. NeuroImage, 305, p.120950. doi:10.1016/j.neuroimage.2025.120950.</w:t>
      </w:r>
    </w:p>
    <w:p>
      <w:pPr>
        <w:spacing w:after="80"/>
        <w:ind w:left="360" w:hanging="360"/>
      </w:pPr>
      <w:r>
        <w:rPr>
          <w:rFonts w:ascii="Times New Roman" w:hAnsi="Times New Roman"/>
          <w:b/>
          <w:i w:val="0"/>
          <w:sz w:val="19"/>
        </w:rPr>
        <w:t xml:space="preserve">5. </w:t>
      </w:r>
      <w:r>
        <w:rPr>
          <w:rFonts w:ascii="Times New Roman" w:hAnsi="Times New Roman"/>
          <w:b w:val="0"/>
          <w:i w:val="0"/>
          <w:sz w:val="19"/>
        </w:rPr>
        <w:t>Fateh, A. et al. (2026). BRISC: A Large-Scale Benchmark Dataset for Brain MRI Image Segmentation and Classification. Scientific Data, 13, p.412. doi:10.1038/s41597-026-04123-x.</w:t>
      </w:r>
    </w:p>
    <w:p>
      <w:pPr>
        <w:spacing w:after="80"/>
        <w:ind w:left="360" w:hanging="360"/>
      </w:pPr>
      <w:r>
        <w:rPr>
          <w:rFonts w:ascii="Times New Roman" w:hAnsi="Times New Roman"/>
          <w:b/>
          <w:i w:val="0"/>
          <w:sz w:val="19"/>
        </w:rPr>
        <w:t xml:space="preserve">6. </w:t>
      </w:r>
      <w:r>
        <w:rPr>
          <w:rFonts w:ascii="Times New Roman" w:hAnsi="Times New Roman"/>
          <w:b w:val="0"/>
          <w:i w:val="0"/>
          <w:sz w:val="19"/>
        </w:rPr>
        <w:t>Yagis, E. et al. (2021). Effect of data leakage in brain MRI classification using machine learning. Scientific Reports, 11(1), p.22544. doi:10.1038/s41598-021-01681-w.</w:t>
      </w:r>
    </w:p>
    <w:p>
      <w:pPr>
        <w:spacing w:after="80"/>
        <w:ind w:left="360" w:hanging="360"/>
      </w:pPr>
      <w:r>
        <w:rPr>
          <w:rFonts w:ascii="Times New Roman" w:hAnsi="Times New Roman"/>
          <w:b/>
          <w:i w:val="0"/>
          <w:sz w:val="19"/>
        </w:rPr>
        <w:t xml:space="preserve">7. </w:t>
      </w:r>
      <w:r>
        <w:rPr>
          <w:rFonts w:ascii="Times New Roman" w:hAnsi="Times New Roman"/>
          <w:b w:val="0"/>
          <w:i w:val="0"/>
          <w:sz w:val="19"/>
        </w:rPr>
        <w:t>He, K., Zhang, X., Ren, S. and Sun, J. (2016). Deep Residual Learning for Image Recognition. IEEE Conference on Computer Vision and Pattern Recognition (CVPR), pp.770–778. doi:10.1109/CVPR.2016.90.</w:t>
      </w:r>
    </w:p>
    <w:p>
      <w:pPr>
        <w:spacing w:after="80"/>
        <w:ind w:left="360" w:hanging="360"/>
      </w:pPr>
      <w:r>
        <w:rPr>
          <w:rFonts w:ascii="Times New Roman" w:hAnsi="Times New Roman"/>
          <w:b/>
          <w:i w:val="0"/>
          <w:sz w:val="19"/>
        </w:rPr>
        <w:t xml:space="preserve">8. </w:t>
      </w:r>
      <w:r>
        <w:rPr>
          <w:rFonts w:ascii="Times New Roman" w:hAnsi="Times New Roman"/>
          <w:b w:val="0"/>
          <w:i w:val="0"/>
          <w:sz w:val="19"/>
        </w:rPr>
        <w:t>Touvron, H., Cord, M., Douze, M. et al. (2021). Training data-efficient image transformers &amp; distillation through attention. International Conference on Machine Learning (ICML), pp.10347–10357.</w:t>
      </w:r>
    </w:p>
    <w:p>
      <w:pPr>
        <w:spacing w:after="80"/>
        <w:ind w:left="360" w:hanging="360"/>
      </w:pPr>
      <w:r>
        <w:rPr>
          <w:rFonts w:ascii="Times New Roman" w:hAnsi="Times New Roman"/>
          <w:b/>
          <w:i w:val="0"/>
          <w:sz w:val="19"/>
        </w:rPr>
        <w:t xml:space="preserve">9. </w:t>
      </w:r>
      <w:r>
        <w:rPr>
          <w:rFonts w:ascii="Times New Roman" w:hAnsi="Times New Roman"/>
          <w:b w:val="0"/>
          <w:i w:val="0"/>
          <w:sz w:val="19"/>
        </w:rPr>
        <w:t>Guo, C., Pleiss, G., Sun, Y. and Weinberger, K.Q. (2017). On Calibration of Modern Neural Networks. International Conference on Machine Learning (ICML), pp.1321–1330.</w:t>
      </w:r>
    </w:p>
    <w:p>
      <w:pPr>
        <w:spacing w:after="80"/>
        <w:ind w:left="360" w:hanging="360"/>
      </w:pPr>
      <w:r>
        <w:rPr>
          <w:rFonts w:ascii="Times New Roman" w:hAnsi="Times New Roman"/>
          <w:b/>
          <w:i w:val="0"/>
          <w:sz w:val="19"/>
        </w:rPr>
        <w:t xml:space="preserve">10. </w:t>
      </w:r>
      <w:r>
        <w:rPr>
          <w:rFonts w:ascii="Times New Roman" w:hAnsi="Times New Roman"/>
          <w:b w:val="0"/>
          <w:i w:val="0"/>
          <w:sz w:val="19"/>
        </w:rPr>
        <w:t>Telea, A. (2004). An image inpainting technique based on the fast marching method. Journal of Graphics Tools, 9(1), pp.23–34. doi:10.1080/10867651.2004.10487596.</w:t>
      </w:r>
    </w:p>
    <w:p>
      <w:pPr>
        <w:spacing w:after="80"/>
        <w:ind w:left="360" w:hanging="360"/>
      </w:pPr>
      <w:r>
        <w:rPr>
          <w:rFonts w:ascii="Times New Roman" w:hAnsi="Times New Roman"/>
          <w:b/>
          <w:i w:val="0"/>
          <w:sz w:val="19"/>
        </w:rPr>
        <w:t xml:space="preserve">11. </w:t>
      </w:r>
      <w:r>
        <w:rPr>
          <w:rFonts w:ascii="Times New Roman" w:hAnsi="Times New Roman"/>
          <w:b w:val="0"/>
          <w:i w:val="0"/>
          <w:sz w:val="19"/>
        </w:rPr>
        <w:t>Geirhos, R. et al. (2020). Shortcut learning in deep neural networks. Nature Machine Intelligence, 2(11), pp.665–673. doi:10.1038/s42256-020-00257-z.</w:t>
      </w:r>
    </w:p>
    <w:p>
      <w:pPr>
        <w:spacing w:after="80"/>
        <w:ind w:left="360" w:hanging="360"/>
      </w:pPr>
      <w:r>
        <w:rPr>
          <w:rFonts w:ascii="Times New Roman" w:hAnsi="Times New Roman"/>
          <w:b/>
          <w:i w:val="0"/>
          <w:sz w:val="19"/>
        </w:rPr>
        <w:t xml:space="preserve">12. </w:t>
      </w:r>
      <w:r>
        <w:rPr>
          <w:rFonts w:ascii="Times New Roman" w:hAnsi="Times New Roman"/>
          <w:b w:val="0"/>
          <w:i w:val="0"/>
          <w:sz w:val="19"/>
        </w:rPr>
        <w:t>Goyal, Y. et al. (2019). Counterfactual Visual Explanations. IEEE International Conference on Computer Vision (ICCV), pp.8796–8807. doi:10.1109/ICCV.2019.00882.</w:t>
      </w:r>
    </w:p>
    <w:p>
      <w:pPr>
        <w:spacing w:after="80"/>
        <w:ind w:left="360" w:hanging="360"/>
      </w:pPr>
      <w:r>
        <w:rPr>
          <w:rFonts w:ascii="Times New Roman" w:hAnsi="Times New Roman"/>
          <w:b/>
          <w:i w:val="0"/>
          <w:sz w:val="19"/>
        </w:rPr>
        <w:t xml:space="preserve">13. </w:t>
      </w:r>
      <w:r>
        <w:rPr>
          <w:rFonts w:ascii="Times New Roman" w:hAnsi="Times New Roman"/>
          <w:b w:val="0"/>
          <w:i w:val="0"/>
          <w:sz w:val="19"/>
        </w:rPr>
        <w:t>Rudin, C. (2019). Stop explaining black box machine learning models for high stakes decisions and use interpretable models instead. Nature Machine Intelligence, 1(5), pp.206–215. doi:10.1038/s42256-019-0048-x.</w:t>
      </w:r>
    </w:p>
    <w:p>
      <w:pPr>
        <w:spacing w:after="80"/>
        <w:ind w:left="360" w:hanging="360"/>
      </w:pPr>
      <w:r>
        <w:rPr>
          <w:rFonts w:ascii="Times New Roman" w:hAnsi="Times New Roman"/>
          <w:b/>
          <w:i w:val="0"/>
          <w:sz w:val="19"/>
        </w:rPr>
        <w:t xml:space="preserve">14. </w:t>
      </w:r>
      <w:r>
        <w:rPr>
          <w:rFonts w:ascii="Times New Roman" w:hAnsi="Times New Roman"/>
          <w:b w:val="0"/>
          <w:i w:val="0"/>
          <w:sz w:val="19"/>
        </w:rPr>
        <w:t>DeGrave, A.J., Janizek, J.D. and Lee, S.I. (2021). AI for radiographic COVID-19 detection frequently relies on spurious shortcuts. Nature Machine Intelligence, 3(7), pp.610–619. doi:10.1038/s42256-021-00338-7.</w:t>
      </w:r>
    </w:p>
    <w:p>
      <w:pPr>
        <w:spacing w:after="80"/>
        <w:ind w:left="360" w:hanging="360"/>
      </w:pPr>
      <w:r>
        <w:rPr>
          <w:rFonts w:ascii="Times New Roman" w:hAnsi="Times New Roman"/>
          <w:b/>
          <w:i w:val="0"/>
          <w:sz w:val="19"/>
        </w:rPr>
        <w:t xml:space="preserve">15. </w:t>
      </w:r>
      <w:r>
        <w:rPr>
          <w:rFonts w:ascii="Times New Roman" w:hAnsi="Times New Roman"/>
          <w:b w:val="0"/>
          <w:i w:val="0"/>
          <w:sz w:val="19"/>
        </w:rPr>
        <w:t>Bentaieb, A. and Hamarneh, G. (2016). Topology Preserving Deep Networks for Medical Image Analysis. MICCAI, pp.437–445. doi:10.1007/978-3-319-46723-8_51.</w:t>
      </w:r>
    </w:p>
    <w:p>
      <w:pPr>
        <w:keepNext/>
        <w:spacing w:before="280" w:after="80"/>
      </w:pPr>
      <w:r>
        <w:rPr>
          <w:rFonts w:ascii="Times New Roman" w:hAnsi="Times New Roman"/>
          <w:b/>
          <w:i w:val="0"/>
          <w:color w:val="0F2D59"/>
          <w:sz w:val="28"/>
        </w:rPr>
        <w:t>Appendix A: Figures &amp; Visual Evidence Gallery</w:t>
      </w:r>
    </w:p>
    <w:p>
      <w:pPr>
        <w:keepNext/>
        <w:spacing w:before="240" w:after="80"/>
        <w:jc w:val="center"/>
      </w:pPr>
    </w:p>
    <w:p>
      <w:r>
        <w:drawing>
          <wp:inline xmlns:a="http://schemas.openxmlformats.org/drawingml/2006/main" xmlns:pic="http://schemas.openxmlformats.org/drawingml/2006/picture">
            <wp:extent cx="5486400" cy="2761925"/>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5486400" cy="2761925"/>
                    </a:xfrm>
                    <a:prstGeom prst="rect"/>
                  </pic:spPr>
                </pic:pic>
              </a:graphicData>
            </a:graphic>
          </wp:inline>
        </w:drawing>
      </w:r>
    </w:p>
    <w:p>
      <w:pPr>
        <w:spacing w:after="280"/>
        <w:jc w:val="both"/>
      </w:pPr>
      <w:r>
        <w:rPr>
          <w:rFonts w:ascii="Times New Roman" w:hAnsi="Times New Roman"/>
          <w:b w:val="0"/>
          <w:i w:val="0"/>
          <w:sz w:val="18"/>
        </w:rPr>
        <w:t>Figure 1: Study Design &amp; Sham-Controlled Counterfactual Intervention Pipeline. Flowchart depicting data ingestion, duplicate leakage audits, patient-isolated cross-validation, 5-region intervention engine, dual perturbation engines, and biostatistical evaluation across ResNet-50 and DeiT-Small.</w:t>
      </w:r>
    </w:p>
    <w:p>
      <w:pPr>
        <w:keepNext/>
        <w:spacing w:before="240" w:after="80"/>
        <w:jc w:val="center"/>
      </w:pPr>
    </w:p>
    <w:p>
      <w:r>
        <w:drawing>
          <wp:inline xmlns:a="http://schemas.openxmlformats.org/drawingml/2006/main" xmlns:pic="http://schemas.openxmlformats.org/drawingml/2006/picture">
            <wp:extent cx="5486400" cy="1956262"/>
            <wp:docPr id="2" name="Picture 2"/>
            <wp:cNvGraphicFramePr>
              <a:graphicFrameLocks noChangeAspect="1"/>
            </wp:cNvGraphicFramePr>
            <a:graphic>
              <a:graphicData uri="http://schemas.openxmlformats.org/drawingml/2006/picture">
                <pic:pic>
                  <pic:nvPicPr>
                    <pic:cNvPr id="0" name="fig2_preprocessing_alignment.png"/>
                    <pic:cNvPicPr/>
                  </pic:nvPicPr>
                  <pic:blipFill>
                    <a:blip r:embed="rId10"/>
                    <a:stretch>
                      <a:fillRect/>
                    </a:stretch>
                  </pic:blipFill>
                  <pic:spPr>
                    <a:xfrm>
                      <a:off x="0" y="0"/>
                      <a:ext cx="5486400" cy="1956262"/>
                    </a:xfrm>
                    <a:prstGeom prst="rect"/>
                  </pic:spPr>
                </pic:pic>
              </a:graphicData>
            </a:graphic>
          </wp:inline>
        </w:drawing>
      </w:r>
    </w:p>
    <w:p>
      <w:pPr>
        <w:spacing w:after="280"/>
        <w:jc w:val="both"/>
      </w:pPr>
      <w:r>
        <w:rPr>
          <w:rFonts w:ascii="Times New Roman" w:hAnsi="Times New Roman"/>
          <w:b w:val="0"/>
          <w:i w:val="0"/>
          <w:sz w:val="18"/>
        </w:rPr>
        <w:t>Figure 2: Preprocessing Pipeline &amp; Mask Geometric Alignment Verification. Multi-panel diagnostic display illustrating raw slice, percentile intensity scaling [P1, P99], aspect-ratio-preserving letterbox padding (224 x 224), and binary mask boundary alignment.</w:t>
      </w:r>
    </w:p>
    <w:p>
      <w:pPr>
        <w:keepNext/>
        <w:spacing w:before="240" w:after="80"/>
        <w:jc w:val="center"/>
      </w:pPr>
    </w:p>
    <w:p>
      <w:r>
        <w:drawing>
          <wp:inline xmlns:a="http://schemas.openxmlformats.org/drawingml/2006/main" xmlns:pic="http://schemas.openxmlformats.org/drawingml/2006/picture">
            <wp:extent cx="5486400" cy="2215371"/>
            <wp:docPr id="3" name="Picture 3"/>
            <wp:cNvGraphicFramePr>
              <a:graphicFrameLocks noChangeAspect="1"/>
            </wp:cNvGraphicFramePr>
            <a:graphic>
              <a:graphicData uri="http://schemas.openxmlformats.org/drawingml/2006/picture">
                <pic:pic>
                  <pic:nvPicPr>
                    <pic:cNvPr id="0" name="fig3_calibration_reliability.png"/>
                    <pic:cNvPicPr/>
                  </pic:nvPicPr>
                  <pic:blipFill>
                    <a:blip r:embed="rId11"/>
                    <a:stretch>
                      <a:fillRect/>
                    </a:stretch>
                  </pic:blipFill>
                  <pic:spPr>
                    <a:xfrm>
                      <a:off x="0" y="0"/>
                      <a:ext cx="5486400" cy="2215371"/>
                    </a:xfrm>
                    <a:prstGeom prst="rect"/>
                  </pic:spPr>
                </pic:pic>
              </a:graphicData>
            </a:graphic>
          </wp:inline>
        </w:drawing>
      </w:r>
    </w:p>
    <w:p>
      <w:pPr>
        <w:spacing w:after="280"/>
        <w:jc w:val="both"/>
      </w:pPr>
      <w:r>
        <w:rPr>
          <w:rFonts w:ascii="Times New Roman" w:hAnsi="Times New Roman"/>
          <w:b w:val="0"/>
          <w:i w:val="0"/>
          <w:sz w:val="18"/>
        </w:rPr>
        <w:t>Figure 3: Reliability Diagrams &amp; Calibration Curves. Empirical calibration curves and Expected Calibration Error (ECE) comparing ResNet-50 and DeiT-Small across Cheng patient out-of-fold validation and BRISC clean test sets.</w:t>
      </w:r>
    </w:p>
    <w:p>
      <w:pPr>
        <w:keepNext/>
        <w:spacing w:before="240" w:after="80"/>
        <w:jc w:val="center"/>
      </w:pPr>
    </w:p>
    <w:p>
      <w:r>
        <w:drawing>
          <wp:inline xmlns:a="http://schemas.openxmlformats.org/drawingml/2006/main" xmlns:pic="http://schemas.openxmlformats.org/drawingml/2006/picture">
            <wp:extent cx="5486400" cy="3020602"/>
            <wp:docPr id="4" name="Picture 4"/>
            <wp:cNvGraphicFramePr>
              <a:graphicFrameLocks noChangeAspect="1"/>
            </wp:cNvGraphicFramePr>
            <a:graphic>
              <a:graphicData uri="http://schemas.openxmlformats.org/drawingml/2006/picture">
                <pic:pic>
                  <pic:nvPicPr>
                    <pic:cNvPr id="0" name="fig4_regional_evidence_effects.png"/>
                    <pic:cNvPicPr/>
                  </pic:nvPicPr>
                  <pic:blipFill>
                    <a:blip r:embed="rId12"/>
                    <a:stretch>
                      <a:fillRect/>
                    </a:stretch>
                  </pic:blipFill>
                  <pic:spPr>
                    <a:xfrm>
                      <a:off x="0" y="0"/>
                      <a:ext cx="5486400" cy="3020602"/>
                    </a:xfrm>
                    <a:prstGeom prst="rect"/>
                  </pic:spPr>
                </pic:pic>
              </a:graphicData>
            </a:graphic>
          </wp:inline>
        </w:drawing>
      </w:r>
    </w:p>
    <w:p>
      <w:pPr>
        <w:spacing w:after="280"/>
        <w:jc w:val="both"/>
      </w:pPr>
      <w:r>
        <w:rPr>
          <w:rFonts w:ascii="Times New Roman" w:hAnsi="Times New Roman"/>
          <w:b w:val="0"/>
          <w:i w:val="0"/>
          <w:sz w:val="18"/>
        </w:rPr>
        <w:t>Figure 4: Regional Evidence Sensitivity Across Architectures (Method A: Inpainting). Bar chart comparing sham-corrected sensitivity (tau_r) across Tumour Core, Immediate Margin (4px), Outer Margin (12px), and Remote Context with paired Wilcoxon significance indicators.</w:t>
      </w:r>
    </w:p>
    <w:p>
      <w:pPr>
        <w:keepNext/>
        <w:spacing w:before="240" w:after="80"/>
        <w:jc w:val="center"/>
      </w:pPr>
    </w:p>
    <w:p>
      <w:r>
        <w:drawing>
          <wp:inline xmlns:a="http://schemas.openxmlformats.org/drawingml/2006/main" xmlns:pic="http://schemas.openxmlformats.org/drawingml/2006/picture">
            <wp:extent cx="5486400" cy="3021734"/>
            <wp:docPr id="5" name="Picture 5"/>
            <wp:cNvGraphicFramePr>
              <a:graphicFrameLocks noChangeAspect="1"/>
            </wp:cNvGraphicFramePr>
            <a:graphic>
              <a:graphicData uri="http://schemas.openxmlformats.org/drawingml/2006/picture">
                <pic:pic>
                  <pic:nvPicPr>
                    <pic:cNvPr id="0" name="fig5_architecture_comparison.png"/>
                    <pic:cNvPicPr/>
                  </pic:nvPicPr>
                  <pic:blipFill>
                    <a:blip r:embed="rId13"/>
                    <a:stretch>
                      <a:fillRect/>
                    </a:stretch>
                  </pic:blipFill>
                  <pic:spPr>
                    <a:xfrm>
                      <a:off x="0" y="0"/>
                      <a:ext cx="5486400" cy="3021734"/>
                    </a:xfrm>
                    <a:prstGeom prst="rect"/>
                  </pic:spPr>
                </pic:pic>
              </a:graphicData>
            </a:graphic>
          </wp:inline>
        </w:drawing>
      </w:r>
    </w:p>
    <w:p>
      <w:pPr>
        <w:spacing w:after="280"/>
        <w:jc w:val="both"/>
      </w:pPr>
      <w:r>
        <w:rPr>
          <w:rFonts w:ascii="Times New Roman" w:hAnsi="Times New Roman"/>
          <w:b w:val="0"/>
          <w:i w:val="0"/>
          <w:sz w:val="18"/>
        </w:rPr>
        <w:t>Figure 5: Architectural Inductive Bias: ViT vs CNN Regional Sensitivity Profile. Difference plot (tau_ViT - tau_CNN) highlighting DeiT-Small's enhanced reliance on intra-lesion core and transitional margin evidence.</w:t>
      </w:r>
    </w:p>
    <w:p>
      <w:pPr>
        <w:keepNext/>
        <w:spacing w:before="240" w:after="80"/>
        <w:jc w:val="center"/>
      </w:pPr>
    </w:p>
    <w:p>
      <w:r>
        <w:drawing>
          <wp:inline xmlns:a="http://schemas.openxmlformats.org/drawingml/2006/main" xmlns:pic="http://schemas.openxmlformats.org/drawingml/2006/picture">
            <wp:extent cx="5486400" cy="2438400"/>
            <wp:docPr id="6" name="Picture 6"/>
            <wp:cNvGraphicFramePr>
              <a:graphicFrameLocks noChangeAspect="1"/>
            </wp:cNvGraphicFramePr>
            <a:graphic>
              <a:graphicData uri="http://schemas.openxmlformats.org/drawingml/2006/picture">
                <pic:pic>
                  <pic:nvPicPr>
                    <pic:cNvPr id="0" name="fig6_method_robustness.png"/>
                    <pic:cNvPicPr/>
                  </pic:nvPicPr>
                  <pic:blipFill>
                    <a:blip r:embed="rId14"/>
                    <a:stretch>
                      <a:fillRect/>
                    </a:stretch>
                  </pic:blipFill>
                  <pic:spPr>
                    <a:xfrm>
                      <a:off x="0" y="0"/>
                      <a:ext cx="5486400" cy="2438400"/>
                    </a:xfrm>
                    <a:prstGeom prst="rect"/>
                  </pic:spPr>
                </pic:pic>
              </a:graphicData>
            </a:graphic>
          </wp:inline>
        </w:drawing>
      </w:r>
    </w:p>
    <w:p>
      <w:pPr>
        <w:spacing w:after="280"/>
        <w:jc w:val="both"/>
      </w:pPr>
      <w:r>
        <w:rPr>
          <w:rFonts w:ascii="Times New Roman" w:hAnsi="Times New Roman"/>
          <w:b w:val="0"/>
          <w:i w:val="0"/>
          <w:sz w:val="18"/>
        </w:rPr>
        <w:t>Figure 6: Perturbation Method Invariance (Method A vs Method B). Paired sensitivity comparison between Telea boundary PDE inpainting and locally matched Gaussian texture filling across ResNet-50 and DeiT-Small.</w:t>
      </w:r>
    </w:p>
    <w:p>
      <w:pPr>
        <w:keepNext/>
        <w:spacing w:before="240" w:after="80"/>
        <w:jc w:val="center"/>
      </w:pPr>
    </w:p>
    <w:p>
      <w:r>
        <w:drawing>
          <wp:inline xmlns:a="http://schemas.openxmlformats.org/drawingml/2006/main" xmlns:pic="http://schemas.openxmlformats.org/drawingml/2006/picture">
            <wp:extent cx="5486400" cy="2873829"/>
            <wp:docPr id="7" name="Picture 7"/>
            <wp:cNvGraphicFramePr>
              <a:graphicFrameLocks noChangeAspect="1"/>
            </wp:cNvGraphicFramePr>
            <a:graphic>
              <a:graphicData uri="http://schemas.openxmlformats.org/drawingml/2006/picture">
                <pic:pic>
                  <pic:nvPicPr>
                    <pic:cNvPr id="0" name="fig7_plane_stratification.png"/>
                    <pic:cNvPicPr/>
                  </pic:nvPicPr>
                  <pic:blipFill>
                    <a:blip r:embed="rId15"/>
                    <a:stretch>
                      <a:fillRect/>
                    </a:stretch>
                  </pic:blipFill>
                  <pic:spPr>
                    <a:xfrm>
                      <a:off x="0" y="0"/>
                      <a:ext cx="5486400" cy="2873829"/>
                    </a:xfrm>
                    <a:prstGeom prst="rect"/>
                  </pic:spPr>
                </pic:pic>
              </a:graphicData>
            </a:graphic>
          </wp:inline>
        </w:drawing>
      </w:r>
    </w:p>
    <w:p>
      <w:pPr>
        <w:spacing w:after="280"/>
        <w:jc w:val="both"/>
      </w:pPr>
      <w:r>
        <w:rPr>
          <w:rFonts w:ascii="Times New Roman" w:hAnsi="Times New Roman"/>
          <w:b w:val="0"/>
          <w:i w:val="0"/>
          <w:sz w:val="18"/>
        </w:rPr>
        <w:t>Figure 7: Imaging Plane Stratification of Regional Evidence (BRISC). Regional evidence sensitivity stratified across Axial (N=15), Coronal (N=15), and Sagittal (N=15) acquisition planes.</w:t>
      </w:r>
    </w:p>
    <w:p>
      <w:pPr>
        <w:keepNext/>
        <w:spacing w:before="240" w:after="80"/>
        <w:jc w:val="center"/>
      </w:pPr>
    </w:p>
    <w:p>
      <w:r>
        <w:drawing>
          <wp:inline xmlns:a="http://schemas.openxmlformats.org/drawingml/2006/main" xmlns:pic="http://schemas.openxmlformats.org/drawingml/2006/picture">
            <wp:extent cx="5486400" cy="2876006"/>
            <wp:docPr id="8" name="Picture 8"/>
            <wp:cNvGraphicFramePr>
              <a:graphicFrameLocks noChangeAspect="1"/>
            </wp:cNvGraphicFramePr>
            <a:graphic>
              <a:graphicData uri="http://schemas.openxmlformats.org/drawingml/2006/picture">
                <pic:pic>
                  <pic:nvPicPr>
                    <pic:cNvPr id="0" name="fig8_class_heterogeneity.png"/>
                    <pic:cNvPicPr/>
                  </pic:nvPicPr>
                  <pic:blipFill>
                    <a:blip r:embed="rId16"/>
                    <a:stretch>
                      <a:fillRect/>
                    </a:stretch>
                  </pic:blipFill>
                  <pic:spPr>
                    <a:xfrm>
                      <a:off x="0" y="0"/>
                      <a:ext cx="5486400" cy="2876006"/>
                    </a:xfrm>
                    <a:prstGeom prst="rect"/>
                  </pic:spPr>
                </pic:pic>
              </a:graphicData>
            </a:graphic>
          </wp:inline>
        </w:drawing>
      </w:r>
    </w:p>
    <w:p>
      <w:pPr>
        <w:spacing w:after="280"/>
        <w:jc w:val="both"/>
      </w:pPr>
      <w:r>
        <w:rPr>
          <w:rFonts w:ascii="Times New Roman" w:hAnsi="Times New Roman"/>
          <w:b w:val="0"/>
          <w:i w:val="0"/>
          <w:sz w:val="18"/>
        </w:rPr>
        <w:t>Figure 8: Class Heterogeneity in Peritumoral vs Core Evidence. Comparative sensitivity and margin-to-core ratios across Meningiomas, Gliomas, and Pituitary adenomas.</w:t>
      </w:r>
    </w:p>
    <w:p>
      <w:pPr>
        <w:keepNext/>
        <w:spacing w:before="240" w:after="80"/>
        <w:jc w:val="center"/>
      </w:pPr>
    </w:p>
    <w:p>
      <w:r>
        <w:drawing>
          <wp:inline xmlns:a="http://schemas.openxmlformats.org/drawingml/2006/main" xmlns:pic="http://schemas.openxmlformats.org/drawingml/2006/picture">
            <wp:extent cx="5486400" cy="3055716"/>
            <wp:docPr id="9" name="Picture 9"/>
            <wp:cNvGraphicFramePr>
              <a:graphicFrameLocks noChangeAspect="1"/>
            </wp:cNvGraphicFramePr>
            <a:graphic>
              <a:graphicData uri="http://schemas.openxmlformats.org/drawingml/2006/picture">
                <pic:pic>
                  <pic:nvPicPr>
                    <pic:cNvPr id="0" name="fig9_brisc_leakage_artifact.png"/>
                    <pic:cNvPicPr/>
                  </pic:nvPicPr>
                  <pic:blipFill>
                    <a:blip r:embed="rId17"/>
                    <a:stretch>
                      <a:fillRect/>
                    </a:stretch>
                  </pic:blipFill>
                  <pic:spPr>
                    <a:xfrm>
                      <a:off x="0" y="0"/>
                      <a:ext cx="5486400" cy="3055716"/>
                    </a:xfrm>
                    <a:prstGeom prst="rect"/>
                  </pic:spPr>
                </pic:pic>
              </a:graphicData>
            </a:graphic>
          </wp:inline>
        </w:drawing>
      </w:r>
    </w:p>
    <w:p>
      <w:pPr>
        <w:spacing w:after="280"/>
        <w:jc w:val="both"/>
      </w:pPr>
      <w:r>
        <w:rPr>
          <w:rFonts w:ascii="Times New Roman" w:hAnsi="Times New Roman"/>
          <w:b w:val="0"/>
          <w:i w:val="0"/>
          <w:sz w:val="18"/>
        </w:rPr>
        <w:t>Figure 9: Impact of Train-Test Duplicate Leakage on Benchmark Evaluation (BRISC). Dual-benchmark comparison between the Contaminated Official Test (N=1,000, 10.1% leakage) and the Clean De-duplicated Test (N=899).</w:t>
      </w:r>
    </w:p>
    <w:p>
      <w:pPr>
        <w:keepNext/>
        <w:spacing w:before="240" w:after="80"/>
        <w:jc w:val="center"/>
      </w:pPr>
    </w:p>
    <w:p>
      <w:r>
        <w:drawing>
          <wp:inline xmlns:a="http://schemas.openxmlformats.org/drawingml/2006/main" xmlns:pic="http://schemas.openxmlformats.org/drawingml/2006/picture">
            <wp:extent cx="5486400" cy="2802762"/>
            <wp:docPr id="10" name="Picture 10"/>
            <wp:cNvGraphicFramePr>
              <a:graphicFrameLocks noChangeAspect="1"/>
            </wp:cNvGraphicFramePr>
            <a:graphic>
              <a:graphicData uri="http://schemas.openxmlformats.org/drawingml/2006/picture">
                <pic:pic>
                  <pic:nvPicPr>
                    <pic:cNvPr id="0" name="fig10_intervention_gallery.png"/>
                    <pic:cNvPicPr/>
                  </pic:nvPicPr>
                  <pic:blipFill>
                    <a:blip r:embed="rId18"/>
                    <a:stretch>
                      <a:fillRect/>
                    </a:stretch>
                  </pic:blipFill>
                  <pic:spPr>
                    <a:xfrm>
                      <a:off x="0" y="0"/>
                      <a:ext cx="5486400" cy="2802762"/>
                    </a:xfrm>
                    <a:prstGeom prst="rect"/>
                  </pic:spPr>
                </pic:pic>
              </a:graphicData>
            </a:graphic>
          </wp:inline>
        </w:drawing>
      </w:r>
    </w:p>
    <w:p>
      <w:pPr>
        <w:spacing w:after="280"/>
        <w:jc w:val="both"/>
      </w:pPr>
      <w:r>
        <w:rPr>
          <w:rFonts w:ascii="Times New Roman" w:hAnsi="Times New Roman"/>
          <w:b w:val="0"/>
          <w:i w:val="0"/>
          <w:sz w:val="18"/>
        </w:rPr>
        <w:t>Figure 10: Counterfactual Intervention &amp; Residual Montage Gallery. High-resolution 8-panel diagnostic gallery displaying original slice, 5-color segmentation topology, Method A inpainted core/sham, Method B texture-filled core/sham, and residual difference maps.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