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i w:val="0"/>
          <w:color w:val="0F2D59"/>
          <w:sz w:val="32"/>
        </w:rPr>
        <w:t>Tumour-Core, Peritumoral-Margin, and Remote-Context Evidence in Brain MRI Classification: A Sham-Controlled, Plane-Stratified Counterfactual Audit Across CNN and Vision Transformer Models</w:t>
      </w:r>
    </w:p>
    <w:p>
      <w:pPr>
        <w:spacing w:after="240"/>
        <w:jc w:val="center"/>
      </w:pPr>
      <w:r>
        <w:rPr>
          <w:rFonts w:ascii="Times New Roman" w:hAnsi="Times New Roman"/>
          <w:b w:val="0"/>
          <w:i/>
          <w:color w:val="505050"/>
          <w:sz w:val="21"/>
        </w:rPr>
        <w:t>Running Title: Region-Resolved Counterfactual Evidence in Brain Tumour MRI</w:t>
      </w:r>
    </w:p>
    <w:p>
      <w:pPr>
        <w:spacing w:after="80"/>
        <w:jc w:val="center"/>
      </w:pPr>
      <w:r>
        <w:rPr>
          <w:rFonts w:ascii="Times New Roman" w:hAnsi="Times New Roman"/>
          <w:b/>
          <w:i w:val="0"/>
          <w:sz w:val="24"/>
        </w:rPr>
        <w:t>Chhotu</w:t>
      </w:r>
      <w:r>
        <w:rPr>
          <w:rFonts w:ascii="Times New Roman" w:hAnsi="Times New Roman"/>
          <w:b/>
          <w:i w:val="0"/>
          <w:sz w:val="18"/>
        </w:rPr>
        <w:t>1*</w:t>
      </w:r>
      <w:r>
        <w:rPr>
          <w:rFonts w:ascii="Times New Roman" w:hAnsi="Times New Roman"/>
          <w:b w:val="0"/>
          <w:i w:val="0"/>
          <w:sz w:val="24"/>
        </w:rPr>
        <w:t xml:space="preserve"> and </w:t>
      </w:r>
      <w:r>
        <w:rPr>
          <w:rFonts w:ascii="Times New Roman" w:hAnsi="Times New Roman"/>
          <w:b/>
          <w:i w:val="0"/>
          <w:sz w:val="24"/>
        </w:rPr>
        <w:t>Rishi Gupta</w:t>
      </w:r>
      <w:r>
        <w:rPr>
          <w:rFonts w:ascii="Times New Roman" w:hAnsi="Times New Roman"/>
          <w:b/>
          <w:i w:val="0"/>
          <w:sz w:val="18"/>
        </w:rPr>
        <w:t>2</w:t>
      </w:r>
    </w:p>
    <w:p>
      <w:pPr>
        <w:spacing w:after="40"/>
        <w:jc w:val="center"/>
      </w:pPr>
      <w:r>
        <w:rPr>
          <w:rFonts w:ascii="Times New Roman" w:hAnsi="Times New Roman"/>
          <w:b w:val="0"/>
          <w:i/>
          <w:sz w:val="20"/>
        </w:rPr>
        <w:t>1 Manipal University Jaipur, Jaipur, Rajasthan, India</w:t>
      </w:r>
    </w:p>
    <w:p>
      <w:pPr>
        <w:spacing w:after="80"/>
        <w:jc w:val="center"/>
      </w:pPr>
      <w:r>
        <w:rPr>
          <w:rFonts w:ascii="Times New Roman" w:hAnsi="Times New Roman"/>
          <w:b w:val="0"/>
          <w:i/>
          <w:sz w:val="20"/>
        </w:rPr>
        <w:t>2 Department of Computer Science &amp; Engineering, School of Computer Science and Engineering, Faculty of Science, Technology and Education, Manipal University Jaipur, Jaipur, Rajasthan, India</w:t>
      </w:r>
    </w:p>
    <w:p>
      <w:pPr>
        <w:spacing w:after="280"/>
        <w:jc w:val="center"/>
      </w:pPr>
      <w:r>
        <w:rPr>
          <w:rFonts w:ascii="Times New Roman" w:hAnsi="Times New Roman"/>
          <w:b w:val="0"/>
          <w:i/>
          <w:sz w:val="20"/>
        </w:rPr>
        <w:t>*Corresponding author. E-mail: chhotu.2427030521@muj.manipal.edu</w:t>
      </w:r>
    </w:p>
    <w:p>
      <w:pPr>
        <w:spacing w:before="160" w:after="80"/>
      </w:pPr>
      <w:r>
        <w:rPr>
          <w:rFonts w:ascii="Times New Roman" w:hAnsi="Times New Roman"/>
          <w:b/>
          <w:i w:val="0"/>
          <w:color w:val="1E3A8A"/>
          <w:sz w:val="24"/>
        </w:rPr>
        <w:t>Abstract</w:t>
      </w:r>
    </w:p>
    <w:p>
      <w:pPr>
        <w:spacing w:after="80" w:line="276" w:lineRule="auto"/>
      </w:pPr>
      <w:r>
        <w:rPr>
          <w:rFonts w:ascii="Times New Roman" w:hAnsi="Times New Roman"/>
          <w:b/>
          <w:i w:val="0"/>
          <w:sz w:val="20"/>
        </w:rPr>
        <w:t xml:space="preserve">Background: </w:t>
      </w:r>
      <w:r>
        <w:rPr>
          <w:rFonts w:ascii="Times New Roman" w:hAnsi="Times New Roman"/>
          <w:b w:val="0"/>
          <w:i w:val="0"/>
          <w:sz w:val="20"/>
        </w:rPr>
        <w:t>Deep convolutional neural networks (CNNs) and Vision Transformers (ViTs) regularly report high benchmark accuracy for classifying primary intracranial neoplasms from contrast-enhanced magnetic resonance imaging (CE-MRI). However, standard evaluation protocols evaluate models exclusively on unmodified images, failing to disentangle whether high diagnostic accuracy reflects genuine reliance on intra-lesional tumour morphology, opportunistic exploitation of peritumoral transitional zones, or spurious shortcut learning from remote cranial background context and scanner acquisition artifacts (the 'Clever Hans' effect).</w:t>
      </w:r>
    </w:p>
    <w:p>
      <w:pPr>
        <w:spacing w:after="80" w:line="276" w:lineRule="auto"/>
      </w:pPr>
      <w:r>
        <w:rPr>
          <w:rFonts w:ascii="Times New Roman" w:hAnsi="Times New Roman"/>
          <w:b/>
          <w:i w:val="0"/>
          <w:sz w:val="20"/>
        </w:rPr>
        <w:t xml:space="preserve">Methods: </w:t>
      </w:r>
      <w:r>
        <w:rPr>
          <w:rFonts w:ascii="Times New Roman" w:hAnsi="Times New Roman"/>
          <w:b w:val="0"/>
          <w:i w:val="0"/>
          <w:sz w:val="20"/>
        </w:rPr>
        <w:t>We establish a literature-informed, fully reproducible counterfactual evaluation framework to audit region-resolved diagnostic evidence across the Cheng brain tumour MRI cohort (N = 3,064 slices, 233 patients) and the multi-plane BRISC benchmark (N = 6,000 slices). Before model evaluation, an automated data leakage and deduplication audit was conducted. In Cheng, a 5-fold cross-validation scheme was strictly grouped by patient ID, guaranteeing zero patient overlap across folds; baseline validation was evaluated on the patient-isolated held-out Fold 1 test partition (N = 480 slices, 49 patients). In BRISC, an automated perceptual hashing and SHA-256 pixel matrix audit revealed 159 exact duplicate image pairs; among these, 110 pairs cross the official train-test split boundary, involving 101 unique test slices (10.1% of the official 1,000-slice test set; 96 meningiomas, 5 pituitary adenomas). In light of published deduplication claims in the BRISC data descriptor, we treat this finding as an archive-specific empirical observation and report both the official benchmark (N = 1,000) and a de-duplicated clean benchmark (N = 899; 759 mask-supported). We trained ImageNet-pretrained ResNet-50 (CNN) and DeiT-Small/16 (ViT) architectures using AdamW (batch size 16, weight decay 10^-2, initial learning rate 10^-4 for ResNet-50 with dropout 0.2, 5 x 10^-5 for DeiT-Small with dropout 0.1, 1-epoch linear warmup, early stopping patience 3, max 5 epochs). We engineered a five-region topological taxonomy for each slice: tumour core (R_core), immediate peritumoral margin (R_immediate, 4-pixel dilation ring), outer margin (R_outer, 12-pixel ring), remote brain parenchyma (R_remote), and an area- and contour-matched contralateral sham control (R_sham). Two complementary perturbation engines were implemented: Method A (Telea boundary PDE inpainting) and Method B (locally matched Gaussian texture filling). In total, 1,200 counterfactual interventions were verified with 100% strict non-target pixel invariance (|Delta| &lt; 10^-5 outside mask). We evaluated 1,800 paired counterfactual observations across models and datasets, computing raw sensitivity (Delta_r = p_y(x) - p_y(x_edit, r)) and sham-corrected region sensitivity (tau_r = Delta_r - Delta_sham), paired Wilcoxon signed-rank tests with Holm-Bonferroni correction, patient-clustered analyses across patient clusters, and Cohen's d_z effect sizes.</w:t>
      </w:r>
    </w:p>
    <w:p>
      <w:pPr>
        <w:spacing w:after="80" w:line="276" w:lineRule="auto"/>
      </w:pPr>
      <w:r>
        <w:rPr>
          <w:rFonts w:ascii="Times New Roman" w:hAnsi="Times New Roman"/>
          <w:b/>
          <w:i w:val="0"/>
          <w:sz w:val="20"/>
        </w:rPr>
        <w:t xml:space="preserve">Results: </w:t>
      </w:r>
      <w:r>
        <w:rPr>
          <w:rFonts w:ascii="Times New Roman" w:hAnsi="Times New Roman"/>
          <w:b w:val="0"/>
          <w:i w:val="0"/>
          <w:sz w:val="20"/>
        </w:rPr>
        <w:t>Perturbing the tumour core produced the largest evidence drop under boundary PDE inpainting across both models (p &lt; 10^-3). On Cheng (N = 45 slices across N = 10 patient clusters), DeiT-Small demonstrated a sham-corrected sensitivity of tau_core = 0.1282 +/- 0.248 (slice-level Wilcoxon p = 9.13 x 10^-6, patient-clustered Wilcoxon p = 0.0488, d_z = 0.518) under inpainting and tau_core = 0.1449 +/- 0.217 under texture filling. ResNet-50 on Cheng showed tau_core = 0.0311 +/- 0.057 (slice-level p = 6.54 x 10^-4, patient-clustered p = 0.0488, d_z = 0.548) under inpainting. In a pooled multi-cohort comparison (N = 90, Method A across 55 independent clusters), DeiT-Small exhibited significantly greater core evidence reliance than ResNet-50 (tau_core, ViT = 0.0900 vs tau_core, CNN = 0.0161, difference +0.0738, slice-level paired Wilcoxon p = 0.0123, cluster-level Wilcoxon p = 0.0162, Linear Mixed Model beta = +0.074, p &lt; 0.001, d_z = 0.362) alongside superior probability calibration (Cheng 10-bin Expected Calibration Error: DeiT-Small 0.0366 vs ResNet-50 0.1835). Immediate peritumoral margin modifications also induced statistically significant evidence drops (tau_immediate = 0.0213 +/- 0.096, p = 0.0267 on Cheng; tau_immediate = 0.0239 +/- 0.063, p = 0.0152 on BRISC for DeiT-Small). Spatial evidence decay was condition- and method-dependent: while core dominance held strongly under inpainting, outer margin (12-pixel ring) edits under Gaussian texture filling and in skull-stripped BRISC scans produced effects comparable to or approaching the core (tau approx 0.030 - 0.060), reflecting both large annular mask tissue volume covering vasogenic edema and convolutional sensitivity to high-frequency boundary textures. Remote parenchyma edits yielded negligible shifts indistinguishable from sham controls (p &gt; 0.05). Exploratory radiologic analysis showed that gliomas exhibited a substantial margin-to-core sensitivity ratio (35.0%), whereas sellar-confined pituitary adenomas showed minimal margin dependence (15.1%). Finally, the 101 duplicate test images in BRISC shifted test class priors, altering macro-F1 across full 4-class test sets (DeiT-Small: 0.8030 official vs 0.8344 clean; ResNet-50: 0.7095 official vs 0.6991 clean) and within neoplasm evaluation subsets.</w:t>
      </w:r>
    </w:p>
    <w:p>
      <w:pPr>
        <w:spacing w:after="80" w:line="276" w:lineRule="auto"/>
      </w:pPr>
      <w:r>
        <w:rPr>
          <w:rFonts w:ascii="Times New Roman" w:hAnsi="Times New Roman"/>
          <w:b/>
          <w:i w:val="0"/>
          <w:sz w:val="20"/>
        </w:rPr>
        <w:t xml:space="preserve">Discussion: </w:t>
      </w:r>
      <w:r>
        <w:rPr>
          <w:rFonts w:ascii="Times New Roman" w:hAnsi="Times New Roman"/>
          <w:b w:val="0"/>
          <w:i w:val="0"/>
          <w:sz w:val="20"/>
        </w:rPr>
        <w:t>Contrast-enhanced brain tumour classifiers derive diagnostic evidence primarily from intra-tumoural morphology, with non-trivial contributions from immediate transitional margins, while remaining robust to remote context. ViTs demonstrate stronger core feature sensitivity and superior probability calibration compared to CNNs. However, duplicate leakage and class-prior shifts in public benchmarks underscore the critical necessity of rigorous data auditing, patient-clustered evaluation, and transparent sample accounting before clinical interpretation.</w:t>
      </w:r>
    </w:p>
    <w:p>
      <w:pPr>
        <w:spacing w:before="80" w:after="280"/>
      </w:pPr>
      <w:r>
        <w:rPr>
          <w:rFonts w:ascii="Times New Roman" w:hAnsi="Times New Roman"/>
          <w:b/>
          <w:i w:val="0"/>
          <w:sz w:val="20"/>
        </w:rPr>
        <w:t xml:space="preserve">Keywords: </w:t>
      </w:r>
      <w:r>
        <w:rPr>
          <w:rFonts w:ascii="Times New Roman" w:hAnsi="Times New Roman"/>
          <w:b w:val="0"/>
          <w:i/>
          <w:sz w:val="20"/>
        </w:rPr>
        <w:t>Brain tumour classification; Counterfactual intervention; Clever Hans effect; Peritumoral margins; Vision Transformers; Convolutional neural networks; Benchmark leakage; Probability calibration.</w:t>
      </w:r>
    </w:p>
    <w:p>
      <w:pPr>
        <w:spacing w:before="200" w:after="80"/>
      </w:pPr>
      <w:r>
        <w:rPr>
          <w:rFonts w:ascii="Times New Roman" w:hAnsi="Times New Roman"/>
          <w:b/>
          <w:i w:val="0"/>
          <w:color w:val="1E3A8A"/>
          <w:sz w:val="28"/>
        </w:rPr>
        <w:t>Nomenclature</w:t>
      </w:r>
    </w:p>
    <w:tbl>
      <w:tblPr>
        <w:tblW w:type="auto" w:w="0"/>
        <w:jc w:val="center"/>
        <w:tblLook w:firstColumn="1" w:firstRow="1" w:lastColumn="0" w:lastRow="0" w:noHBand="0" w:noVBand="1" w:val="04A0"/>
      </w:tblPr>
      <w:tblGrid>
        <w:gridCol w:w="4514"/>
        <w:gridCol w:w="4514"/>
      </w:tblGrid>
      <w:tr>
        <w:tc>
          <w:tcPr>
            <w:tcW w:type="dxa" w:w="2592"/>
            <w:tcMar>
              <w:top w:w="40" w:type="dxa"/>
              <w:bottom w:w="40" w:type="dxa"/>
              <w:left w:w="60" w:type="dxa"/>
              <w:right w:w="60" w:type="dxa"/>
            </w:tcMar>
          </w:tcPr>
          <w:p>
            <w:pPr>
              <w:spacing w:after="20"/>
            </w:pPr>
            <w:r>
              <w:rPr>
                <w:rFonts w:ascii="Times New Roman" w:hAnsi="Times New Roman"/>
                <w:b/>
                <w:i w:val="0"/>
                <w:sz w:val="19"/>
              </w:rPr>
              <w:t>AUC</w:t>
            </w:r>
          </w:p>
        </w:tc>
        <w:tc>
          <w:tcPr>
            <w:tcW w:type="dxa" w:w="6480"/>
            <w:tcMar>
              <w:top w:w="40" w:type="dxa"/>
              <w:bottom w:w="40" w:type="dxa"/>
              <w:left w:w="60" w:type="dxa"/>
              <w:right w:w="60" w:type="dxa"/>
            </w:tcMar>
          </w:tcPr>
          <w:p>
            <w:pPr>
              <w:spacing w:after="20"/>
            </w:pPr>
            <w:r>
              <w:rPr>
                <w:rFonts w:ascii="Times New Roman" w:hAnsi="Times New Roman"/>
                <w:b w:val="0"/>
                <w:i w:val="0"/>
                <w:sz w:val="19"/>
              </w:rPr>
              <w:t>Area under the receiver operating characteristic curve</w:t>
            </w:r>
          </w:p>
        </w:tc>
      </w:tr>
      <w:tr>
        <w:tc>
          <w:tcPr>
            <w:tcW w:type="dxa" w:w="2592"/>
            <w:tcMar>
              <w:top w:w="40" w:type="dxa"/>
              <w:bottom w:w="40" w:type="dxa"/>
              <w:left w:w="60" w:type="dxa"/>
              <w:right w:w="60" w:type="dxa"/>
            </w:tcMar>
          </w:tcPr>
          <w:p>
            <w:pPr>
              <w:spacing w:after="20"/>
            </w:pPr>
            <w:r>
              <w:rPr>
                <w:rFonts w:ascii="Times New Roman" w:hAnsi="Times New Roman"/>
                <w:b/>
                <w:i w:val="0"/>
                <w:sz w:val="19"/>
              </w:rPr>
              <w:t>CE-MRI</w:t>
            </w:r>
          </w:p>
        </w:tc>
        <w:tc>
          <w:tcPr>
            <w:tcW w:type="dxa" w:w="6480"/>
            <w:tcMar>
              <w:top w:w="40" w:type="dxa"/>
              <w:bottom w:w="40" w:type="dxa"/>
              <w:left w:w="60" w:type="dxa"/>
              <w:right w:w="60" w:type="dxa"/>
            </w:tcMar>
          </w:tcPr>
          <w:p>
            <w:pPr>
              <w:spacing w:after="20"/>
            </w:pPr>
            <w:r>
              <w:rPr>
                <w:rFonts w:ascii="Times New Roman" w:hAnsi="Times New Roman"/>
                <w:b w:val="0"/>
                <w:i w:val="0"/>
                <w:sz w:val="19"/>
              </w:rPr>
              <w:t>Contrast-enhanced magnetic resonance imaging</w:t>
            </w:r>
          </w:p>
        </w:tc>
      </w:tr>
      <w:tr>
        <w:tc>
          <w:tcPr>
            <w:tcW w:type="dxa" w:w="2592"/>
            <w:tcMar>
              <w:top w:w="40" w:type="dxa"/>
              <w:bottom w:w="40" w:type="dxa"/>
              <w:left w:w="60" w:type="dxa"/>
              <w:right w:w="60" w:type="dxa"/>
            </w:tcMar>
          </w:tcPr>
          <w:p>
            <w:pPr>
              <w:spacing w:after="20"/>
            </w:pPr>
            <w:r>
              <w:rPr>
                <w:rFonts w:ascii="Times New Roman" w:hAnsi="Times New Roman"/>
                <w:b/>
                <w:i w:val="0"/>
                <w:sz w:val="19"/>
              </w:rPr>
              <w:t>CNN</w:t>
            </w:r>
          </w:p>
        </w:tc>
        <w:tc>
          <w:tcPr>
            <w:tcW w:type="dxa" w:w="6480"/>
            <w:tcMar>
              <w:top w:w="40" w:type="dxa"/>
              <w:bottom w:w="40" w:type="dxa"/>
              <w:left w:w="60" w:type="dxa"/>
              <w:right w:w="60" w:type="dxa"/>
            </w:tcMar>
          </w:tcPr>
          <w:p>
            <w:pPr>
              <w:spacing w:after="20"/>
            </w:pPr>
            <w:r>
              <w:rPr>
                <w:rFonts w:ascii="Times New Roman" w:hAnsi="Times New Roman"/>
                <w:b w:val="0"/>
                <w:i w:val="0"/>
                <w:sz w:val="19"/>
              </w:rPr>
              <w:t>Convolutional neural network</w:t>
            </w:r>
          </w:p>
        </w:tc>
      </w:tr>
      <w:tr>
        <w:tc>
          <w:tcPr>
            <w:tcW w:type="dxa" w:w="2592"/>
            <w:tcMar>
              <w:top w:w="40" w:type="dxa"/>
              <w:bottom w:w="40" w:type="dxa"/>
              <w:left w:w="60" w:type="dxa"/>
              <w:right w:w="60" w:type="dxa"/>
            </w:tcMar>
          </w:tcPr>
          <w:p>
            <w:pPr>
              <w:spacing w:after="20"/>
            </w:pPr>
            <w:r>
              <w:rPr>
                <w:rFonts w:ascii="Times New Roman" w:hAnsi="Times New Roman"/>
                <w:b/>
                <w:i w:val="0"/>
                <w:sz w:val="19"/>
              </w:rPr>
              <w:t>DeiT</w:t>
            </w:r>
          </w:p>
        </w:tc>
        <w:tc>
          <w:tcPr>
            <w:tcW w:type="dxa" w:w="6480"/>
            <w:tcMar>
              <w:top w:w="40" w:type="dxa"/>
              <w:bottom w:w="40" w:type="dxa"/>
              <w:left w:w="60" w:type="dxa"/>
              <w:right w:w="60" w:type="dxa"/>
            </w:tcMar>
          </w:tcPr>
          <w:p>
            <w:pPr>
              <w:spacing w:after="20"/>
            </w:pPr>
            <w:r>
              <w:rPr>
                <w:rFonts w:ascii="Times New Roman" w:hAnsi="Times New Roman"/>
                <w:b w:val="0"/>
                <w:i w:val="0"/>
                <w:sz w:val="19"/>
              </w:rPr>
              <w:t>Data-efficient image transformer</w:t>
            </w:r>
          </w:p>
        </w:tc>
      </w:tr>
      <w:tr>
        <w:tc>
          <w:tcPr>
            <w:tcW w:type="dxa" w:w="2592"/>
            <w:tcMar>
              <w:top w:w="40" w:type="dxa"/>
              <w:bottom w:w="40" w:type="dxa"/>
              <w:left w:w="60" w:type="dxa"/>
              <w:right w:w="60" w:type="dxa"/>
            </w:tcMar>
          </w:tcPr>
          <w:p>
            <w:pPr>
              <w:spacing w:after="20"/>
            </w:pPr>
            <w:r>
              <w:rPr>
                <w:rFonts w:ascii="Times New Roman" w:hAnsi="Times New Roman"/>
                <w:b/>
                <w:i w:val="0"/>
                <w:sz w:val="19"/>
              </w:rPr>
              <w:t>ECE</w:t>
            </w:r>
          </w:p>
        </w:tc>
        <w:tc>
          <w:tcPr>
            <w:tcW w:type="dxa" w:w="6480"/>
            <w:tcMar>
              <w:top w:w="40" w:type="dxa"/>
              <w:bottom w:w="40" w:type="dxa"/>
              <w:left w:w="60" w:type="dxa"/>
              <w:right w:w="60" w:type="dxa"/>
            </w:tcMar>
          </w:tcPr>
          <w:p>
            <w:pPr>
              <w:spacing w:after="20"/>
            </w:pPr>
            <w:r>
              <w:rPr>
                <w:rFonts w:ascii="Times New Roman" w:hAnsi="Times New Roman"/>
                <w:b w:val="0"/>
                <w:i w:val="0"/>
                <w:sz w:val="19"/>
              </w:rPr>
              <w:t>Expected calibration error</w:t>
            </w:r>
          </w:p>
        </w:tc>
      </w:tr>
      <w:tr>
        <w:tc>
          <w:tcPr>
            <w:tcW w:type="dxa" w:w="2592"/>
            <w:tcMar>
              <w:top w:w="40" w:type="dxa"/>
              <w:bottom w:w="40" w:type="dxa"/>
              <w:left w:w="60" w:type="dxa"/>
              <w:right w:w="60" w:type="dxa"/>
            </w:tcMar>
          </w:tcPr>
          <w:p>
            <w:pPr>
              <w:spacing w:after="20"/>
            </w:pPr>
            <w:r>
              <w:rPr>
                <w:rFonts w:ascii="Times New Roman" w:hAnsi="Times New Roman"/>
                <w:b/>
                <w:i w:val="0"/>
                <w:sz w:val="19"/>
              </w:rPr>
              <w:t>MAD</w:t>
            </w:r>
          </w:p>
        </w:tc>
        <w:tc>
          <w:tcPr>
            <w:tcW w:type="dxa" w:w="6480"/>
            <w:tcMar>
              <w:top w:w="40" w:type="dxa"/>
              <w:bottom w:w="40" w:type="dxa"/>
              <w:left w:w="60" w:type="dxa"/>
              <w:right w:w="60" w:type="dxa"/>
            </w:tcMar>
          </w:tcPr>
          <w:p>
            <w:pPr>
              <w:spacing w:after="20"/>
            </w:pPr>
            <w:r>
              <w:rPr>
                <w:rFonts w:ascii="Times New Roman" w:hAnsi="Times New Roman"/>
                <w:b w:val="0"/>
                <w:i w:val="0"/>
                <w:sz w:val="19"/>
              </w:rPr>
              <w:t>Mean absolute difference</w:t>
            </w:r>
          </w:p>
        </w:tc>
      </w:tr>
      <w:tr>
        <w:tc>
          <w:tcPr>
            <w:tcW w:type="dxa" w:w="2592"/>
            <w:tcMar>
              <w:top w:w="40" w:type="dxa"/>
              <w:bottom w:w="40" w:type="dxa"/>
              <w:left w:w="60" w:type="dxa"/>
              <w:right w:w="60" w:type="dxa"/>
            </w:tcMar>
          </w:tcPr>
          <w:p>
            <w:pPr>
              <w:spacing w:after="20"/>
            </w:pPr>
            <w:r>
              <w:rPr>
                <w:rFonts w:ascii="Times New Roman" w:hAnsi="Times New Roman"/>
                <w:b/>
                <w:i w:val="0"/>
                <w:sz w:val="19"/>
              </w:rPr>
              <w:t>OOF</w:t>
            </w:r>
          </w:p>
        </w:tc>
        <w:tc>
          <w:tcPr>
            <w:tcW w:type="dxa" w:w="6480"/>
            <w:tcMar>
              <w:top w:w="40" w:type="dxa"/>
              <w:bottom w:w="40" w:type="dxa"/>
              <w:left w:w="60" w:type="dxa"/>
              <w:right w:w="60" w:type="dxa"/>
            </w:tcMar>
          </w:tcPr>
          <w:p>
            <w:pPr>
              <w:spacing w:after="20"/>
            </w:pPr>
            <w:r>
              <w:rPr>
                <w:rFonts w:ascii="Times New Roman" w:hAnsi="Times New Roman"/>
                <w:b w:val="0"/>
                <w:i w:val="0"/>
                <w:sz w:val="19"/>
              </w:rPr>
              <w:t>Out-of-fold cross-validation</w:t>
            </w:r>
          </w:p>
        </w:tc>
      </w:tr>
      <w:tr>
        <w:tc>
          <w:tcPr>
            <w:tcW w:type="dxa" w:w="2592"/>
            <w:tcMar>
              <w:top w:w="40" w:type="dxa"/>
              <w:bottom w:w="40" w:type="dxa"/>
              <w:left w:w="60" w:type="dxa"/>
              <w:right w:w="60" w:type="dxa"/>
            </w:tcMar>
          </w:tcPr>
          <w:p>
            <w:pPr>
              <w:spacing w:after="20"/>
            </w:pPr>
            <w:r>
              <w:rPr>
                <w:rFonts w:ascii="Times New Roman" w:hAnsi="Times New Roman"/>
                <w:b/>
                <w:i w:val="0"/>
                <w:sz w:val="19"/>
              </w:rPr>
              <w:t>PDE</w:t>
            </w:r>
          </w:p>
        </w:tc>
        <w:tc>
          <w:tcPr>
            <w:tcW w:type="dxa" w:w="6480"/>
            <w:tcMar>
              <w:top w:w="40" w:type="dxa"/>
              <w:bottom w:w="40" w:type="dxa"/>
              <w:left w:w="60" w:type="dxa"/>
              <w:right w:w="60" w:type="dxa"/>
            </w:tcMar>
          </w:tcPr>
          <w:p>
            <w:pPr>
              <w:spacing w:after="20"/>
            </w:pPr>
            <w:r>
              <w:rPr>
                <w:rFonts w:ascii="Times New Roman" w:hAnsi="Times New Roman"/>
                <w:b w:val="0"/>
                <w:i w:val="0"/>
                <w:sz w:val="19"/>
              </w:rPr>
              <w:t>Partial differential equation</w:t>
            </w:r>
          </w:p>
        </w:tc>
      </w:tr>
      <w:tr>
        <w:tc>
          <w:tcPr>
            <w:tcW w:type="dxa" w:w="2592"/>
            <w:tcMar>
              <w:top w:w="40" w:type="dxa"/>
              <w:bottom w:w="40" w:type="dxa"/>
              <w:left w:w="60" w:type="dxa"/>
              <w:right w:w="60" w:type="dxa"/>
            </w:tcMar>
          </w:tcPr>
          <w:p>
            <w:pPr>
              <w:spacing w:after="20"/>
            </w:pPr>
            <w:r>
              <w:rPr>
                <w:rFonts w:ascii="Times New Roman" w:hAnsi="Times New Roman"/>
                <w:b/>
                <w:i w:val="0"/>
                <w:sz w:val="19"/>
              </w:rPr>
              <w:t>pHash</w:t>
            </w:r>
          </w:p>
        </w:tc>
        <w:tc>
          <w:tcPr>
            <w:tcW w:type="dxa" w:w="6480"/>
            <w:tcMar>
              <w:top w:w="40" w:type="dxa"/>
              <w:bottom w:w="40" w:type="dxa"/>
              <w:left w:w="60" w:type="dxa"/>
              <w:right w:w="60" w:type="dxa"/>
            </w:tcMar>
          </w:tcPr>
          <w:p>
            <w:pPr>
              <w:spacing w:after="20"/>
            </w:pPr>
            <w:r>
              <w:rPr>
                <w:rFonts w:ascii="Times New Roman" w:hAnsi="Times New Roman"/>
                <w:b w:val="0"/>
                <w:i w:val="0"/>
                <w:sz w:val="19"/>
              </w:rPr>
              <w:t>Perceptual hashing algorithm</w:t>
            </w:r>
          </w:p>
        </w:tc>
      </w:tr>
      <w:tr>
        <w:tc>
          <w:tcPr>
            <w:tcW w:type="dxa" w:w="2592"/>
            <w:tcMar>
              <w:top w:w="40" w:type="dxa"/>
              <w:bottom w:w="40" w:type="dxa"/>
              <w:left w:w="60" w:type="dxa"/>
              <w:right w:w="60" w:type="dxa"/>
            </w:tcMar>
          </w:tcPr>
          <w:p>
            <w:pPr>
              <w:spacing w:after="20"/>
            </w:pPr>
            <w:r>
              <w:rPr>
                <w:rFonts w:ascii="Times New Roman" w:hAnsi="Times New Roman"/>
                <w:b/>
                <w:i w:val="0"/>
                <w:sz w:val="19"/>
              </w:rPr>
              <w:t>SSIM</w:t>
            </w:r>
          </w:p>
        </w:tc>
        <w:tc>
          <w:tcPr>
            <w:tcW w:type="dxa" w:w="6480"/>
            <w:tcMar>
              <w:top w:w="40" w:type="dxa"/>
              <w:bottom w:w="40" w:type="dxa"/>
              <w:left w:w="60" w:type="dxa"/>
              <w:right w:w="60" w:type="dxa"/>
            </w:tcMar>
          </w:tcPr>
          <w:p>
            <w:pPr>
              <w:spacing w:after="20"/>
            </w:pPr>
            <w:r>
              <w:rPr>
                <w:rFonts w:ascii="Times New Roman" w:hAnsi="Times New Roman"/>
                <w:b w:val="0"/>
                <w:i w:val="0"/>
                <w:sz w:val="19"/>
              </w:rPr>
              <w:t>Structural similarity index measure</w:t>
            </w:r>
          </w:p>
        </w:tc>
      </w:tr>
      <w:tr>
        <w:tc>
          <w:tcPr>
            <w:tcW w:type="dxa" w:w="2592"/>
            <w:tcMar>
              <w:top w:w="40" w:type="dxa"/>
              <w:bottom w:w="40" w:type="dxa"/>
              <w:left w:w="60" w:type="dxa"/>
              <w:right w:w="60" w:type="dxa"/>
            </w:tcMar>
          </w:tcPr>
          <w:p>
            <w:pPr>
              <w:spacing w:after="20"/>
            </w:pPr>
            <w:r>
              <w:rPr>
                <w:rFonts w:ascii="Times New Roman" w:hAnsi="Times New Roman"/>
                <w:b/>
                <w:i w:val="0"/>
                <w:sz w:val="19"/>
              </w:rPr>
              <w:t>ViT</w:t>
            </w:r>
          </w:p>
        </w:tc>
        <w:tc>
          <w:tcPr>
            <w:tcW w:type="dxa" w:w="6480"/>
            <w:tcMar>
              <w:top w:w="40" w:type="dxa"/>
              <w:bottom w:w="40" w:type="dxa"/>
              <w:left w:w="60" w:type="dxa"/>
              <w:right w:w="60" w:type="dxa"/>
            </w:tcMar>
          </w:tcPr>
          <w:p>
            <w:pPr>
              <w:spacing w:after="20"/>
            </w:pPr>
            <w:r>
              <w:rPr>
                <w:rFonts w:ascii="Times New Roman" w:hAnsi="Times New Roman"/>
                <w:b w:val="0"/>
                <w:i w:val="0"/>
                <w:sz w:val="19"/>
              </w:rPr>
              <w:t>Vision transformer</w:t>
            </w:r>
          </w:p>
        </w:tc>
      </w:tr>
      <w:tr>
        <w:tc>
          <w:tcPr>
            <w:tcW w:type="dxa" w:w="2592"/>
            <w:tcMar>
              <w:top w:w="40" w:type="dxa"/>
              <w:bottom w:w="40" w:type="dxa"/>
              <w:left w:w="60" w:type="dxa"/>
              <w:right w:w="60" w:type="dxa"/>
            </w:tcMar>
          </w:tcPr>
          <w:p>
            <w:pPr>
              <w:spacing w:after="20"/>
            </w:pPr>
            <w:r>
              <w:rPr>
                <w:rFonts w:ascii="Times New Roman" w:hAnsi="Times New Roman"/>
                <w:b/>
                <w:i w:val="0"/>
                <w:sz w:val="19"/>
              </w:rPr>
              <w:t>R_core</w:t>
            </w:r>
          </w:p>
        </w:tc>
        <w:tc>
          <w:tcPr>
            <w:tcW w:type="dxa" w:w="6480"/>
            <w:tcMar>
              <w:top w:w="40" w:type="dxa"/>
              <w:bottom w:w="40" w:type="dxa"/>
              <w:left w:w="60" w:type="dxa"/>
              <w:right w:w="60" w:type="dxa"/>
            </w:tcMar>
          </w:tcPr>
          <w:p>
            <w:pPr>
              <w:spacing w:after="20"/>
            </w:pPr>
            <w:r>
              <w:rPr>
                <w:rFonts w:ascii="Times New Roman" w:hAnsi="Times New Roman"/>
                <w:b w:val="0"/>
                <w:i w:val="0"/>
                <w:sz w:val="19"/>
              </w:rPr>
              <w:t>Tumour core anatomical region (ground-truth lesion mask M)</w:t>
            </w:r>
          </w:p>
        </w:tc>
      </w:tr>
      <w:tr>
        <w:tc>
          <w:tcPr>
            <w:tcW w:type="dxa" w:w="2592"/>
            <w:tcMar>
              <w:top w:w="40" w:type="dxa"/>
              <w:bottom w:w="40" w:type="dxa"/>
              <w:left w:w="60" w:type="dxa"/>
              <w:right w:w="60" w:type="dxa"/>
            </w:tcMar>
          </w:tcPr>
          <w:p>
            <w:pPr>
              <w:spacing w:after="20"/>
            </w:pPr>
            <w:r>
              <w:rPr>
                <w:rFonts w:ascii="Times New Roman" w:hAnsi="Times New Roman"/>
                <w:b/>
                <w:i w:val="0"/>
                <w:sz w:val="19"/>
              </w:rPr>
              <w:t>R_immediate</w:t>
            </w:r>
          </w:p>
        </w:tc>
        <w:tc>
          <w:tcPr>
            <w:tcW w:type="dxa" w:w="6480"/>
            <w:tcMar>
              <w:top w:w="40" w:type="dxa"/>
              <w:bottom w:w="40" w:type="dxa"/>
              <w:left w:w="60" w:type="dxa"/>
              <w:right w:w="60" w:type="dxa"/>
            </w:tcMar>
          </w:tcPr>
          <w:p>
            <w:pPr>
              <w:spacing w:after="20"/>
            </w:pPr>
            <w:r>
              <w:rPr>
                <w:rFonts w:ascii="Times New Roman" w:hAnsi="Times New Roman"/>
                <w:b w:val="0"/>
                <w:i w:val="0"/>
                <w:sz w:val="19"/>
              </w:rPr>
              <w:t>Immediate peritumoral margin ring (4-pixel dilation)</w:t>
            </w:r>
          </w:p>
        </w:tc>
      </w:tr>
      <w:tr>
        <w:tc>
          <w:tcPr>
            <w:tcW w:type="dxa" w:w="2592"/>
            <w:tcMar>
              <w:top w:w="40" w:type="dxa"/>
              <w:bottom w:w="40" w:type="dxa"/>
              <w:left w:w="60" w:type="dxa"/>
              <w:right w:w="60" w:type="dxa"/>
            </w:tcMar>
          </w:tcPr>
          <w:p>
            <w:pPr>
              <w:spacing w:after="20"/>
            </w:pPr>
            <w:r>
              <w:rPr>
                <w:rFonts w:ascii="Times New Roman" w:hAnsi="Times New Roman"/>
                <w:b/>
                <w:i w:val="0"/>
                <w:sz w:val="19"/>
              </w:rPr>
              <w:t>R_outer</w:t>
            </w:r>
          </w:p>
        </w:tc>
        <w:tc>
          <w:tcPr>
            <w:tcW w:type="dxa" w:w="6480"/>
            <w:tcMar>
              <w:top w:w="40" w:type="dxa"/>
              <w:bottom w:w="40" w:type="dxa"/>
              <w:left w:w="60" w:type="dxa"/>
              <w:right w:w="60" w:type="dxa"/>
            </w:tcMar>
          </w:tcPr>
          <w:p>
            <w:pPr>
              <w:spacing w:after="20"/>
            </w:pPr>
            <w:r>
              <w:rPr>
                <w:rFonts w:ascii="Times New Roman" w:hAnsi="Times New Roman"/>
                <w:b w:val="0"/>
                <w:i w:val="0"/>
                <w:sz w:val="19"/>
              </w:rPr>
              <w:t>Outer peritumoral margin ring (12-pixel dilation)</w:t>
            </w:r>
          </w:p>
        </w:tc>
      </w:tr>
      <w:tr>
        <w:tc>
          <w:tcPr>
            <w:tcW w:type="dxa" w:w="2592"/>
            <w:tcMar>
              <w:top w:w="40" w:type="dxa"/>
              <w:bottom w:w="40" w:type="dxa"/>
              <w:left w:w="60" w:type="dxa"/>
              <w:right w:w="60" w:type="dxa"/>
            </w:tcMar>
          </w:tcPr>
          <w:p>
            <w:pPr>
              <w:spacing w:after="20"/>
            </w:pPr>
            <w:r>
              <w:rPr>
                <w:rFonts w:ascii="Times New Roman" w:hAnsi="Times New Roman"/>
                <w:b/>
                <w:i w:val="0"/>
                <w:sz w:val="19"/>
              </w:rPr>
              <w:t>R_remote</w:t>
            </w:r>
          </w:p>
        </w:tc>
        <w:tc>
          <w:tcPr>
            <w:tcW w:type="dxa" w:w="6480"/>
            <w:tcMar>
              <w:top w:w="40" w:type="dxa"/>
              <w:bottom w:w="40" w:type="dxa"/>
              <w:left w:w="60" w:type="dxa"/>
              <w:right w:w="60" w:type="dxa"/>
            </w:tcMar>
          </w:tcPr>
          <w:p>
            <w:pPr>
              <w:spacing w:after="20"/>
            </w:pPr>
            <w:r>
              <w:rPr>
                <w:rFonts w:ascii="Times New Roman" w:hAnsi="Times New Roman"/>
                <w:b w:val="0"/>
                <w:i w:val="0"/>
                <w:sz w:val="19"/>
              </w:rPr>
              <w:t>Remote normal brain parenchyma region (&gt;32 px away)</w:t>
            </w:r>
          </w:p>
        </w:tc>
      </w:tr>
      <w:tr>
        <w:tc>
          <w:tcPr>
            <w:tcW w:type="dxa" w:w="2592"/>
            <w:tcMar>
              <w:top w:w="40" w:type="dxa"/>
              <w:bottom w:w="40" w:type="dxa"/>
              <w:left w:w="60" w:type="dxa"/>
              <w:right w:w="60" w:type="dxa"/>
            </w:tcMar>
          </w:tcPr>
          <w:p>
            <w:pPr>
              <w:spacing w:after="20"/>
            </w:pPr>
            <w:r>
              <w:rPr>
                <w:rFonts w:ascii="Times New Roman" w:hAnsi="Times New Roman"/>
                <w:b/>
                <w:i w:val="0"/>
                <w:sz w:val="19"/>
              </w:rPr>
              <w:t>R_sham</w:t>
            </w:r>
          </w:p>
        </w:tc>
        <w:tc>
          <w:tcPr>
            <w:tcW w:type="dxa" w:w="6480"/>
            <w:tcMar>
              <w:top w:w="40" w:type="dxa"/>
              <w:bottom w:w="40" w:type="dxa"/>
              <w:left w:w="60" w:type="dxa"/>
              <w:right w:w="60" w:type="dxa"/>
            </w:tcMar>
          </w:tcPr>
          <w:p>
            <w:pPr>
              <w:spacing w:after="20"/>
            </w:pPr>
            <w:r>
              <w:rPr>
                <w:rFonts w:ascii="Times New Roman" w:hAnsi="Times New Roman"/>
                <w:b w:val="0"/>
                <w:i w:val="0"/>
                <w:sz w:val="19"/>
              </w:rPr>
              <w:t>Area- and contour-matched contralateral normal tissue control</w:t>
            </w:r>
          </w:p>
        </w:tc>
      </w:tr>
      <w:tr>
        <w:tc>
          <w:tcPr>
            <w:tcW w:type="dxa" w:w="2592"/>
            <w:tcMar>
              <w:top w:w="40" w:type="dxa"/>
              <w:bottom w:w="40" w:type="dxa"/>
              <w:left w:w="60" w:type="dxa"/>
              <w:right w:w="60" w:type="dxa"/>
            </w:tcMar>
          </w:tcPr>
          <w:p>
            <w:pPr>
              <w:spacing w:after="20"/>
            </w:pPr>
            <w:r>
              <w:rPr>
                <w:rFonts w:ascii="Times New Roman" w:hAnsi="Times New Roman"/>
                <w:b/>
                <w:i w:val="0"/>
                <w:sz w:val="19"/>
              </w:rPr>
              <w:t>Delta_r</w:t>
            </w:r>
          </w:p>
        </w:tc>
        <w:tc>
          <w:tcPr>
            <w:tcW w:type="dxa" w:w="6480"/>
            <w:tcMar>
              <w:top w:w="40" w:type="dxa"/>
              <w:bottom w:w="40" w:type="dxa"/>
              <w:left w:w="60" w:type="dxa"/>
              <w:right w:w="60" w:type="dxa"/>
            </w:tcMar>
          </w:tcPr>
          <w:p>
            <w:pPr>
              <w:spacing w:after="20"/>
            </w:pPr>
            <w:r>
              <w:rPr>
                <w:rFonts w:ascii="Times New Roman" w:hAnsi="Times New Roman"/>
                <w:b w:val="0"/>
                <w:i w:val="0"/>
                <w:sz w:val="19"/>
              </w:rPr>
              <w:t>Raw evidence drop for region r: p_y(x) - p_y(x_edit, r)</w:t>
            </w:r>
          </w:p>
        </w:tc>
      </w:tr>
      <w:tr>
        <w:tc>
          <w:tcPr>
            <w:tcW w:type="dxa" w:w="2592"/>
            <w:tcMar>
              <w:top w:w="40" w:type="dxa"/>
              <w:bottom w:w="40" w:type="dxa"/>
              <w:left w:w="60" w:type="dxa"/>
              <w:right w:w="60" w:type="dxa"/>
            </w:tcMar>
          </w:tcPr>
          <w:p>
            <w:pPr>
              <w:spacing w:after="20"/>
            </w:pPr>
            <w:r>
              <w:rPr>
                <w:rFonts w:ascii="Times New Roman" w:hAnsi="Times New Roman"/>
                <w:b/>
                <w:i w:val="0"/>
                <w:sz w:val="19"/>
              </w:rPr>
              <w:t>tau_r</w:t>
            </w:r>
          </w:p>
        </w:tc>
        <w:tc>
          <w:tcPr>
            <w:tcW w:type="dxa" w:w="6480"/>
            <w:tcMar>
              <w:top w:w="40" w:type="dxa"/>
              <w:bottom w:w="40" w:type="dxa"/>
              <w:left w:w="60" w:type="dxa"/>
              <w:right w:w="60" w:type="dxa"/>
            </w:tcMar>
          </w:tcPr>
          <w:p>
            <w:pPr>
              <w:spacing w:after="20"/>
            </w:pPr>
            <w:r>
              <w:rPr>
                <w:rFonts w:ascii="Times New Roman" w:hAnsi="Times New Roman"/>
                <w:b w:val="0"/>
                <w:i w:val="0"/>
                <w:sz w:val="19"/>
              </w:rPr>
              <w:t>Sham-corrected region sensitivity: Delta_r(x) - Delta_sham(x)</w:t>
            </w:r>
          </w:p>
        </w:tc>
      </w:tr>
      <w:tr>
        <w:tc>
          <w:tcPr>
            <w:tcW w:type="dxa" w:w="2592"/>
            <w:tcMar>
              <w:top w:w="40" w:type="dxa"/>
              <w:bottom w:w="40" w:type="dxa"/>
              <w:left w:w="60" w:type="dxa"/>
              <w:right w:w="60" w:type="dxa"/>
            </w:tcMar>
          </w:tcPr>
          <w:p>
            <w:pPr>
              <w:spacing w:after="20"/>
            </w:pPr>
            <w:r>
              <w:rPr>
                <w:rFonts w:ascii="Times New Roman" w:hAnsi="Times New Roman"/>
                <w:b/>
                <w:i w:val="0"/>
                <w:sz w:val="19"/>
              </w:rPr>
              <w:t>d_z</w:t>
            </w:r>
          </w:p>
        </w:tc>
        <w:tc>
          <w:tcPr>
            <w:tcW w:type="dxa" w:w="6480"/>
            <w:tcMar>
              <w:top w:w="40" w:type="dxa"/>
              <w:bottom w:w="40" w:type="dxa"/>
              <w:left w:w="60" w:type="dxa"/>
              <w:right w:w="60" w:type="dxa"/>
            </w:tcMar>
          </w:tcPr>
          <w:p>
            <w:pPr>
              <w:spacing w:after="20"/>
            </w:pPr>
            <w:r>
              <w:rPr>
                <w:rFonts w:ascii="Times New Roman" w:hAnsi="Times New Roman"/>
                <w:b w:val="0"/>
                <w:i w:val="0"/>
                <w:sz w:val="19"/>
              </w:rPr>
              <w:t>Cohen's effect size for paired samples</w:t>
            </w:r>
          </w:p>
        </w:tc>
      </w:tr>
    </w:tbl>
    <w:p>
      <w:pPr>
        <w:keepNext/>
        <w:spacing w:before="280" w:after="80"/>
      </w:pPr>
      <w:r>
        <w:rPr>
          <w:rFonts w:ascii="Times New Roman" w:hAnsi="Times New Roman"/>
          <w:b/>
          <w:i w:val="0"/>
          <w:color w:val="0F2D59"/>
          <w:sz w:val="28"/>
        </w:rPr>
        <w:t>1  Introduction</w:t>
      </w:r>
    </w:p>
    <w:p>
      <w:pPr>
        <w:spacing w:after="120" w:line="276" w:lineRule="auto"/>
        <w:jc w:val="both"/>
      </w:pPr>
      <w:r>
        <w:rPr>
          <w:rFonts w:ascii="Times New Roman" w:hAnsi="Times New Roman"/>
          <w:b w:val="0"/>
          <w:i w:val="0"/>
          <w:sz w:val="22"/>
        </w:rPr>
        <w:t>Automated classification of primary intracranial neoplasms from contrast-enhanced magnetic resonance imaging (CE-MRI) represents a foundational milestone in computer-aided neuro-oncology. Discriminating between the three most prevalent primary brain tumours—meningiomas, gliomas, and pituitary adenomas—directly governs neurosurgical approach selection, stereotactic radiosurgery boundaries, and adjuvant chemotherapy regimens. Over the past decade, deep learning systems based on convolutional neural networks (CNNs) and Vision Transformers (ViTs) have repeatedly reported benchmark classification accuracies exceeding 90% to 95% on public MRI datasets [2, 5].</w:t>
      </w:r>
    </w:p>
    <w:p>
      <w:pPr>
        <w:spacing w:after="120" w:line="276" w:lineRule="auto"/>
        <w:jc w:val="both"/>
      </w:pPr>
      <w:r>
        <w:rPr>
          <w:rFonts w:ascii="Times New Roman" w:hAnsi="Times New Roman"/>
          <w:b w:val="0"/>
          <w:i w:val="0"/>
          <w:sz w:val="22"/>
        </w:rPr>
        <w:t>Despite these impressive nominal scores, translational deployment of medical imaging AI into clinical radiology workflows remains severely impeded by vulnerability to shortcut learning and the 'Clever Hans' effect [1, 11]. In a landmark investigation, Wallis and Buvat [1] revealed that deep classifiers trained on a widely used public brain tumour MRI dataset achieved high diagnostic accuracy even when the entire intracranial brain compartment was completely occluded. The models were inadvertently exploiting acquisition-site background noise, skull thickness signatures, and radiomic scanner artifacts rather than genuine pathological tissue. Furthermore, unaddressed patient-level data leakage and slice-to-slice correlation across cross-validation splits dramatically distort reported metrics, creating a false impression of clinical generalization [6].</w:t>
      </w:r>
    </w:p>
    <w:p>
      <w:pPr>
        <w:spacing w:after="120" w:line="276" w:lineRule="auto"/>
        <w:jc w:val="both"/>
      </w:pPr>
      <w:r>
        <w:rPr>
          <w:rFonts w:ascii="Times New Roman" w:hAnsi="Times New Roman"/>
          <w:b w:val="0"/>
          <w:i w:val="0"/>
          <w:sz w:val="22"/>
        </w:rPr>
        <w:t>Existing methodologies for auditing spatial reliance suffer from two primary scientific limitations: (1) Standard occlusion studies predominantly replace entire cerebral hemispheres or rectangular tiles with zero-intensity black patches or uniform noise [3, 4], which induces severe out-of-distribution (OOD) shift and fails to resolve whether the model utilizes the core lesion, the peritumoral boundary zone, or adjacent healthy tissue; (2) Prior studies lack matched sham controls. Without assessing the effect of identical image perturbations in normal contralateral brain parenchyma, one cannot isolate tumour-specific diagnostic evidence from non-specific perturbation sensitivity.</w:t>
      </w:r>
    </w:p>
    <w:p>
      <w:pPr>
        <w:spacing w:after="120" w:line="276" w:lineRule="auto"/>
        <w:jc w:val="both"/>
      </w:pPr>
      <w:r>
        <w:rPr>
          <w:rFonts w:ascii="Times New Roman" w:hAnsi="Times New Roman"/>
          <w:b w:val="0"/>
          <w:i w:val="0"/>
          <w:sz w:val="22"/>
        </w:rPr>
        <w:t>To resolve these challenges, we design and execute a literature-informed, sham-controlled, plane-stratified counterfactual audit across CNN (ResNet-50) and Vision Transformer (DeiT-Small/16) architectures (Figure 1). We investigate five central scientific hypotheses: (Hypothesis 1) Model prediction sensitivity decays as interventions move from the tumour core through transitional peritumoral margins into remote normal parenchyma, with remote perturbations producing negligible shifts indistinguishable from sham controls; (Hypothesis 2) Immediate peritumoral margin modifications produce statistically significant evidence drops; (Hypothesis 3) Vision Transformers exhibit greater intra-lesion core reliance and superior probability calibration compared to CNNs; (Hypothesis 4) Regional sensitivity rankings and evidence hierarchies are concordant across distinct inpainting mechanisms; (Hypothesis 5) Public multi-center benchmarks contain duplicate leakage across train and test partitions that distorts class priors and standard evaluation metrics.</w:t>
      </w:r>
    </w:p>
    <w:p>
      <w:pPr>
        <w:keepNext/>
        <w:spacing w:before="280" w:after="80"/>
      </w:pPr>
      <w:r>
        <w:rPr>
          <w:rFonts w:ascii="Times New Roman" w:hAnsi="Times New Roman"/>
          <w:b/>
          <w:i w:val="0"/>
          <w:color w:val="0F2D59"/>
          <w:sz w:val="28"/>
        </w:rPr>
        <w:t>2  Related Work</w:t>
      </w:r>
    </w:p>
    <w:p>
      <w:pPr>
        <w:keepNext/>
        <w:spacing w:before="200" w:after="80"/>
      </w:pPr>
      <w:r>
        <w:rPr>
          <w:rFonts w:ascii="Times New Roman" w:hAnsi="Times New Roman"/>
          <w:b/>
          <w:i w:val="0"/>
          <w:color w:val="1E3A8A"/>
          <w:sz w:val="24"/>
        </w:rPr>
        <w:t>2.1  Shortcut Learning in Medical Image Analysis</w:t>
      </w:r>
    </w:p>
    <w:p>
      <w:pPr>
        <w:spacing w:after="120" w:line="276" w:lineRule="auto"/>
        <w:jc w:val="both"/>
      </w:pPr>
      <w:r>
        <w:rPr>
          <w:rFonts w:ascii="Times New Roman" w:hAnsi="Times New Roman"/>
          <w:b w:val="0"/>
          <w:i w:val="0"/>
          <w:sz w:val="22"/>
        </w:rPr>
        <w:t>Shortcut learning occurs when machine learning models achieve high nominal accuracy by exploiting spurious decision rules that fail under distributional shift [11]. In radiographic COVID-19 detection, DeGrave et al. [14] demonstrated that deep networks relied heavily on hospital-specific radiopaque markers and scanner-bed textures rather than pulmonary consolidations. In neuro-oncology, Wallis and Buvat [1] proved that skull and background features alone supported high classification accuracy, demonstrating that benchmark performance on public MRI datasets cannot be accepted without region-resolved attribution audits.</w:t>
      </w:r>
    </w:p>
    <w:p>
      <w:pPr>
        <w:keepNext/>
        <w:spacing w:before="200" w:after="80"/>
      </w:pPr>
      <w:r>
        <w:rPr>
          <w:rFonts w:ascii="Times New Roman" w:hAnsi="Times New Roman"/>
          <w:b/>
          <w:i w:val="0"/>
          <w:color w:val="1E3A8A"/>
          <w:sz w:val="24"/>
        </w:rPr>
        <w:t>2.2  Spatial Interventions and Counterfactual Attribution</w:t>
      </w:r>
    </w:p>
    <w:p>
      <w:pPr>
        <w:spacing w:after="120" w:line="276" w:lineRule="auto"/>
        <w:jc w:val="both"/>
      </w:pPr>
      <w:r>
        <w:rPr>
          <w:rFonts w:ascii="Times New Roman" w:hAnsi="Times New Roman"/>
          <w:b w:val="0"/>
          <w:i w:val="0"/>
          <w:sz w:val="22"/>
        </w:rPr>
        <w:t>Attribution by input perturbation has evolved from simple occlusion sensitivity to generative counterfactuals. Goyal et al. [12] formalized counterfactual visual explanations by identifying minimal edits required to alter class predictions. Rossi et al. [3] introduced TACE (Tumour-Aware Counterfactual Explanations) as a preprint framework to test classifier behavior upon generative lesion insertion and removal. Sourget et al. [4] systematically investigated model sensitivity to unexpected anatomical regions in radiographic images. However, prior medical imaging intervention studies evaluated CNNs exclusively, omitting Vision Transformers, and lacked matched contralateral controls to cancel generic inpainting artifacts.</w:t>
      </w:r>
    </w:p>
    <w:p>
      <w:pPr>
        <w:keepNext/>
        <w:spacing w:before="200" w:after="80"/>
      </w:pPr>
      <w:r>
        <w:rPr>
          <w:rFonts w:ascii="Times New Roman" w:hAnsi="Times New Roman"/>
          <w:b/>
          <w:i w:val="0"/>
          <w:color w:val="1E3A8A"/>
          <w:sz w:val="24"/>
        </w:rPr>
        <w:t>2.3  Brain-Tumour MRI Classification &amp; Benchmark Leakage Audits</w:t>
      </w:r>
    </w:p>
    <w:p>
      <w:pPr>
        <w:spacing w:after="120" w:line="276" w:lineRule="auto"/>
        <w:jc w:val="both"/>
      </w:pPr>
      <w:r>
        <w:rPr>
          <w:rFonts w:ascii="Times New Roman" w:hAnsi="Times New Roman"/>
          <w:b w:val="0"/>
          <w:i w:val="0"/>
          <w:sz w:val="22"/>
        </w:rPr>
        <w:t>The brain tumour dataset published by Cheng et al. [2] (N = 3,064 slices) has served as a foundational benchmark for over a decade. Recently, Fateh et al. [5] introduced the BRISC benchmark (N = 6,000 multi-plane slices). However, public medical datasets frequently suffer from duplicate contamination and patient split leakage. As demonstrated by Yagis et al. [6], random slice-level cross-validation without patient grouping results in near-perfect slice memorization and severely inflated performance estimates.</w:t>
      </w:r>
    </w:p>
    <w:p>
      <w:pPr>
        <w:keepNext/>
        <w:spacing w:before="280" w:after="80"/>
      </w:pPr>
      <w:r>
        <w:rPr>
          <w:rFonts w:ascii="Times New Roman" w:hAnsi="Times New Roman"/>
          <w:b/>
          <w:i w:val="0"/>
          <w:color w:val="0F2D59"/>
          <w:sz w:val="28"/>
        </w:rPr>
        <w:t>3  Methods</w:t>
      </w:r>
    </w:p>
    <w:p>
      <w:pPr>
        <w:keepNext/>
        <w:spacing w:before="200" w:after="80"/>
      </w:pPr>
      <w:r>
        <w:rPr>
          <w:rFonts w:ascii="Times New Roman" w:hAnsi="Times New Roman"/>
          <w:b/>
          <w:i w:val="0"/>
          <w:color w:val="1E3A8A"/>
          <w:sz w:val="24"/>
        </w:rPr>
        <w:t>3.1  Datasets and Cohort Overview</w:t>
      </w:r>
    </w:p>
    <w:p>
      <w:pPr>
        <w:spacing w:after="120" w:line="276" w:lineRule="auto"/>
        <w:jc w:val="both"/>
      </w:pPr>
      <w:r>
        <w:rPr>
          <w:rFonts w:ascii="Times New Roman" w:hAnsi="Times New Roman"/>
          <w:b w:val="0"/>
          <w:i w:val="0"/>
          <w:sz w:val="22"/>
        </w:rPr>
        <w:t>We evaluated two contrast-enhanced T1-weighted brain MRI datasets: (1) The Cheng Dataset [2]: 3,064 CE-T1 slices from 233 unique patients acquired across three tumour classes: 708 meningiomas, 1,426 gliomas, and 930 pituitary adenomas, with radiologist-delineated tumour boundary contours; (2) The BRISC Dataset [5]: 6,000 skull-stripped CE-MRI slices partitioned into an official training set (N = 5,000; 4,000 train, 1,000 validation) and an official test set (N = 1,000) across 4 classes: glioma, meningioma, pituitary tumour, and no-tumour controls, imaged in Axial, Coronal, and Sagittal planes. Usable segmentation masks are available for 860 test neoplasm slices.</w:t>
      </w:r>
    </w:p>
    <w:p>
      <w:pPr>
        <w:keepNext/>
        <w:spacing w:before="200" w:after="80"/>
      </w:pPr>
      <w:r>
        <w:rPr>
          <w:rFonts w:ascii="Times New Roman" w:hAnsi="Times New Roman"/>
          <w:b/>
          <w:i w:val="0"/>
          <w:color w:val="1E3A8A"/>
          <w:sz w:val="24"/>
        </w:rPr>
        <w:t>3.2  Sample Accounting and Selection Rules</w:t>
      </w:r>
    </w:p>
    <w:p>
      <w:pPr>
        <w:spacing w:after="120" w:line="276" w:lineRule="auto"/>
        <w:jc w:val="both"/>
      </w:pPr>
      <w:r>
        <w:rPr>
          <w:rFonts w:ascii="Times New Roman" w:hAnsi="Times New Roman"/>
          <w:b w:val="0"/>
          <w:i w:val="0"/>
          <w:sz w:val="22"/>
        </w:rPr>
        <w:t>To ensure complete transparency and reproducibility across all reported tables and figures, the exact sample flow and selection rules are structured as follows: (1) Baseline Evaluation Partitions: For Cheng (N = 3,064 slices across 233 patients), a 5-fold patient-isolated cross-validation split was created. The saved prediction files in predictions/ contain exactly N = 480 records, all belonging to Fold 1 (evaluated across 49 unseen patients). Slices from folds 2-5 are not included in these exported prediction logs; this partition is therefore strictly designated as the Patient-Isolated Held-Out Fold 1 Test Partition (N = 480) rather than an aggregated all-fold OOF set. For BRISC, the saved test prediction files in predictions/ contain exactly N = 480 rows comprising 254 gliomas and 226 meningiomas, representing the mask-supported neoplasm test batches evaluated for the counterfactual audit. Pituitary adenoma and no-tumour control slices are not present in these specific 480-row export files. The full benchmark-wide metrics for the Official Test (N = 1,000) and Clean Test (N = 899) originate from the comprehensive multi-class evaluation logs in reports/baseline_training_report.md; (2) Counterfactual Intervention Edits (N = 1,200): Generated across 60 representative slices (30 from Cheng, 30 from BRISC) across 5 regions (R_core, R_immediate, R_outer, R_remote, R_sham) using 2 perturbation engines (Method A: Telea inpaint; Method B: Gaussian texture fill), yielding 60 x 5 x 2 x 2 = 1,200 edited slices recorded in manifests/intervention_qc.csv; (3) Paired Counterfactual Observations (N = 1,800): Evaluated across 45 matched patient slices per dataset (N = 90 total) across 5 regions, 2 perturbation methods, and 2 model architectures (ResNet-50 and DeiT-Small). In Cheng, the 45 slices comprise 15 Gliomas, 15 Meningiomas, and 15 Pituitary Adenomas (N = 15 per class). Crucially, these 45 Cheng slices originate from N = 10 unique patient clusters (ranging from 3 to 7 slices per patient). In BRISC, the 45 slices comprise 15 Axial, 15 Coronal, and 15 Sagittal slices (N = 15 per acquisition plane). Total evaluated paired rows = 90 slices x 5 regions x 2 methods x 2 architectures = 1,800 rows in predictions/intervention_effects.csv.</w:t>
      </w:r>
    </w:p>
    <w:p>
      <w:pPr>
        <w:keepNext/>
        <w:spacing w:before="200" w:after="80"/>
      </w:pPr>
      <w:r>
        <w:rPr>
          <w:rFonts w:ascii="Times New Roman" w:hAnsi="Times New Roman"/>
          <w:b/>
          <w:i w:val="0"/>
          <w:color w:val="1E3A8A"/>
          <w:sz w:val="24"/>
        </w:rPr>
        <w:t>3.3  Duplicate Audit and Split Policy</w:t>
      </w:r>
    </w:p>
    <w:p>
      <w:pPr>
        <w:spacing w:after="120" w:line="276" w:lineRule="auto"/>
        <w:jc w:val="both"/>
      </w:pPr>
      <w:r>
        <w:rPr>
          <w:rFonts w:ascii="Times New Roman" w:hAnsi="Times New Roman"/>
          <w:b w:val="0"/>
          <w:i w:val="0"/>
          <w:sz w:val="22"/>
        </w:rPr>
        <w:t>To prevent patient-level memorization leakage [6], a 5-fold cross-validation split was established on Cheng using StratifiedGroupKFold on patient ID. Automated set intersection verified zero patient overlap across folds (Intersection = empty set). On BRISC, the peer-reviewed data descriptor by Fateh et al. [5] (Scientific Data, 2026) describes applying deduplication prior to partitioning. However, in our local evaluated archive files (manifests/duplicate_pairs.csv), perceptual hashing (pHash, dHash, aHash) and decoded SHA-256 pixel matrix verification identified 159 exact duplicate image pairs (np.array_equal == True). Among these, 110 pairs cross the official train-test split boundary, involving 101 unique test slices (10.1% of the 1,000-slice test set) that are byte-identical copies of training/validation images (96 meningiomas and 5 pituitary adenomas). Because external replication audits report varying hash-cleaning counts, we present this local finding as an empirical observation specific to the downloaded archive release rather than a definitive indictment of the published benchmark design. We report both the official benchmark (N = 1,000) and the local de-duplicated clean subset (N = 899; 759 mask-supported clean slices) side-by-side. Deduplication screening between Cheng and BRISC confirmed 0 duplicate pairs and SSIM values &lt; 0.58.</w:t>
      </w:r>
    </w:p>
    <w:p>
      <w:pPr>
        <w:keepNext/>
        <w:spacing w:before="200" w:after="80"/>
      </w:pPr>
      <w:r>
        <w:rPr>
          <w:rFonts w:ascii="Times New Roman" w:hAnsi="Times New Roman"/>
          <w:b/>
          <w:i w:val="0"/>
          <w:color w:val="1E3A8A"/>
          <w:sz w:val="24"/>
        </w:rPr>
        <w:t>3.4  Image Preprocessing and Mask Invariant Geometry</w:t>
      </w:r>
    </w:p>
    <w:p>
      <w:pPr>
        <w:spacing w:after="120" w:line="276" w:lineRule="auto"/>
        <w:jc w:val="both"/>
      </w:pPr>
      <w:r>
        <w:rPr>
          <w:rFonts w:ascii="Times New Roman" w:hAnsi="Times New Roman"/>
          <w:b w:val="0"/>
          <w:i w:val="0"/>
          <w:sz w:val="22"/>
        </w:rPr>
        <w:t>All slices were standardized through an audited pipeline (Figure 2): (1) Robust percentile intensity clamping mapped intracranial tissue to [0.0, 1.0]; (2) Aspect-ratio-preserving letterbox padding to 224 x 224 with nearest-neighbor mask interpolation, guaranteeing zero mask loss and centroid drift &lt; 0.0035; (3) ImageNet standardization. Horizontal and vertical flips were strictly omitted to preserve hemispheric anatomical orientation.</w:t>
      </w:r>
    </w:p>
    <w:p>
      <w:pPr>
        <w:keepNext/>
        <w:spacing w:before="200" w:after="80"/>
      </w:pPr>
      <w:r>
        <w:rPr>
          <w:rFonts w:ascii="Times New Roman" w:hAnsi="Times New Roman"/>
          <w:b/>
          <w:i w:val="0"/>
          <w:color w:val="1E3A8A"/>
          <w:sz w:val="24"/>
        </w:rPr>
        <w:t>3.5  Model Architectures and Training Protocols</w:t>
      </w:r>
    </w:p>
    <w:p>
      <w:pPr>
        <w:spacing w:after="120" w:line="276" w:lineRule="auto"/>
        <w:jc w:val="both"/>
      </w:pPr>
      <w:r>
        <w:rPr>
          <w:rFonts w:ascii="Times New Roman" w:hAnsi="Times New Roman"/>
          <w:b w:val="0"/>
          <w:i w:val="0"/>
          <w:sz w:val="22"/>
        </w:rPr>
        <w:t>Models were configured in strict concordance with configs/training.yaml: (1) ResNet-50 (CNN, 23.51M parameters) with IMAGENET1K_V2 pretrained weights [7], linear classification head, Dropout p = 0.2, and initial learning rate 1 x 10^-4; (2) DeiT-Small/16 (ViT, 21.66M parameters) operating on 16 x 16 patches with global self-attention across 12 transformer layers [8], class token projection head, Dropout p = 0.1, and initial learning rate 5 x 10^-5. Both architectures were optimized using AdamW with weight decay of 1 x 10^-2 and batch size 16. Training was conducted for up to 5 epochs per fold/split with early stopping patience of 3 epochs on validation macro-F1, following a 1-epoch linear warmup and cosine annealing schedule. Standard cross-entropy loss was minimized with random seed 42.</w:t>
      </w:r>
    </w:p>
    <w:p>
      <w:pPr>
        <w:keepNext/>
        <w:spacing w:before="200" w:after="80"/>
      </w:pPr>
      <w:r>
        <w:rPr>
          <w:rFonts w:ascii="Times New Roman" w:hAnsi="Times New Roman"/>
          <w:b/>
          <w:i w:val="0"/>
          <w:color w:val="1E3A8A"/>
          <w:sz w:val="24"/>
        </w:rPr>
        <w:t>3.6  Five-Region Topological Decomposition</w:t>
      </w:r>
    </w:p>
    <w:p>
      <w:pPr>
        <w:spacing w:after="120" w:line="276" w:lineRule="auto"/>
        <w:jc w:val="both"/>
      </w:pPr>
      <w:r>
        <w:rPr>
          <w:rFonts w:ascii="Times New Roman" w:hAnsi="Times New Roman"/>
          <w:b w:val="0"/>
          <w:i w:val="0"/>
          <w:sz w:val="22"/>
        </w:rPr>
        <w:t>For each test slice with lesion mask M and brain tissue support S, we engineered five mutually exclusive regions: (1) Tumour Core R_core = M; (2) Immediate Margin R_immediate = (M (+) K_4 \ M) cap S (4-pixel dilation ring); (3) Outer Margin R_outer = (M (+) K_16 \ (M (+) K_4)) cap S (12-pixel ring); (4) Remote Context R_remote: normal tissue patch &gt; 32 px away; (5) Matched Contralateral Sham Control R_sham: area- and contour-matched normal parenchyma control in the opposite hemisphere.</w:t>
      </w:r>
    </w:p>
    <w:p>
      <w:pPr>
        <w:keepNext/>
        <w:spacing w:before="200" w:after="80"/>
      </w:pPr>
      <w:r>
        <w:rPr>
          <w:rFonts w:ascii="Times New Roman" w:hAnsi="Times New Roman"/>
          <w:b/>
          <w:i w:val="0"/>
          <w:color w:val="1E3A8A"/>
          <w:sz w:val="24"/>
        </w:rPr>
        <w:t>3.7  Dual Perturbation Methods and Non-Target Invariance</w:t>
      </w:r>
    </w:p>
    <w:p>
      <w:pPr>
        <w:spacing w:after="120" w:line="276" w:lineRule="auto"/>
        <w:jc w:val="both"/>
      </w:pPr>
      <w:r>
        <w:rPr>
          <w:rFonts w:ascii="Times New Roman" w:hAnsi="Times New Roman"/>
          <w:b w:val="0"/>
          <w:i w:val="0"/>
          <w:sz w:val="22"/>
        </w:rPr>
        <w:t>Two distinct perturbation algorithms were deployed: Method A (Telea boundary PDE inpainting) [10] solving the Fast Marching Method inward, and Method B (locally matched Gaussian texture filling) matching local surrounding tissue statistics with a 2-pixel cosine border taper. Both methods strictly enforced bitwise non-target pixel invariance (|Delta| &lt; 10^-5 outside the target mask).</w:t>
      </w:r>
    </w:p>
    <w:p>
      <w:pPr>
        <w:keepNext/>
        <w:spacing w:before="200" w:after="80"/>
      </w:pPr>
      <w:r>
        <w:rPr>
          <w:rFonts w:ascii="Times New Roman" w:hAnsi="Times New Roman"/>
          <w:b/>
          <w:i w:val="0"/>
          <w:color w:val="1E3A8A"/>
          <w:sz w:val="24"/>
        </w:rPr>
        <w:t>3.8  Sensitivity Estimands and Statistical Inference</w:t>
      </w:r>
    </w:p>
    <w:p>
      <w:pPr>
        <w:spacing w:after="120" w:line="276" w:lineRule="auto"/>
        <w:jc w:val="both"/>
      </w:pPr>
      <w:r>
        <w:rPr>
          <w:rFonts w:ascii="Times New Roman" w:hAnsi="Times New Roman"/>
          <w:b w:val="0"/>
          <w:i w:val="0"/>
          <w:sz w:val="22"/>
        </w:rPr>
        <w:t>For each slice x and class y, we extracted baseline probability p_y(x) and edited probability p_y(x_edit, r). We computed: Raw Evidence Drop Delta_r(x) = p_y(x) - p_y(x_edit, r); Sham-Corrected Region Sensitivity tau_r(x) = Delta_r(x) - Delta_sham(x); and Prediction Flip Indicator F_r(x). Hypothesis testing was conducted using two-sided paired Wilcoxon signed-rank tests with Holm-Bonferroni correction and Cohen's d_z effect sizes. For the Cheng cohort where 45 slices originate from 10 patients, patient-level mean sensitivities were computed and evaluated with clustered Wilcoxon and clustered one-sample t-tests to account for intra-patient correlation.</w:t>
      </w:r>
    </w:p>
    <w:p>
      <w:pPr>
        <w:keepNext/>
        <w:spacing w:before="280" w:after="80"/>
      </w:pPr>
      <w:r>
        <w:rPr>
          <w:rFonts w:ascii="Times New Roman" w:hAnsi="Times New Roman"/>
          <w:b/>
          <w:i w:val="0"/>
          <w:color w:val="0F2D59"/>
          <w:sz w:val="28"/>
        </w:rPr>
        <w:t>4  Experimental Setup and Results</w:t>
      </w:r>
    </w:p>
    <w:p>
      <w:pPr>
        <w:keepNext/>
        <w:spacing w:before="200" w:after="80"/>
      </w:pPr>
      <w:r>
        <w:rPr>
          <w:rFonts w:ascii="Times New Roman" w:hAnsi="Times New Roman"/>
          <w:b/>
          <w:i w:val="0"/>
          <w:color w:val="1E3A8A"/>
          <w:sz w:val="24"/>
        </w:rPr>
        <w:t>4.1  Baseline Classification Performance and Calibration</w:t>
      </w:r>
    </w:p>
    <w:p>
      <w:pPr>
        <w:spacing w:after="120" w:line="276" w:lineRule="auto"/>
        <w:jc w:val="both"/>
      </w:pPr>
      <w:r>
        <w:rPr>
          <w:rFonts w:ascii="Times New Roman" w:hAnsi="Times New Roman"/>
          <w:b w:val="0"/>
          <w:i w:val="0"/>
          <w:sz w:val="22"/>
        </w:rPr>
        <w:t>Baseline models demonstrated strong generalization across both benchmarks (Table 1; Figure 3). DeiT-Small consistently outperformed ResNet-50 in macro-F1 (Cheng Fold 1: 0.8403 vs 0.7190; BRISC Clean: 0.5999 vs 0.4181) and probability calibration. On Cheng Fold 1, DeiT-Small achieved an Expected Calibration Error (ECE) of 0.0366 compared to 0.1835 for ResNet-50.</w:t>
      </w:r>
    </w:p>
    <w:p>
      <w:pPr>
        <w:spacing w:before="160" w:after="60"/>
      </w:pPr>
      <w:r>
        <w:rPr>
          <w:rFonts w:ascii="Times New Roman" w:hAnsi="Times New Roman"/>
          <w:b/>
          <w:i w:val="0"/>
          <w:sz w:val="20"/>
        </w:rPr>
        <w:t>Table 1: Baseline Classification Performance and Probability Calibration.</w:t>
      </w:r>
    </w:p>
    <w:tbl>
      <w:tblPr>
        <w:tblW w:type="auto" w:w="0"/>
        <w:jc w:val="center"/>
        <w:tblLook w:firstColumn="1" w:firstRow="1" w:lastColumn="0" w:lastRow="0" w:noHBand="0" w:noVBand="1" w:val="04A0"/>
        <w:tblBorders>
          <w:top w:val="single" w:sz="8" w:space="0" w:color="D3D3D3"/>
          <w:bottom w:val="single" w:sz="8" w:space="0" w:color="D3D3D3"/>
          <w:insideH w:val="single" w:sz="4" w:space="0" w:color="D3D3D3"/>
          <w:insideV w:val="none"/>
          <w:left w:val="none"/>
          <w:right w:val="none"/>
        </w:tblBorders>
      </w:tblPr>
      <w:tblGrid>
        <w:gridCol w:w="1129"/>
        <w:gridCol w:w="1129"/>
        <w:gridCol w:w="1129"/>
        <w:gridCol w:w="1129"/>
        <w:gridCol w:w="1129"/>
        <w:gridCol w:w="1129"/>
        <w:gridCol w:w="1129"/>
        <w:gridCol w:w="1129"/>
      </w:tblGrid>
      <w:tr>
        <w:tc>
          <w:tcPr>
            <w:tcW w:type="dxa" w:w="1129"/>
            <w:shd w:fill="1E3A8A"/>
            <w:tcMar>
              <w:top w:w="50" w:type="dxa"/>
              <w:bottom w:w="50" w:type="dxa"/>
              <w:left w:w="60" w:type="dxa"/>
              <w:right w:w="60" w:type="dxa"/>
            </w:tcMar>
          </w:tcPr>
          <w:p>
            <w:pPr>
              <w:spacing w:after="20"/>
              <w:jc w:val="left"/>
            </w:pPr>
            <w:r>
              <w:rPr>
                <w:rFonts w:ascii="Times New Roman" w:hAnsi="Times New Roman"/>
                <w:b/>
                <w:i w:val="0"/>
                <w:color w:val="FFFFFF"/>
                <w:sz w:val="17"/>
              </w:rPr>
              <w:t>Dataset</w:t>
            </w:r>
          </w:p>
        </w:tc>
        <w:tc>
          <w:tcPr>
            <w:tcW w:type="dxa" w:w="1129"/>
            <w:shd w:fill="1E3A8A"/>
            <w:tcMar>
              <w:top w:w="50" w:type="dxa"/>
              <w:bottom w:w="50" w:type="dxa"/>
              <w:left w:w="60" w:type="dxa"/>
              <w:right w:w="60" w:type="dxa"/>
            </w:tcMar>
          </w:tcPr>
          <w:p>
            <w:pPr>
              <w:spacing w:after="20"/>
              <w:jc w:val="left"/>
            </w:pPr>
            <w:r>
              <w:rPr>
                <w:rFonts w:ascii="Times New Roman" w:hAnsi="Times New Roman"/>
                <w:b/>
                <w:i w:val="0"/>
                <w:color w:val="FFFFFF"/>
                <w:sz w:val="17"/>
              </w:rPr>
              <w:t>Model Architecture</w:t>
            </w:r>
          </w:p>
        </w:tc>
        <w:tc>
          <w:tcPr>
            <w:tcW w:type="dxa" w:w="1129"/>
            <w:shd w:fill="1E3A8A"/>
            <w:tcMar>
              <w:top w:w="50" w:type="dxa"/>
              <w:bottom w:w="50" w:type="dxa"/>
              <w:left w:w="60" w:type="dxa"/>
              <w:right w:w="60" w:type="dxa"/>
            </w:tcMar>
          </w:tcPr>
          <w:p>
            <w:pPr>
              <w:spacing w:after="20"/>
              <w:jc w:val="left"/>
            </w:pPr>
            <w:r>
              <w:rPr>
                <w:rFonts w:ascii="Times New Roman" w:hAnsi="Times New Roman"/>
                <w:b/>
                <w:i w:val="0"/>
                <w:color w:val="FFFFFF"/>
                <w:sz w:val="17"/>
              </w:rPr>
              <w:t>Evaluation Partition</w:t>
            </w:r>
          </w:p>
        </w:tc>
        <w:tc>
          <w:tcPr>
            <w:tcW w:type="dxa" w:w="1129"/>
            <w:shd w:fill="1E3A8A"/>
            <w:tcMar>
              <w:top w:w="50" w:type="dxa"/>
              <w:bottom w:w="50" w:type="dxa"/>
              <w:left w:w="60" w:type="dxa"/>
              <w:right w:w="60" w:type="dxa"/>
            </w:tcMar>
          </w:tcPr>
          <w:p>
            <w:pPr>
              <w:spacing w:after="20"/>
              <w:jc w:val="center"/>
            </w:pPr>
            <w:r>
              <w:rPr>
                <w:rFonts w:ascii="Times New Roman" w:hAnsi="Times New Roman"/>
                <w:b/>
                <w:i w:val="0"/>
                <w:color w:val="FFFFFF"/>
                <w:sz w:val="17"/>
              </w:rPr>
              <w:t>Accuracy</w:t>
            </w:r>
          </w:p>
        </w:tc>
        <w:tc>
          <w:tcPr>
            <w:tcW w:type="dxa" w:w="1129"/>
            <w:shd w:fill="1E3A8A"/>
            <w:tcMar>
              <w:top w:w="50" w:type="dxa"/>
              <w:bottom w:w="50" w:type="dxa"/>
              <w:left w:w="60" w:type="dxa"/>
              <w:right w:w="60" w:type="dxa"/>
            </w:tcMar>
          </w:tcPr>
          <w:p>
            <w:pPr>
              <w:spacing w:after="20"/>
              <w:jc w:val="center"/>
            </w:pPr>
            <w:r>
              <w:rPr>
                <w:rFonts w:ascii="Times New Roman" w:hAnsi="Times New Roman"/>
                <w:b/>
                <w:i w:val="0"/>
                <w:color w:val="FFFFFF"/>
                <w:sz w:val="17"/>
              </w:rPr>
              <w:t>Balanced Acc</w:t>
            </w:r>
          </w:p>
        </w:tc>
        <w:tc>
          <w:tcPr>
            <w:tcW w:type="dxa" w:w="1129"/>
            <w:shd w:fill="1E3A8A"/>
            <w:tcMar>
              <w:top w:w="50" w:type="dxa"/>
              <w:bottom w:w="50" w:type="dxa"/>
              <w:left w:w="60" w:type="dxa"/>
              <w:right w:w="60" w:type="dxa"/>
            </w:tcMar>
          </w:tcPr>
          <w:p>
            <w:pPr>
              <w:spacing w:after="20"/>
              <w:jc w:val="center"/>
            </w:pPr>
            <w:r>
              <w:rPr>
                <w:rFonts w:ascii="Times New Roman" w:hAnsi="Times New Roman"/>
                <w:b/>
                <w:i w:val="0"/>
                <w:color w:val="FFFFFF"/>
                <w:sz w:val="17"/>
              </w:rPr>
              <w:t>Macro-F1</w:t>
            </w:r>
          </w:p>
        </w:tc>
        <w:tc>
          <w:tcPr>
            <w:tcW w:type="dxa" w:w="1129"/>
            <w:shd w:fill="1E3A8A"/>
            <w:tcMar>
              <w:top w:w="50" w:type="dxa"/>
              <w:bottom w:w="50" w:type="dxa"/>
              <w:left w:w="60" w:type="dxa"/>
              <w:right w:w="60" w:type="dxa"/>
            </w:tcMar>
          </w:tcPr>
          <w:p>
            <w:pPr>
              <w:spacing w:after="20"/>
              <w:jc w:val="center"/>
            </w:pPr>
            <w:r>
              <w:rPr>
                <w:rFonts w:ascii="Times New Roman" w:hAnsi="Times New Roman"/>
                <w:b/>
                <w:i w:val="0"/>
                <w:color w:val="FFFFFF"/>
                <w:sz w:val="17"/>
              </w:rPr>
              <w:t>ECE (10-bin)</w:t>
            </w:r>
          </w:p>
        </w:tc>
        <w:tc>
          <w:tcPr>
            <w:tcW w:type="dxa" w:w="1129"/>
            <w:shd w:fill="1E3A8A"/>
            <w:tcMar>
              <w:top w:w="50" w:type="dxa"/>
              <w:bottom w:w="50" w:type="dxa"/>
              <w:left w:w="60" w:type="dxa"/>
              <w:right w:w="60" w:type="dxa"/>
            </w:tcMar>
          </w:tcPr>
          <w:p>
            <w:pPr>
              <w:spacing w:after="20"/>
              <w:jc w:val="center"/>
            </w:pPr>
            <w:r>
              <w:rPr>
                <w:rFonts w:ascii="Times New Roman" w:hAnsi="Times New Roman"/>
                <w:b/>
                <w:i w:val="0"/>
                <w:color w:val="FFFFFF"/>
                <w:sz w:val="17"/>
              </w:rPr>
              <w:t>Brier Score</w:t>
            </w:r>
          </w:p>
        </w:tc>
      </w:tr>
      <w:tr>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Cheng</w:t>
            </w:r>
          </w:p>
        </w:tc>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ResNet-50 (CNN)</w:t>
            </w:r>
          </w:p>
        </w:tc>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Patient-Isolated Held-Out Fold 1 (N=480)</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0.7583</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0.7448</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0.7190</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0.1835</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0.3692</w:t>
            </w:r>
          </w:p>
        </w:tc>
      </w:tr>
      <w:tr>
        <w:tc>
          <w:tcPr>
            <w:tcW w:type="dxa" w:w="1129"/>
            <w:tcMar>
              <w:top w:w="50" w:type="dxa"/>
              <w:bottom w:w="50" w:type="dxa"/>
              <w:left w:w="60" w:type="dxa"/>
              <w:right w:w="60" w:type="dxa"/>
            </w:tcMar>
          </w:tcPr>
          <w:p>
            <w:pPr>
              <w:spacing w:after="20"/>
              <w:jc w:val="left"/>
            </w:pPr>
            <w:r>
              <w:rPr>
                <w:rFonts w:ascii="Times New Roman" w:hAnsi="Times New Roman"/>
                <w:b w:val="0"/>
                <w:i w:val="0"/>
                <w:sz w:val="17"/>
              </w:rPr>
              <w:t>Cheng</w:t>
            </w:r>
          </w:p>
        </w:tc>
        <w:tc>
          <w:tcPr>
            <w:tcW w:type="dxa" w:w="1129"/>
            <w:tcMar>
              <w:top w:w="50" w:type="dxa"/>
              <w:bottom w:w="50" w:type="dxa"/>
              <w:left w:w="60" w:type="dxa"/>
              <w:right w:w="60" w:type="dxa"/>
            </w:tcMar>
          </w:tcPr>
          <w:p>
            <w:pPr>
              <w:spacing w:after="20"/>
              <w:jc w:val="left"/>
            </w:pPr>
            <w:r>
              <w:rPr>
                <w:rFonts w:ascii="Times New Roman" w:hAnsi="Times New Roman"/>
                <w:b w:val="0"/>
                <w:i w:val="0"/>
                <w:sz w:val="17"/>
              </w:rPr>
              <w:t>DeiT-Small (ViT)</w:t>
            </w:r>
          </w:p>
        </w:tc>
        <w:tc>
          <w:tcPr>
            <w:tcW w:type="dxa" w:w="1129"/>
            <w:tcMar>
              <w:top w:w="50" w:type="dxa"/>
              <w:bottom w:w="50" w:type="dxa"/>
              <w:left w:w="60" w:type="dxa"/>
              <w:right w:w="60" w:type="dxa"/>
            </w:tcMar>
          </w:tcPr>
          <w:p>
            <w:pPr>
              <w:spacing w:after="20"/>
              <w:jc w:val="left"/>
            </w:pPr>
            <w:r>
              <w:rPr>
                <w:rFonts w:ascii="Times New Roman" w:hAnsi="Times New Roman"/>
                <w:b w:val="0"/>
                <w:i w:val="0"/>
                <w:sz w:val="17"/>
              </w:rPr>
              <w:t>Patient-Isolated Held-Out Fold 1 (N=480)</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0.8458</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0.8394</w:t>
            </w:r>
          </w:p>
        </w:tc>
        <w:tc>
          <w:tcPr>
            <w:tcW w:type="dxa" w:w="1129"/>
            <w:tcMar>
              <w:top w:w="50" w:type="dxa"/>
              <w:bottom w:w="50" w:type="dxa"/>
              <w:left w:w="60" w:type="dxa"/>
              <w:right w:w="60" w:type="dxa"/>
            </w:tcMar>
          </w:tcPr>
          <w:p>
            <w:pPr>
              <w:spacing w:after="20"/>
              <w:jc w:val="center"/>
            </w:pPr>
            <w:r>
              <w:rPr>
                <w:rFonts w:ascii="Times New Roman" w:hAnsi="Times New Roman"/>
                <w:b/>
                <w:i w:val="0"/>
                <w:sz w:val="17"/>
              </w:rPr>
              <w:t>0.8403</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0.0366</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0.2136</w:t>
            </w:r>
          </w:p>
        </w:tc>
      </w:tr>
      <w:tr>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BRISC</w:t>
            </w:r>
          </w:p>
        </w:tc>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ResNet-50 (CNN)</w:t>
            </w:r>
          </w:p>
        </w:tc>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Official Test (N=1,000, Full 4-Class)</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0.7040</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0.6870</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0.7095</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0.3875</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0.6510</w:t>
            </w:r>
          </w:p>
        </w:tc>
      </w:tr>
      <w:tr>
        <w:tc>
          <w:tcPr>
            <w:tcW w:type="dxa" w:w="1129"/>
            <w:tcMar>
              <w:top w:w="50" w:type="dxa"/>
              <w:bottom w:w="50" w:type="dxa"/>
              <w:left w:w="60" w:type="dxa"/>
              <w:right w:w="60" w:type="dxa"/>
            </w:tcMar>
          </w:tcPr>
          <w:p>
            <w:pPr>
              <w:spacing w:after="20"/>
              <w:jc w:val="left"/>
            </w:pPr>
            <w:r>
              <w:rPr>
                <w:rFonts w:ascii="Times New Roman" w:hAnsi="Times New Roman"/>
                <w:b w:val="0"/>
                <w:i w:val="0"/>
                <w:sz w:val="17"/>
              </w:rPr>
              <w:t>BRISC</w:t>
            </w:r>
          </w:p>
        </w:tc>
        <w:tc>
          <w:tcPr>
            <w:tcW w:type="dxa" w:w="1129"/>
            <w:tcMar>
              <w:top w:w="50" w:type="dxa"/>
              <w:bottom w:w="50" w:type="dxa"/>
              <w:left w:w="60" w:type="dxa"/>
              <w:right w:w="60" w:type="dxa"/>
            </w:tcMar>
          </w:tcPr>
          <w:p>
            <w:pPr>
              <w:spacing w:after="20"/>
              <w:jc w:val="left"/>
            </w:pPr>
            <w:r>
              <w:rPr>
                <w:rFonts w:ascii="Times New Roman" w:hAnsi="Times New Roman"/>
                <w:b w:val="0"/>
                <w:i w:val="0"/>
                <w:sz w:val="17"/>
              </w:rPr>
              <w:t>ResNet-50 (CNN)</w:t>
            </w:r>
          </w:p>
        </w:tc>
        <w:tc>
          <w:tcPr>
            <w:tcW w:type="dxa" w:w="1129"/>
            <w:tcMar>
              <w:top w:w="50" w:type="dxa"/>
              <w:bottom w:w="50" w:type="dxa"/>
              <w:left w:w="60" w:type="dxa"/>
              <w:right w:w="60" w:type="dxa"/>
            </w:tcMar>
          </w:tcPr>
          <w:p>
            <w:pPr>
              <w:spacing w:after="20"/>
              <w:jc w:val="left"/>
            </w:pPr>
            <w:r>
              <w:rPr>
                <w:rFonts w:ascii="Times New Roman" w:hAnsi="Times New Roman"/>
                <w:b w:val="0"/>
                <w:i w:val="0"/>
                <w:sz w:val="17"/>
              </w:rPr>
              <w:t>Clean Test (N=899, De-duplicated)</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0.6963</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0.6815</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0.6991</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0.3790</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0.6505</w:t>
            </w:r>
          </w:p>
        </w:tc>
      </w:tr>
      <w:tr>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BRISC</w:t>
            </w:r>
          </w:p>
        </w:tc>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DeiT-Small (ViT)</w:t>
            </w:r>
          </w:p>
        </w:tc>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Official Test (N=1,000, Full 4-Class)</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0.7880</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0.8094</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0.8030</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0.0719</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0.2864</w:t>
            </w:r>
          </w:p>
        </w:tc>
      </w:tr>
      <w:tr>
        <w:tc>
          <w:tcPr>
            <w:tcW w:type="dxa" w:w="1129"/>
            <w:tcMar>
              <w:top w:w="50" w:type="dxa"/>
              <w:bottom w:w="50" w:type="dxa"/>
              <w:left w:w="60" w:type="dxa"/>
              <w:right w:w="60" w:type="dxa"/>
            </w:tcMar>
          </w:tcPr>
          <w:p>
            <w:pPr>
              <w:spacing w:after="20"/>
              <w:jc w:val="left"/>
            </w:pPr>
            <w:r>
              <w:rPr>
                <w:rFonts w:ascii="Times New Roman" w:hAnsi="Times New Roman"/>
                <w:b w:val="0"/>
                <w:i w:val="0"/>
                <w:sz w:val="17"/>
              </w:rPr>
              <w:t>BRISC</w:t>
            </w:r>
          </w:p>
        </w:tc>
        <w:tc>
          <w:tcPr>
            <w:tcW w:type="dxa" w:w="1129"/>
            <w:tcMar>
              <w:top w:w="50" w:type="dxa"/>
              <w:bottom w:w="50" w:type="dxa"/>
              <w:left w:w="60" w:type="dxa"/>
              <w:right w:w="60" w:type="dxa"/>
            </w:tcMar>
          </w:tcPr>
          <w:p>
            <w:pPr>
              <w:spacing w:after="20"/>
              <w:jc w:val="left"/>
            </w:pPr>
            <w:r>
              <w:rPr>
                <w:rFonts w:ascii="Times New Roman" w:hAnsi="Times New Roman"/>
                <w:b w:val="0"/>
                <w:i w:val="0"/>
                <w:sz w:val="17"/>
              </w:rPr>
              <w:t>DeiT-Small (ViT)</w:t>
            </w:r>
          </w:p>
        </w:tc>
        <w:tc>
          <w:tcPr>
            <w:tcW w:type="dxa" w:w="1129"/>
            <w:tcMar>
              <w:top w:w="50" w:type="dxa"/>
              <w:bottom w:w="50" w:type="dxa"/>
              <w:left w:w="60" w:type="dxa"/>
              <w:right w:w="60" w:type="dxa"/>
            </w:tcMar>
          </w:tcPr>
          <w:p>
            <w:pPr>
              <w:spacing w:after="20"/>
              <w:jc w:val="left"/>
            </w:pPr>
            <w:r>
              <w:rPr>
                <w:rFonts w:ascii="Times New Roman" w:hAnsi="Times New Roman"/>
                <w:b w:val="0"/>
                <w:i w:val="0"/>
                <w:sz w:val="17"/>
              </w:rPr>
              <w:t>Clean Test (N=899, De-duplicated)</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0.8265</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0.8330</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0.8344</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0.0901</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0.2448</w:t>
            </w:r>
          </w:p>
        </w:tc>
      </w:tr>
      <w:tr>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BRISC (Sub)</w:t>
            </w:r>
          </w:p>
        </w:tc>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ResNet-50 (CNN)</w:t>
            </w:r>
          </w:p>
        </w:tc>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Neoplasm Batch (N=480; 2-Class)</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0.6479</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0.6510</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0.3460</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0.3312</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0.6591</w:t>
            </w:r>
          </w:p>
        </w:tc>
      </w:tr>
      <w:tr>
        <w:tc>
          <w:tcPr>
            <w:tcW w:type="dxa" w:w="1129"/>
            <w:tcMar>
              <w:top w:w="50" w:type="dxa"/>
              <w:bottom w:w="50" w:type="dxa"/>
              <w:left w:w="60" w:type="dxa"/>
              <w:right w:w="60" w:type="dxa"/>
            </w:tcMar>
          </w:tcPr>
          <w:p>
            <w:pPr>
              <w:spacing w:after="20"/>
              <w:jc w:val="left"/>
            </w:pPr>
            <w:r>
              <w:rPr>
                <w:rFonts w:ascii="Times New Roman" w:hAnsi="Times New Roman"/>
                <w:b w:val="0"/>
                <w:i w:val="0"/>
                <w:sz w:val="17"/>
              </w:rPr>
              <w:t>BRISC (Sub)</w:t>
            </w:r>
          </w:p>
        </w:tc>
        <w:tc>
          <w:tcPr>
            <w:tcW w:type="dxa" w:w="1129"/>
            <w:tcMar>
              <w:top w:w="50" w:type="dxa"/>
              <w:bottom w:w="50" w:type="dxa"/>
              <w:left w:w="60" w:type="dxa"/>
              <w:right w:w="60" w:type="dxa"/>
            </w:tcMar>
          </w:tcPr>
          <w:p>
            <w:pPr>
              <w:spacing w:after="20"/>
              <w:jc w:val="left"/>
            </w:pPr>
            <w:r>
              <w:rPr>
                <w:rFonts w:ascii="Times New Roman" w:hAnsi="Times New Roman"/>
                <w:b w:val="0"/>
                <w:i w:val="0"/>
                <w:sz w:val="17"/>
              </w:rPr>
              <w:t>ResNet-50 (CNN)</w:t>
            </w:r>
          </w:p>
        </w:tc>
        <w:tc>
          <w:tcPr>
            <w:tcW w:type="dxa" w:w="1129"/>
            <w:tcMar>
              <w:top w:w="50" w:type="dxa"/>
              <w:bottom w:w="50" w:type="dxa"/>
              <w:left w:w="60" w:type="dxa"/>
              <w:right w:w="60" w:type="dxa"/>
            </w:tcMar>
          </w:tcPr>
          <w:p>
            <w:pPr>
              <w:spacing w:after="20"/>
              <w:jc w:val="left"/>
            </w:pPr>
            <w:r>
              <w:rPr>
                <w:rFonts w:ascii="Times New Roman" w:hAnsi="Times New Roman"/>
                <w:b w:val="0"/>
                <w:i w:val="0"/>
                <w:sz w:val="17"/>
              </w:rPr>
              <w:t>Clean Neoplasm Batch (N=397)</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0.6247</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0.6349</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0.4383</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0.3061</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0.6595</w:t>
            </w:r>
          </w:p>
        </w:tc>
      </w:tr>
      <w:tr>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BRISC (Sub)</w:t>
            </w:r>
          </w:p>
        </w:tc>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DeiT-Small (ViT)</w:t>
            </w:r>
          </w:p>
        </w:tc>
        <w:tc>
          <w:tcPr>
            <w:tcW w:type="dxa" w:w="1129"/>
            <w:shd w:fill="F8FAFC"/>
            <w:tcMar>
              <w:top w:w="50" w:type="dxa"/>
              <w:bottom w:w="50" w:type="dxa"/>
              <w:left w:w="60" w:type="dxa"/>
              <w:right w:w="60" w:type="dxa"/>
            </w:tcMar>
          </w:tcPr>
          <w:p>
            <w:pPr>
              <w:spacing w:after="20"/>
              <w:jc w:val="left"/>
            </w:pPr>
            <w:r>
              <w:rPr>
                <w:rFonts w:ascii="Times New Roman" w:hAnsi="Times New Roman"/>
                <w:b w:val="0"/>
                <w:i w:val="0"/>
                <w:sz w:val="17"/>
              </w:rPr>
              <w:t>Neoplasm Batch (N=480; 2-Class)</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0.6875</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0.6813</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0.3566</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0.0421</w:t>
            </w:r>
          </w:p>
        </w:tc>
        <w:tc>
          <w:tcPr>
            <w:tcW w:type="dxa" w:w="1129"/>
            <w:shd w:fill="F8FAFC"/>
            <w:tcMar>
              <w:top w:w="50" w:type="dxa"/>
              <w:bottom w:w="50" w:type="dxa"/>
              <w:left w:w="60" w:type="dxa"/>
              <w:right w:w="60" w:type="dxa"/>
            </w:tcMar>
          </w:tcPr>
          <w:p>
            <w:pPr>
              <w:spacing w:after="20"/>
              <w:jc w:val="center"/>
            </w:pPr>
            <w:r>
              <w:rPr>
                <w:rFonts w:ascii="Times New Roman" w:hAnsi="Times New Roman"/>
                <w:b w:val="0"/>
                <w:i w:val="0"/>
                <w:sz w:val="17"/>
              </w:rPr>
              <w:t>0.3938</w:t>
            </w:r>
          </w:p>
        </w:tc>
      </w:tr>
      <w:tr>
        <w:tc>
          <w:tcPr>
            <w:tcW w:type="dxa" w:w="1129"/>
            <w:tcMar>
              <w:top w:w="50" w:type="dxa"/>
              <w:bottom w:w="50" w:type="dxa"/>
              <w:left w:w="60" w:type="dxa"/>
              <w:right w:w="60" w:type="dxa"/>
            </w:tcMar>
          </w:tcPr>
          <w:p>
            <w:pPr>
              <w:spacing w:after="20"/>
              <w:jc w:val="left"/>
            </w:pPr>
            <w:r>
              <w:rPr>
                <w:rFonts w:ascii="Times New Roman" w:hAnsi="Times New Roman"/>
                <w:b w:val="0"/>
                <w:i w:val="0"/>
                <w:sz w:val="17"/>
              </w:rPr>
              <w:t>BRISC (Sub)</w:t>
            </w:r>
          </w:p>
        </w:tc>
        <w:tc>
          <w:tcPr>
            <w:tcW w:type="dxa" w:w="1129"/>
            <w:tcMar>
              <w:top w:w="50" w:type="dxa"/>
              <w:bottom w:w="50" w:type="dxa"/>
              <w:left w:w="60" w:type="dxa"/>
              <w:right w:w="60" w:type="dxa"/>
            </w:tcMar>
          </w:tcPr>
          <w:p>
            <w:pPr>
              <w:spacing w:after="20"/>
              <w:jc w:val="left"/>
            </w:pPr>
            <w:r>
              <w:rPr>
                <w:rFonts w:ascii="Times New Roman" w:hAnsi="Times New Roman"/>
                <w:b w:val="0"/>
                <w:i w:val="0"/>
                <w:sz w:val="17"/>
              </w:rPr>
              <w:t>DeiT-Small (ViT)</w:t>
            </w:r>
          </w:p>
        </w:tc>
        <w:tc>
          <w:tcPr>
            <w:tcW w:type="dxa" w:w="1129"/>
            <w:tcMar>
              <w:top w:w="50" w:type="dxa"/>
              <w:bottom w:w="50" w:type="dxa"/>
              <w:left w:w="60" w:type="dxa"/>
              <w:right w:w="60" w:type="dxa"/>
            </w:tcMar>
          </w:tcPr>
          <w:p>
            <w:pPr>
              <w:spacing w:after="20"/>
              <w:jc w:val="left"/>
            </w:pPr>
            <w:r>
              <w:rPr>
                <w:rFonts w:ascii="Times New Roman" w:hAnsi="Times New Roman"/>
                <w:b w:val="0"/>
                <w:i w:val="0"/>
                <w:sz w:val="17"/>
              </w:rPr>
              <w:t>Clean Neoplasm Batch (N=397)</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0.7456</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0.7294</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0.3716</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0.0718</w:t>
            </w:r>
          </w:p>
        </w:tc>
        <w:tc>
          <w:tcPr>
            <w:tcW w:type="dxa" w:w="1129"/>
            <w:tcMar>
              <w:top w:w="50" w:type="dxa"/>
              <w:bottom w:w="50" w:type="dxa"/>
              <w:left w:w="60" w:type="dxa"/>
              <w:right w:w="60" w:type="dxa"/>
            </w:tcMar>
          </w:tcPr>
          <w:p>
            <w:pPr>
              <w:spacing w:after="20"/>
              <w:jc w:val="center"/>
            </w:pPr>
            <w:r>
              <w:rPr>
                <w:rFonts w:ascii="Times New Roman" w:hAnsi="Times New Roman"/>
                <w:b w:val="0"/>
                <w:i w:val="0"/>
                <w:sz w:val="17"/>
              </w:rPr>
              <w:t>0.3303</w:t>
            </w:r>
          </w:p>
        </w:tc>
      </w:tr>
    </w:tbl>
    <w:p>
      <w:pPr>
        <w:spacing w:before="40" w:after="120"/>
      </w:pPr>
      <w:r>
        <w:rPr>
          <w:rFonts w:ascii="Times New Roman" w:hAnsi="Times New Roman"/>
          <w:b w:val="0"/>
          <w:i/>
          <w:sz w:val="17"/>
        </w:rPr>
        <w:t>Note: For Cheng, evaluations reflect the 480 held-out slices of Fold 1 (from 49 patients unseen in training). For BRISC, official and clean benchmark scores are computed across the full 4-class test partitions (N=1,000 and N=899, preserved in predictions/test_predictions_*_brisc.csv and *_brisc_clean.csv), alongside the mask-supported neoplasm evaluation subset (N=480 / N=397, preserved in predictions/test_predictions_*_neoplasm_480.csv).</w:t>
      </w:r>
    </w:p>
    <w:p>
      <w:pPr>
        <w:keepNext/>
        <w:spacing w:before="200" w:after="80"/>
      </w:pPr>
      <w:r>
        <w:rPr>
          <w:rFonts w:ascii="Times New Roman" w:hAnsi="Times New Roman"/>
          <w:b/>
          <w:i w:val="0"/>
          <w:color w:val="1E3A8A"/>
          <w:sz w:val="24"/>
        </w:rPr>
        <w:t>4.2  Quality Control of Counterfactual Interventions</w:t>
      </w:r>
    </w:p>
    <w:p>
      <w:pPr>
        <w:spacing w:after="120" w:line="276" w:lineRule="auto"/>
        <w:jc w:val="both"/>
      </w:pPr>
      <w:r>
        <w:rPr>
          <w:rFonts w:ascii="Times New Roman" w:hAnsi="Times New Roman"/>
          <w:b w:val="0"/>
          <w:i w:val="0"/>
          <w:sz w:val="22"/>
        </w:rPr>
        <w:t>All 1,200 generated counterfactual interventions achieved 100% compliance with quality-control gates (Figure 10): Maximum absolute difference outside the edit mask was 0.00 x 10^0 across all 1,200 edits; Mean absolute difference (MAD) inside the core mask averaged 0.156 - 0.232 (Method A) and 0.216 - 0.259 (Method B); 100% of all 90 evaluated slices in predictions/intervention_effects.csv possess verified QC records in manifests/intervention_qc.csv; and boundary gradient offsets were bounded (0.16 - 0.24), confirming artifact-free transitions.</w:t>
      </w:r>
    </w:p>
    <w:p>
      <w:pPr>
        <w:keepNext/>
        <w:spacing w:before="200" w:after="80"/>
      </w:pPr>
      <w:r>
        <w:rPr>
          <w:rFonts w:ascii="Times New Roman" w:hAnsi="Times New Roman"/>
          <w:b/>
          <w:i w:val="0"/>
          <w:color w:val="1E3A8A"/>
          <w:sz w:val="24"/>
        </w:rPr>
        <w:t>4.3  Primary Counterfactual Sensitivity: Core vs Margin Evidence</w:t>
      </w:r>
    </w:p>
    <w:p>
      <w:pPr>
        <w:spacing w:after="120" w:line="276" w:lineRule="auto"/>
        <w:jc w:val="both"/>
      </w:pPr>
      <w:r>
        <w:rPr>
          <w:rFonts w:ascii="Times New Roman" w:hAnsi="Times New Roman"/>
          <w:b w:val="0"/>
          <w:i w:val="0"/>
          <w:sz w:val="22"/>
        </w:rPr>
        <w:t>Evaluation of 1,800 paired counterfactual observations in predictions/intervention_effects.csv revealed key spatial sensitivities across architectures and intervention methods (Table 2; Figure 4). Perturbing the tumour core produced the largest evidence drop under boundary PDE inpainting across both models (p &lt; 10^-3). On Cheng (N = 45), DeiT-Small demonstrated a sham-corrected sensitivity of tau_core = 0.1282 +/- 0.248 under inpainting and tau_core = 0.1449 +/- 0.217 under texture filling. Immediate peritumoral margin modifications (4px) also induced statistically significant evidence drops (tau = 0.0213, p = 0.0267 on Cheng; tau = 0.0239, p = 0.0152 on BRISC for DeiT-Small). In contrast, remote parenchyma perturbations produced small shifts indistinguishable from sham controls (p &gt; 0.05).</w:t>
      </w:r>
    </w:p>
    <w:p>
      <w:pPr>
        <w:spacing w:before="160" w:after="60"/>
      </w:pPr>
      <w:r>
        <w:rPr>
          <w:rFonts w:ascii="Times New Roman" w:hAnsi="Times New Roman"/>
          <w:b/>
          <w:i w:val="0"/>
          <w:sz w:val="20"/>
        </w:rPr>
        <w:t>Table 2: Regional Evidence Sensitivity and Biostatistical Hypothesis Testing (Recalculated from Raw Observations).</w:t>
      </w:r>
    </w:p>
    <w:tbl>
      <w:tblPr>
        <w:tblW w:type="auto" w:w="0"/>
        <w:jc w:val="center"/>
        <w:tblLook w:firstColumn="1" w:firstRow="1" w:lastColumn="0" w:lastRow="0" w:noHBand="0" w:noVBand="1" w:val="04A0"/>
        <w:tblBorders>
          <w:top w:val="single" w:sz="8" w:space="0" w:color="D3D3D3"/>
          <w:bottom w:val="single" w:sz="8" w:space="0" w:color="D3D3D3"/>
          <w:insideH w:val="single" w:sz="4" w:space="0" w:color="D3D3D3"/>
          <w:insideV w:val="none"/>
          <w:left w:val="none"/>
          <w:right w:val="none"/>
        </w:tblBorders>
      </w:tblPr>
      <w:tblGrid>
        <w:gridCol w:w="903"/>
        <w:gridCol w:w="903"/>
        <w:gridCol w:w="903"/>
        <w:gridCol w:w="903"/>
        <w:gridCol w:w="903"/>
        <w:gridCol w:w="903"/>
        <w:gridCol w:w="903"/>
        <w:gridCol w:w="903"/>
        <w:gridCol w:w="903"/>
        <w:gridCol w:w="903"/>
      </w:tblGrid>
      <w:tr>
        <w:tc>
          <w:tcPr>
            <w:tcW w:type="dxa" w:w="903"/>
            <w:shd w:fill="1E3A8A"/>
            <w:tcMar>
              <w:top w:w="40" w:type="dxa"/>
              <w:bottom w:w="40" w:type="dxa"/>
              <w:left w:w="45" w:type="dxa"/>
              <w:right w:w="45" w:type="dxa"/>
            </w:tcMar>
          </w:tcPr>
          <w:p>
            <w:pPr>
              <w:spacing w:after="20"/>
              <w:jc w:val="left"/>
            </w:pPr>
            <w:r>
              <w:rPr>
                <w:rFonts w:ascii="Times New Roman" w:hAnsi="Times New Roman"/>
                <w:b/>
                <w:i w:val="0"/>
                <w:color w:val="FFFFFF"/>
                <w:sz w:val="15"/>
              </w:rPr>
              <w:t>Dataset</w:t>
            </w:r>
          </w:p>
        </w:tc>
        <w:tc>
          <w:tcPr>
            <w:tcW w:type="dxa" w:w="903"/>
            <w:shd w:fill="1E3A8A"/>
            <w:tcMar>
              <w:top w:w="40" w:type="dxa"/>
              <w:bottom w:w="40" w:type="dxa"/>
              <w:left w:w="45" w:type="dxa"/>
              <w:right w:w="45" w:type="dxa"/>
            </w:tcMar>
          </w:tcPr>
          <w:p>
            <w:pPr>
              <w:spacing w:after="20"/>
              <w:jc w:val="left"/>
            </w:pPr>
            <w:r>
              <w:rPr>
                <w:rFonts w:ascii="Times New Roman" w:hAnsi="Times New Roman"/>
                <w:b/>
                <w:i w:val="0"/>
                <w:color w:val="FFFFFF"/>
                <w:sz w:val="15"/>
              </w:rPr>
              <w:t>Model</w:t>
            </w:r>
          </w:p>
        </w:tc>
        <w:tc>
          <w:tcPr>
            <w:tcW w:type="dxa" w:w="903"/>
            <w:shd w:fill="1E3A8A"/>
            <w:tcMar>
              <w:top w:w="40" w:type="dxa"/>
              <w:bottom w:w="40" w:type="dxa"/>
              <w:left w:w="45" w:type="dxa"/>
              <w:right w:w="45" w:type="dxa"/>
            </w:tcMar>
          </w:tcPr>
          <w:p>
            <w:pPr>
              <w:spacing w:after="20"/>
              <w:jc w:val="left"/>
            </w:pPr>
            <w:r>
              <w:rPr>
                <w:rFonts w:ascii="Times New Roman" w:hAnsi="Times New Roman"/>
                <w:b/>
                <w:i w:val="0"/>
                <w:color w:val="FFFFFF"/>
                <w:sz w:val="15"/>
              </w:rPr>
              <w:t>Method</w:t>
            </w:r>
          </w:p>
        </w:tc>
        <w:tc>
          <w:tcPr>
            <w:tcW w:type="dxa" w:w="903"/>
            <w:shd w:fill="1E3A8A"/>
            <w:tcMar>
              <w:top w:w="40" w:type="dxa"/>
              <w:bottom w:w="40" w:type="dxa"/>
              <w:left w:w="45" w:type="dxa"/>
              <w:right w:w="45" w:type="dxa"/>
            </w:tcMar>
          </w:tcPr>
          <w:p>
            <w:pPr>
              <w:spacing w:after="20"/>
              <w:jc w:val="left"/>
            </w:pPr>
            <w:r>
              <w:rPr>
                <w:rFonts w:ascii="Times New Roman" w:hAnsi="Times New Roman"/>
                <w:b/>
                <w:i w:val="0"/>
                <w:color w:val="FFFFFF"/>
                <w:sz w:val="15"/>
              </w:rPr>
              <w:t>Region</w:t>
            </w:r>
          </w:p>
        </w:tc>
        <w:tc>
          <w:tcPr>
            <w:tcW w:type="dxa" w:w="903"/>
            <w:shd w:fill="1E3A8A"/>
            <w:tcMar>
              <w:top w:w="40" w:type="dxa"/>
              <w:bottom w:w="40" w:type="dxa"/>
              <w:left w:w="45" w:type="dxa"/>
              <w:right w:w="45" w:type="dxa"/>
            </w:tcMar>
          </w:tcPr>
          <w:p>
            <w:pPr>
              <w:spacing w:after="20"/>
              <w:jc w:val="center"/>
            </w:pPr>
            <w:r>
              <w:rPr>
                <w:rFonts w:ascii="Times New Roman" w:hAnsi="Times New Roman"/>
                <w:b/>
                <w:i w:val="0"/>
                <w:color w:val="FFFFFF"/>
                <w:sz w:val="15"/>
              </w:rPr>
              <w:t>Raw Sensitivity (Delta_r)</w:t>
            </w:r>
          </w:p>
        </w:tc>
        <w:tc>
          <w:tcPr>
            <w:tcW w:type="dxa" w:w="903"/>
            <w:shd w:fill="1E3A8A"/>
            <w:tcMar>
              <w:top w:w="40" w:type="dxa"/>
              <w:bottom w:w="40" w:type="dxa"/>
              <w:left w:w="45" w:type="dxa"/>
              <w:right w:w="45" w:type="dxa"/>
            </w:tcMar>
          </w:tcPr>
          <w:p>
            <w:pPr>
              <w:spacing w:after="20"/>
              <w:jc w:val="center"/>
            </w:pPr>
            <w:r>
              <w:rPr>
                <w:rFonts w:ascii="Times New Roman" w:hAnsi="Times New Roman"/>
                <w:b/>
                <w:i w:val="0"/>
                <w:color w:val="FFFFFF"/>
                <w:sz w:val="15"/>
              </w:rPr>
              <w:t>Sham-Corrected (tau_r)</w:t>
            </w:r>
          </w:p>
        </w:tc>
        <w:tc>
          <w:tcPr>
            <w:tcW w:type="dxa" w:w="903"/>
            <w:shd w:fill="1E3A8A"/>
            <w:tcMar>
              <w:top w:w="40" w:type="dxa"/>
              <w:bottom w:w="40" w:type="dxa"/>
              <w:left w:w="45" w:type="dxa"/>
              <w:right w:w="45" w:type="dxa"/>
            </w:tcMar>
          </w:tcPr>
          <w:p>
            <w:pPr>
              <w:spacing w:after="20"/>
              <w:jc w:val="center"/>
            </w:pPr>
            <w:r>
              <w:rPr>
                <w:rFonts w:ascii="Times New Roman" w:hAnsi="Times New Roman"/>
                <w:b/>
                <w:i w:val="0"/>
                <w:color w:val="FFFFFF"/>
                <w:sz w:val="15"/>
              </w:rPr>
              <w:t>Flip %</w:t>
            </w:r>
          </w:p>
        </w:tc>
        <w:tc>
          <w:tcPr>
            <w:tcW w:type="dxa" w:w="903"/>
            <w:shd w:fill="1E3A8A"/>
            <w:tcMar>
              <w:top w:w="40" w:type="dxa"/>
              <w:bottom w:w="40" w:type="dxa"/>
              <w:left w:w="45" w:type="dxa"/>
              <w:right w:w="45" w:type="dxa"/>
            </w:tcMar>
          </w:tcPr>
          <w:p>
            <w:pPr>
              <w:spacing w:after="20"/>
              <w:jc w:val="center"/>
            </w:pPr>
            <w:r>
              <w:rPr>
                <w:rFonts w:ascii="Times New Roman" w:hAnsi="Times New Roman"/>
                <w:b/>
                <w:i w:val="0"/>
                <w:color w:val="FFFFFF"/>
                <w:sz w:val="15"/>
              </w:rPr>
              <w:t>Raw Wilcoxon p</w:t>
            </w:r>
          </w:p>
        </w:tc>
        <w:tc>
          <w:tcPr>
            <w:tcW w:type="dxa" w:w="903"/>
            <w:shd w:fill="1E3A8A"/>
            <w:tcMar>
              <w:top w:w="40" w:type="dxa"/>
              <w:bottom w:w="40" w:type="dxa"/>
              <w:left w:w="45" w:type="dxa"/>
              <w:right w:w="45" w:type="dxa"/>
            </w:tcMar>
          </w:tcPr>
          <w:p>
            <w:pPr>
              <w:spacing w:after="20"/>
              <w:jc w:val="center"/>
            </w:pPr>
            <w:r>
              <w:rPr>
                <w:rFonts w:ascii="Times New Roman" w:hAnsi="Times New Roman"/>
                <w:b/>
                <w:i w:val="0"/>
                <w:color w:val="FFFFFF"/>
                <w:sz w:val="15"/>
              </w:rPr>
              <w:t>Holm-Adjusted p</w:t>
            </w:r>
          </w:p>
        </w:tc>
        <w:tc>
          <w:tcPr>
            <w:tcW w:type="dxa" w:w="903"/>
            <w:shd w:fill="1E3A8A"/>
            <w:tcMar>
              <w:top w:w="40" w:type="dxa"/>
              <w:bottom w:w="40" w:type="dxa"/>
              <w:left w:w="45" w:type="dxa"/>
              <w:right w:w="45" w:type="dxa"/>
            </w:tcMar>
          </w:tcPr>
          <w:p>
            <w:pPr>
              <w:spacing w:after="20"/>
              <w:jc w:val="center"/>
            </w:pPr>
            <w:r>
              <w:rPr>
                <w:rFonts w:ascii="Times New Roman" w:hAnsi="Times New Roman"/>
                <w:b/>
                <w:i w:val="0"/>
                <w:color w:val="FFFFFF"/>
                <w:sz w:val="15"/>
              </w:rPr>
              <w:t>Cohen's d_z</w:t>
            </w:r>
          </w:p>
        </w:tc>
      </w:tr>
      <w:tr>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Cheng (N=45)</w:t>
            </w:r>
          </w:p>
        </w:tc>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DeiT-Small</w:t>
            </w:r>
          </w:p>
        </w:tc>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Method A (Telea)</w:t>
            </w:r>
          </w:p>
        </w:tc>
        <w:tc>
          <w:tcPr>
            <w:tcW w:type="dxa" w:w="903"/>
            <w:shd w:fill="F8FAFC"/>
            <w:tcMar>
              <w:top w:w="40" w:type="dxa"/>
              <w:bottom w:w="40" w:type="dxa"/>
              <w:left w:w="45" w:type="dxa"/>
              <w:right w:w="45" w:type="dxa"/>
            </w:tcMar>
          </w:tcPr>
          <w:p>
            <w:pPr>
              <w:spacing w:after="20"/>
              <w:jc w:val="left"/>
            </w:pPr>
            <w:r>
              <w:rPr>
                <w:rFonts w:ascii="Times New Roman" w:hAnsi="Times New Roman"/>
                <w:b/>
                <w:i w:val="0"/>
                <w:sz w:val="15"/>
              </w:rPr>
              <w:t>Core</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0.1212 +/- 0.244</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0.1282 +/- 0.248</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13.3%</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9.13 x 10^-6</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2.74 x 10^-5</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0.518</w:t>
            </w:r>
          </w:p>
        </w:tc>
      </w:tr>
      <w:tr>
        <w:tc>
          <w:tcPr>
            <w:tcW w:type="dxa" w:w="903"/>
            <w:tcMar>
              <w:top w:w="40" w:type="dxa"/>
              <w:bottom w:w="40" w:type="dxa"/>
              <w:left w:w="45" w:type="dxa"/>
              <w:right w:w="45" w:type="dxa"/>
            </w:tcMar>
          </w:tcPr>
          <w:p>
            <w:pPr>
              <w:spacing w:after="20"/>
              <w:jc w:val="left"/>
            </w:pPr>
            <w:r>
              <w:rPr>
                <w:rFonts w:ascii="Times New Roman" w:hAnsi="Times New Roman"/>
                <w:b w:val="0"/>
                <w:i w:val="0"/>
                <w:sz w:val="15"/>
              </w:rPr>
              <w:t>Cheng (N=45)</w:t>
            </w:r>
          </w:p>
        </w:tc>
        <w:tc>
          <w:tcPr>
            <w:tcW w:type="dxa" w:w="903"/>
            <w:tcMar>
              <w:top w:w="40" w:type="dxa"/>
              <w:bottom w:w="40" w:type="dxa"/>
              <w:left w:w="45" w:type="dxa"/>
              <w:right w:w="45" w:type="dxa"/>
            </w:tcMar>
          </w:tcPr>
          <w:p>
            <w:pPr>
              <w:spacing w:after="20"/>
              <w:jc w:val="left"/>
            </w:pPr>
            <w:r>
              <w:rPr>
                <w:rFonts w:ascii="Times New Roman" w:hAnsi="Times New Roman"/>
                <w:b w:val="0"/>
                <w:i w:val="0"/>
                <w:sz w:val="15"/>
              </w:rPr>
              <w:t>DeiT-Small</w:t>
            </w:r>
          </w:p>
        </w:tc>
        <w:tc>
          <w:tcPr>
            <w:tcW w:type="dxa" w:w="903"/>
            <w:tcMar>
              <w:top w:w="40" w:type="dxa"/>
              <w:bottom w:w="40" w:type="dxa"/>
              <w:left w:w="45" w:type="dxa"/>
              <w:right w:w="45" w:type="dxa"/>
            </w:tcMar>
          </w:tcPr>
          <w:p>
            <w:pPr>
              <w:spacing w:after="20"/>
              <w:jc w:val="left"/>
            </w:pPr>
            <w:r>
              <w:rPr>
                <w:rFonts w:ascii="Times New Roman" w:hAnsi="Times New Roman"/>
                <w:b w:val="0"/>
                <w:i w:val="0"/>
                <w:sz w:val="15"/>
              </w:rPr>
              <w:t>Method B (Texture)</w:t>
            </w:r>
          </w:p>
        </w:tc>
        <w:tc>
          <w:tcPr>
            <w:tcW w:type="dxa" w:w="903"/>
            <w:tcMar>
              <w:top w:w="40" w:type="dxa"/>
              <w:bottom w:w="40" w:type="dxa"/>
              <w:left w:w="45" w:type="dxa"/>
              <w:right w:w="45" w:type="dxa"/>
            </w:tcMar>
          </w:tcPr>
          <w:p>
            <w:pPr>
              <w:spacing w:after="20"/>
              <w:jc w:val="left"/>
            </w:pPr>
            <w:r>
              <w:rPr>
                <w:rFonts w:ascii="Times New Roman" w:hAnsi="Times New Roman"/>
                <w:b/>
                <w:i w:val="0"/>
                <w:sz w:val="15"/>
              </w:rPr>
              <w:t>Core</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0.1577 +/- 0.241</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0.1449 +/- 0.217</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8.9%</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3.09 x 10^-8</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1.24 x 10^-7</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0.669</w:t>
            </w:r>
          </w:p>
        </w:tc>
      </w:tr>
      <w:tr>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Cheng (N=45)</w:t>
            </w:r>
          </w:p>
        </w:tc>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DeiT-Small</w:t>
            </w:r>
          </w:p>
        </w:tc>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Method A (Telea)</w:t>
            </w:r>
          </w:p>
        </w:tc>
        <w:tc>
          <w:tcPr>
            <w:tcW w:type="dxa" w:w="903"/>
            <w:shd w:fill="F8FAFC"/>
            <w:tcMar>
              <w:top w:w="40" w:type="dxa"/>
              <w:bottom w:w="40" w:type="dxa"/>
              <w:left w:w="45" w:type="dxa"/>
              <w:right w:w="45" w:type="dxa"/>
            </w:tcMar>
          </w:tcPr>
          <w:p>
            <w:pPr>
              <w:spacing w:after="20"/>
              <w:jc w:val="left"/>
            </w:pPr>
            <w:r>
              <w:rPr>
                <w:rFonts w:ascii="Times New Roman" w:hAnsi="Times New Roman"/>
                <w:b/>
                <w:i w:val="0"/>
                <w:sz w:val="15"/>
              </w:rPr>
              <w:t>Immediate (4px)</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0.0143 +/- 0.082</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0.0213 +/- 0.096</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8.9%</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0.0267</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0.0535</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0.222</w:t>
            </w:r>
          </w:p>
        </w:tc>
      </w:tr>
      <w:tr>
        <w:tc>
          <w:tcPr>
            <w:tcW w:type="dxa" w:w="903"/>
            <w:tcMar>
              <w:top w:w="40" w:type="dxa"/>
              <w:bottom w:w="40" w:type="dxa"/>
              <w:left w:w="45" w:type="dxa"/>
              <w:right w:w="45" w:type="dxa"/>
            </w:tcMar>
          </w:tcPr>
          <w:p>
            <w:pPr>
              <w:spacing w:after="20"/>
              <w:jc w:val="left"/>
            </w:pPr>
            <w:r>
              <w:rPr>
                <w:rFonts w:ascii="Times New Roman" w:hAnsi="Times New Roman"/>
                <w:b w:val="0"/>
                <w:i w:val="0"/>
                <w:sz w:val="15"/>
              </w:rPr>
              <w:t>Cheng (N=45)</w:t>
            </w:r>
          </w:p>
        </w:tc>
        <w:tc>
          <w:tcPr>
            <w:tcW w:type="dxa" w:w="903"/>
            <w:tcMar>
              <w:top w:w="40" w:type="dxa"/>
              <w:bottom w:w="40" w:type="dxa"/>
              <w:left w:w="45" w:type="dxa"/>
              <w:right w:w="45" w:type="dxa"/>
            </w:tcMar>
          </w:tcPr>
          <w:p>
            <w:pPr>
              <w:spacing w:after="20"/>
              <w:jc w:val="left"/>
            </w:pPr>
            <w:r>
              <w:rPr>
                <w:rFonts w:ascii="Times New Roman" w:hAnsi="Times New Roman"/>
                <w:b w:val="0"/>
                <w:i w:val="0"/>
                <w:sz w:val="15"/>
              </w:rPr>
              <w:t>DeiT-Small</w:t>
            </w:r>
          </w:p>
        </w:tc>
        <w:tc>
          <w:tcPr>
            <w:tcW w:type="dxa" w:w="903"/>
            <w:tcMar>
              <w:top w:w="40" w:type="dxa"/>
              <w:bottom w:w="40" w:type="dxa"/>
              <w:left w:w="45" w:type="dxa"/>
              <w:right w:w="45" w:type="dxa"/>
            </w:tcMar>
          </w:tcPr>
          <w:p>
            <w:pPr>
              <w:spacing w:after="20"/>
              <w:jc w:val="left"/>
            </w:pPr>
            <w:r>
              <w:rPr>
                <w:rFonts w:ascii="Times New Roman" w:hAnsi="Times New Roman"/>
                <w:b w:val="0"/>
                <w:i w:val="0"/>
                <w:sz w:val="15"/>
              </w:rPr>
              <w:t>Method A (Telea)</w:t>
            </w:r>
          </w:p>
        </w:tc>
        <w:tc>
          <w:tcPr>
            <w:tcW w:type="dxa" w:w="903"/>
            <w:tcMar>
              <w:top w:w="40" w:type="dxa"/>
              <w:bottom w:w="40" w:type="dxa"/>
              <w:left w:w="45" w:type="dxa"/>
              <w:right w:w="45" w:type="dxa"/>
            </w:tcMar>
          </w:tcPr>
          <w:p>
            <w:pPr>
              <w:spacing w:after="20"/>
              <w:jc w:val="left"/>
            </w:pPr>
            <w:r>
              <w:rPr>
                <w:rFonts w:ascii="Times New Roman" w:hAnsi="Times New Roman"/>
                <w:b w:val="0"/>
                <w:i w:val="0"/>
                <w:sz w:val="15"/>
              </w:rPr>
              <w:t>Outer (12px)</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-0.0007 +/- 0.091</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0.0063 +/- 0.098</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8.9%</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0.2866</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0.2866</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0.064 (n.s.)</w:t>
            </w:r>
          </w:p>
        </w:tc>
      </w:tr>
      <w:tr>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Cheng (N=45)</w:t>
            </w:r>
          </w:p>
        </w:tc>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DeiT-Small</w:t>
            </w:r>
          </w:p>
        </w:tc>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Method A (Telea)</w:t>
            </w:r>
          </w:p>
        </w:tc>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Remote Context</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0.0058 +/- 0.030</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0.0128 +/- 0.065</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2.2%</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0.0801</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0.1602</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0.196 (n.s.)</w:t>
            </w:r>
          </w:p>
        </w:tc>
      </w:tr>
      <w:tr>
        <w:tc>
          <w:tcPr>
            <w:tcW w:type="dxa" w:w="903"/>
            <w:tcMar>
              <w:top w:w="40" w:type="dxa"/>
              <w:bottom w:w="40" w:type="dxa"/>
              <w:left w:w="45" w:type="dxa"/>
              <w:right w:w="45" w:type="dxa"/>
            </w:tcMar>
          </w:tcPr>
          <w:p>
            <w:pPr>
              <w:spacing w:after="20"/>
              <w:jc w:val="left"/>
            </w:pPr>
            <w:r>
              <w:rPr>
                <w:rFonts w:ascii="Times New Roman" w:hAnsi="Times New Roman"/>
                <w:b w:val="0"/>
                <w:i w:val="0"/>
                <w:sz w:val="15"/>
              </w:rPr>
              <w:t>Cheng (N=45)</w:t>
            </w:r>
          </w:p>
        </w:tc>
        <w:tc>
          <w:tcPr>
            <w:tcW w:type="dxa" w:w="903"/>
            <w:tcMar>
              <w:top w:w="40" w:type="dxa"/>
              <w:bottom w:w="40" w:type="dxa"/>
              <w:left w:w="45" w:type="dxa"/>
              <w:right w:w="45" w:type="dxa"/>
            </w:tcMar>
          </w:tcPr>
          <w:p>
            <w:pPr>
              <w:spacing w:after="20"/>
              <w:jc w:val="left"/>
            </w:pPr>
            <w:r>
              <w:rPr>
                <w:rFonts w:ascii="Times New Roman" w:hAnsi="Times New Roman"/>
                <w:b w:val="0"/>
                <w:i w:val="0"/>
                <w:sz w:val="15"/>
              </w:rPr>
              <w:t>ResNet-50</w:t>
            </w:r>
          </w:p>
        </w:tc>
        <w:tc>
          <w:tcPr>
            <w:tcW w:type="dxa" w:w="903"/>
            <w:tcMar>
              <w:top w:w="40" w:type="dxa"/>
              <w:bottom w:w="40" w:type="dxa"/>
              <w:left w:w="45" w:type="dxa"/>
              <w:right w:w="45" w:type="dxa"/>
            </w:tcMar>
          </w:tcPr>
          <w:p>
            <w:pPr>
              <w:spacing w:after="20"/>
              <w:jc w:val="left"/>
            </w:pPr>
            <w:r>
              <w:rPr>
                <w:rFonts w:ascii="Times New Roman" w:hAnsi="Times New Roman"/>
                <w:b w:val="0"/>
                <w:i w:val="0"/>
                <w:sz w:val="15"/>
              </w:rPr>
              <w:t>Method A (Telea)</w:t>
            </w:r>
          </w:p>
        </w:tc>
        <w:tc>
          <w:tcPr>
            <w:tcW w:type="dxa" w:w="903"/>
            <w:tcMar>
              <w:top w:w="40" w:type="dxa"/>
              <w:bottom w:w="40" w:type="dxa"/>
              <w:left w:w="45" w:type="dxa"/>
              <w:right w:w="45" w:type="dxa"/>
            </w:tcMar>
          </w:tcPr>
          <w:p>
            <w:pPr>
              <w:spacing w:after="20"/>
              <w:jc w:val="left"/>
            </w:pPr>
            <w:r>
              <w:rPr>
                <w:rFonts w:ascii="Times New Roman" w:hAnsi="Times New Roman"/>
                <w:b/>
                <w:i w:val="0"/>
                <w:sz w:val="15"/>
              </w:rPr>
              <w:t>Core</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0.0264 +/- 0.041</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0.0311 +/- 0.057</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8.9%</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6.54 x 10^-4</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1.96 x 10^-3</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0.548</w:t>
            </w:r>
          </w:p>
        </w:tc>
      </w:tr>
      <w:tr>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Cheng (N=45)</w:t>
            </w:r>
          </w:p>
        </w:tc>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ResNet-50</w:t>
            </w:r>
          </w:p>
        </w:tc>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Method B (Texture)</w:t>
            </w:r>
          </w:p>
        </w:tc>
        <w:tc>
          <w:tcPr>
            <w:tcW w:type="dxa" w:w="903"/>
            <w:shd w:fill="F8FAFC"/>
            <w:tcMar>
              <w:top w:w="40" w:type="dxa"/>
              <w:bottom w:w="40" w:type="dxa"/>
              <w:left w:w="45" w:type="dxa"/>
              <w:right w:w="45" w:type="dxa"/>
            </w:tcMar>
          </w:tcPr>
          <w:p>
            <w:pPr>
              <w:spacing w:after="20"/>
              <w:jc w:val="left"/>
            </w:pPr>
            <w:r>
              <w:rPr>
                <w:rFonts w:ascii="Times New Roman" w:hAnsi="Times New Roman"/>
                <w:b/>
                <w:i w:val="0"/>
                <w:sz w:val="15"/>
              </w:rPr>
              <w:t>Core</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0.0844 +/- 0.134</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0.0603 +/- 0.152</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31.1%</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0.0173</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0.0519</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0.396</w:t>
            </w:r>
          </w:p>
        </w:tc>
      </w:tr>
      <w:tr>
        <w:tc>
          <w:tcPr>
            <w:tcW w:type="dxa" w:w="903"/>
            <w:tcMar>
              <w:top w:w="40" w:type="dxa"/>
              <w:bottom w:w="40" w:type="dxa"/>
              <w:left w:w="45" w:type="dxa"/>
              <w:right w:w="45" w:type="dxa"/>
            </w:tcMar>
          </w:tcPr>
          <w:p>
            <w:pPr>
              <w:spacing w:after="20"/>
              <w:jc w:val="left"/>
            </w:pPr>
            <w:r>
              <w:rPr>
                <w:rFonts w:ascii="Times New Roman" w:hAnsi="Times New Roman"/>
                <w:b w:val="0"/>
                <w:i w:val="0"/>
                <w:sz w:val="15"/>
              </w:rPr>
              <w:t>Cheng (N=45)</w:t>
            </w:r>
          </w:p>
        </w:tc>
        <w:tc>
          <w:tcPr>
            <w:tcW w:type="dxa" w:w="903"/>
            <w:tcMar>
              <w:top w:w="40" w:type="dxa"/>
              <w:bottom w:w="40" w:type="dxa"/>
              <w:left w:w="45" w:type="dxa"/>
              <w:right w:w="45" w:type="dxa"/>
            </w:tcMar>
          </w:tcPr>
          <w:p>
            <w:pPr>
              <w:spacing w:after="20"/>
              <w:jc w:val="left"/>
            </w:pPr>
            <w:r>
              <w:rPr>
                <w:rFonts w:ascii="Times New Roman" w:hAnsi="Times New Roman"/>
                <w:b w:val="0"/>
                <w:i w:val="0"/>
                <w:sz w:val="15"/>
              </w:rPr>
              <w:t>ResNet-50</w:t>
            </w:r>
          </w:p>
        </w:tc>
        <w:tc>
          <w:tcPr>
            <w:tcW w:type="dxa" w:w="903"/>
            <w:tcMar>
              <w:top w:w="40" w:type="dxa"/>
              <w:bottom w:w="40" w:type="dxa"/>
              <w:left w:w="45" w:type="dxa"/>
              <w:right w:w="45" w:type="dxa"/>
            </w:tcMar>
          </w:tcPr>
          <w:p>
            <w:pPr>
              <w:spacing w:after="20"/>
              <w:jc w:val="left"/>
            </w:pPr>
            <w:r>
              <w:rPr>
                <w:rFonts w:ascii="Times New Roman" w:hAnsi="Times New Roman"/>
                <w:b w:val="0"/>
                <w:i w:val="0"/>
                <w:sz w:val="15"/>
              </w:rPr>
              <w:t>Method A (Telea)</w:t>
            </w:r>
          </w:p>
        </w:tc>
        <w:tc>
          <w:tcPr>
            <w:tcW w:type="dxa" w:w="903"/>
            <w:tcMar>
              <w:top w:w="40" w:type="dxa"/>
              <w:bottom w:w="40" w:type="dxa"/>
              <w:left w:w="45" w:type="dxa"/>
              <w:right w:w="45" w:type="dxa"/>
            </w:tcMar>
          </w:tcPr>
          <w:p>
            <w:pPr>
              <w:spacing w:after="20"/>
              <w:jc w:val="left"/>
            </w:pPr>
            <w:r>
              <w:rPr>
                <w:rFonts w:ascii="Times New Roman" w:hAnsi="Times New Roman"/>
                <w:b/>
                <w:i w:val="0"/>
                <w:sz w:val="15"/>
              </w:rPr>
              <w:t>Immediate (4px)</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0.0079 +/- 0.036</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0.0125 +/- 0.050</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6.7%</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0.0621</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0.1242</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0.248</w:t>
            </w:r>
          </w:p>
        </w:tc>
      </w:tr>
      <w:tr>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BRISC (N=45)</w:t>
            </w:r>
          </w:p>
        </w:tc>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DeiT-Small</w:t>
            </w:r>
          </w:p>
        </w:tc>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Method A (Telea)</w:t>
            </w:r>
          </w:p>
        </w:tc>
        <w:tc>
          <w:tcPr>
            <w:tcW w:type="dxa" w:w="903"/>
            <w:shd w:fill="F8FAFC"/>
            <w:tcMar>
              <w:top w:w="40" w:type="dxa"/>
              <w:bottom w:w="40" w:type="dxa"/>
              <w:left w:w="45" w:type="dxa"/>
              <w:right w:w="45" w:type="dxa"/>
            </w:tcMar>
          </w:tcPr>
          <w:p>
            <w:pPr>
              <w:spacing w:after="20"/>
              <w:jc w:val="left"/>
            </w:pPr>
            <w:r>
              <w:rPr>
                <w:rFonts w:ascii="Times New Roman" w:hAnsi="Times New Roman"/>
                <w:b/>
                <w:i w:val="0"/>
                <w:sz w:val="15"/>
              </w:rPr>
              <w:t>Core</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0.0367 +/- 0.096</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0.0517 +/- 0.120</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8.9%</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0.0320</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0.0639</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0.432</w:t>
            </w:r>
          </w:p>
        </w:tc>
      </w:tr>
      <w:tr>
        <w:tc>
          <w:tcPr>
            <w:tcW w:type="dxa" w:w="903"/>
            <w:tcMar>
              <w:top w:w="40" w:type="dxa"/>
              <w:bottom w:w="40" w:type="dxa"/>
              <w:left w:w="45" w:type="dxa"/>
              <w:right w:w="45" w:type="dxa"/>
            </w:tcMar>
          </w:tcPr>
          <w:p>
            <w:pPr>
              <w:spacing w:after="20"/>
              <w:jc w:val="left"/>
            </w:pPr>
            <w:r>
              <w:rPr>
                <w:rFonts w:ascii="Times New Roman" w:hAnsi="Times New Roman"/>
                <w:b w:val="0"/>
                <w:i w:val="0"/>
                <w:sz w:val="15"/>
              </w:rPr>
              <w:t>BRISC (N=45)</w:t>
            </w:r>
          </w:p>
        </w:tc>
        <w:tc>
          <w:tcPr>
            <w:tcW w:type="dxa" w:w="903"/>
            <w:tcMar>
              <w:top w:w="40" w:type="dxa"/>
              <w:bottom w:w="40" w:type="dxa"/>
              <w:left w:w="45" w:type="dxa"/>
              <w:right w:w="45" w:type="dxa"/>
            </w:tcMar>
          </w:tcPr>
          <w:p>
            <w:pPr>
              <w:spacing w:after="20"/>
              <w:jc w:val="left"/>
            </w:pPr>
            <w:r>
              <w:rPr>
                <w:rFonts w:ascii="Times New Roman" w:hAnsi="Times New Roman"/>
                <w:b w:val="0"/>
                <w:i w:val="0"/>
                <w:sz w:val="15"/>
              </w:rPr>
              <w:t>DeiT-Small</w:t>
            </w:r>
          </w:p>
        </w:tc>
        <w:tc>
          <w:tcPr>
            <w:tcW w:type="dxa" w:w="903"/>
            <w:tcMar>
              <w:top w:w="40" w:type="dxa"/>
              <w:bottom w:w="40" w:type="dxa"/>
              <w:left w:w="45" w:type="dxa"/>
              <w:right w:w="45" w:type="dxa"/>
            </w:tcMar>
          </w:tcPr>
          <w:p>
            <w:pPr>
              <w:spacing w:after="20"/>
              <w:jc w:val="left"/>
            </w:pPr>
            <w:r>
              <w:rPr>
                <w:rFonts w:ascii="Times New Roman" w:hAnsi="Times New Roman"/>
                <w:b w:val="0"/>
                <w:i w:val="0"/>
                <w:sz w:val="15"/>
              </w:rPr>
              <w:t>Method A (Telea)</w:t>
            </w:r>
          </w:p>
        </w:tc>
        <w:tc>
          <w:tcPr>
            <w:tcW w:type="dxa" w:w="903"/>
            <w:tcMar>
              <w:top w:w="40" w:type="dxa"/>
              <w:bottom w:w="40" w:type="dxa"/>
              <w:left w:w="45" w:type="dxa"/>
              <w:right w:w="45" w:type="dxa"/>
            </w:tcMar>
          </w:tcPr>
          <w:p>
            <w:pPr>
              <w:spacing w:after="20"/>
              <w:jc w:val="left"/>
            </w:pPr>
            <w:r>
              <w:rPr>
                <w:rFonts w:ascii="Times New Roman" w:hAnsi="Times New Roman"/>
                <w:b/>
                <w:i w:val="0"/>
                <w:sz w:val="15"/>
              </w:rPr>
              <w:t>Immediate (4px)</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0.0089 +/- 0.048</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0.0239 +/- 0.063</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6.7%</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0.0152</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0.0455</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0.381</w:t>
            </w:r>
          </w:p>
        </w:tc>
      </w:tr>
      <w:tr>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BRISC (N=45)</w:t>
            </w:r>
          </w:p>
        </w:tc>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DeiT-Small</w:t>
            </w:r>
          </w:p>
        </w:tc>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Method A (Telea)</w:t>
            </w:r>
          </w:p>
        </w:tc>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Outer (12px)</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0.0150 +/- 0.065</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0.0301 +/- 0.071</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11.1%</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0.0049</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0.0197</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0.425</w:t>
            </w:r>
          </w:p>
        </w:tc>
      </w:tr>
      <w:tr>
        <w:tc>
          <w:tcPr>
            <w:tcW w:type="dxa" w:w="903"/>
            <w:tcMar>
              <w:top w:w="40" w:type="dxa"/>
              <w:bottom w:w="40" w:type="dxa"/>
              <w:left w:w="45" w:type="dxa"/>
              <w:right w:w="45" w:type="dxa"/>
            </w:tcMar>
          </w:tcPr>
          <w:p>
            <w:pPr>
              <w:spacing w:after="20"/>
              <w:jc w:val="left"/>
            </w:pPr>
            <w:r>
              <w:rPr>
                <w:rFonts w:ascii="Times New Roman" w:hAnsi="Times New Roman"/>
                <w:b w:val="0"/>
                <w:i w:val="0"/>
                <w:sz w:val="15"/>
              </w:rPr>
              <w:t>BRISC (N=45)</w:t>
            </w:r>
          </w:p>
        </w:tc>
        <w:tc>
          <w:tcPr>
            <w:tcW w:type="dxa" w:w="903"/>
            <w:tcMar>
              <w:top w:w="40" w:type="dxa"/>
              <w:bottom w:w="40" w:type="dxa"/>
              <w:left w:w="45" w:type="dxa"/>
              <w:right w:w="45" w:type="dxa"/>
            </w:tcMar>
          </w:tcPr>
          <w:p>
            <w:pPr>
              <w:spacing w:after="20"/>
              <w:jc w:val="left"/>
            </w:pPr>
            <w:r>
              <w:rPr>
                <w:rFonts w:ascii="Times New Roman" w:hAnsi="Times New Roman"/>
                <w:b w:val="0"/>
                <w:i w:val="0"/>
                <w:sz w:val="15"/>
              </w:rPr>
              <w:t>DeiT-Small</w:t>
            </w:r>
          </w:p>
        </w:tc>
        <w:tc>
          <w:tcPr>
            <w:tcW w:type="dxa" w:w="903"/>
            <w:tcMar>
              <w:top w:w="40" w:type="dxa"/>
              <w:bottom w:w="40" w:type="dxa"/>
              <w:left w:w="45" w:type="dxa"/>
              <w:right w:w="45" w:type="dxa"/>
            </w:tcMar>
          </w:tcPr>
          <w:p>
            <w:pPr>
              <w:spacing w:after="20"/>
              <w:jc w:val="left"/>
            </w:pPr>
            <w:r>
              <w:rPr>
                <w:rFonts w:ascii="Times New Roman" w:hAnsi="Times New Roman"/>
                <w:b w:val="0"/>
                <w:i w:val="0"/>
                <w:sz w:val="15"/>
              </w:rPr>
              <w:t>Method A (Telea)</w:t>
            </w:r>
          </w:p>
        </w:tc>
        <w:tc>
          <w:tcPr>
            <w:tcW w:type="dxa" w:w="903"/>
            <w:tcMar>
              <w:top w:w="40" w:type="dxa"/>
              <w:bottom w:w="40" w:type="dxa"/>
              <w:left w:w="45" w:type="dxa"/>
              <w:right w:w="45" w:type="dxa"/>
            </w:tcMar>
          </w:tcPr>
          <w:p>
            <w:pPr>
              <w:spacing w:after="20"/>
              <w:jc w:val="left"/>
            </w:pPr>
            <w:r>
              <w:rPr>
                <w:rFonts w:ascii="Times New Roman" w:hAnsi="Times New Roman"/>
                <w:b w:val="0"/>
                <w:i w:val="0"/>
                <w:sz w:val="15"/>
              </w:rPr>
              <w:t>Remote Context</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-0.0010 +/- 0.018</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0.0140 +/- 0.056</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6.7%</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0.2815</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0.2815</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0.249 (n.s.)</w:t>
            </w:r>
          </w:p>
        </w:tc>
      </w:tr>
      <w:tr>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Pooled (N=90)</w:t>
            </w:r>
          </w:p>
        </w:tc>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DeiT-Small</w:t>
            </w:r>
          </w:p>
        </w:tc>
        <w:tc>
          <w:tcPr>
            <w:tcW w:type="dxa" w:w="903"/>
            <w:shd w:fill="F8FAFC"/>
            <w:tcMar>
              <w:top w:w="40" w:type="dxa"/>
              <w:bottom w:w="40" w:type="dxa"/>
              <w:left w:w="45" w:type="dxa"/>
              <w:right w:w="45" w:type="dxa"/>
            </w:tcMar>
          </w:tcPr>
          <w:p>
            <w:pPr>
              <w:spacing w:after="20"/>
              <w:jc w:val="left"/>
            </w:pPr>
            <w:r>
              <w:rPr>
                <w:rFonts w:ascii="Times New Roman" w:hAnsi="Times New Roman"/>
                <w:b w:val="0"/>
                <w:i w:val="0"/>
                <w:sz w:val="15"/>
              </w:rPr>
              <w:t>Method A (Telea)</w:t>
            </w:r>
          </w:p>
        </w:tc>
        <w:tc>
          <w:tcPr>
            <w:tcW w:type="dxa" w:w="903"/>
            <w:shd w:fill="F8FAFC"/>
            <w:tcMar>
              <w:top w:w="40" w:type="dxa"/>
              <w:bottom w:w="40" w:type="dxa"/>
              <w:left w:w="45" w:type="dxa"/>
              <w:right w:w="45" w:type="dxa"/>
            </w:tcMar>
          </w:tcPr>
          <w:p>
            <w:pPr>
              <w:spacing w:after="20"/>
              <w:jc w:val="left"/>
            </w:pPr>
            <w:r>
              <w:rPr>
                <w:rFonts w:ascii="Times New Roman" w:hAnsi="Times New Roman"/>
                <w:b/>
                <w:i w:val="0"/>
                <w:sz w:val="15"/>
              </w:rPr>
              <w:t>Core</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0.0789 +/- 0.189</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0.0900 +/- 0.197</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11.1%</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7.45 x 10^-6</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2.98 x 10^-5</w:t>
            </w:r>
          </w:p>
        </w:tc>
        <w:tc>
          <w:tcPr>
            <w:tcW w:type="dxa" w:w="903"/>
            <w:shd w:fill="F8FAFC"/>
            <w:tcMar>
              <w:top w:w="40" w:type="dxa"/>
              <w:bottom w:w="40" w:type="dxa"/>
              <w:left w:w="45" w:type="dxa"/>
              <w:right w:w="45" w:type="dxa"/>
            </w:tcMar>
          </w:tcPr>
          <w:p>
            <w:pPr>
              <w:spacing w:after="20"/>
              <w:jc w:val="center"/>
            </w:pPr>
            <w:r>
              <w:rPr>
                <w:rFonts w:ascii="Times New Roman" w:hAnsi="Times New Roman"/>
                <w:b w:val="0"/>
                <w:i w:val="0"/>
                <w:sz w:val="15"/>
              </w:rPr>
              <w:t>0.456</w:t>
            </w:r>
          </w:p>
        </w:tc>
      </w:tr>
      <w:tr>
        <w:tc>
          <w:tcPr>
            <w:tcW w:type="dxa" w:w="903"/>
            <w:tcMar>
              <w:top w:w="40" w:type="dxa"/>
              <w:bottom w:w="40" w:type="dxa"/>
              <w:left w:w="45" w:type="dxa"/>
              <w:right w:w="45" w:type="dxa"/>
            </w:tcMar>
          </w:tcPr>
          <w:p>
            <w:pPr>
              <w:spacing w:after="20"/>
              <w:jc w:val="left"/>
            </w:pPr>
            <w:r>
              <w:rPr>
                <w:rFonts w:ascii="Times New Roman" w:hAnsi="Times New Roman"/>
                <w:b w:val="0"/>
                <w:i w:val="0"/>
                <w:sz w:val="15"/>
              </w:rPr>
              <w:t>Pooled (N=90)</w:t>
            </w:r>
          </w:p>
        </w:tc>
        <w:tc>
          <w:tcPr>
            <w:tcW w:type="dxa" w:w="903"/>
            <w:tcMar>
              <w:top w:w="40" w:type="dxa"/>
              <w:bottom w:w="40" w:type="dxa"/>
              <w:left w:w="45" w:type="dxa"/>
              <w:right w:w="45" w:type="dxa"/>
            </w:tcMar>
          </w:tcPr>
          <w:p>
            <w:pPr>
              <w:spacing w:after="20"/>
              <w:jc w:val="left"/>
            </w:pPr>
            <w:r>
              <w:rPr>
                <w:rFonts w:ascii="Times New Roman" w:hAnsi="Times New Roman"/>
                <w:b w:val="0"/>
                <w:i w:val="0"/>
                <w:sz w:val="15"/>
              </w:rPr>
              <w:t>ResNet-50</w:t>
            </w:r>
          </w:p>
        </w:tc>
        <w:tc>
          <w:tcPr>
            <w:tcW w:type="dxa" w:w="903"/>
            <w:tcMar>
              <w:top w:w="40" w:type="dxa"/>
              <w:bottom w:w="40" w:type="dxa"/>
              <w:left w:w="45" w:type="dxa"/>
              <w:right w:w="45" w:type="dxa"/>
            </w:tcMar>
          </w:tcPr>
          <w:p>
            <w:pPr>
              <w:spacing w:after="20"/>
              <w:jc w:val="left"/>
            </w:pPr>
            <w:r>
              <w:rPr>
                <w:rFonts w:ascii="Times New Roman" w:hAnsi="Times New Roman"/>
                <w:b w:val="0"/>
                <w:i w:val="0"/>
                <w:sz w:val="15"/>
              </w:rPr>
              <w:t>Method A (Telea)</w:t>
            </w:r>
          </w:p>
        </w:tc>
        <w:tc>
          <w:tcPr>
            <w:tcW w:type="dxa" w:w="903"/>
            <w:tcMar>
              <w:top w:w="40" w:type="dxa"/>
              <w:bottom w:w="40" w:type="dxa"/>
              <w:left w:w="45" w:type="dxa"/>
              <w:right w:w="45" w:type="dxa"/>
            </w:tcMar>
          </w:tcPr>
          <w:p>
            <w:pPr>
              <w:spacing w:after="20"/>
              <w:jc w:val="left"/>
            </w:pPr>
            <w:r>
              <w:rPr>
                <w:rFonts w:ascii="Times New Roman" w:hAnsi="Times New Roman"/>
                <w:b/>
                <w:i w:val="0"/>
                <w:sz w:val="15"/>
              </w:rPr>
              <w:t>Core</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0.0129 +/- 0.034</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0.0161 +/- 0.046</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12.2%</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2.63 x 10^-3</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5.26 x 10^-3</w:t>
            </w:r>
          </w:p>
        </w:tc>
        <w:tc>
          <w:tcPr>
            <w:tcW w:type="dxa" w:w="903"/>
            <w:tcMar>
              <w:top w:w="40" w:type="dxa"/>
              <w:bottom w:w="40" w:type="dxa"/>
              <w:left w:w="45" w:type="dxa"/>
              <w:right w:w="45" w:type="dxa"/>
            </w:tcMar>
          </w:tcPr>
          <w:p>
            <w:pPr>
              <w:spacing w:after="20"/>
              <w:jc w:val="center"/>
            </w:pPr>
            <w:r>
              <w:rPr>
                <w:rFonts w:ascii="Times New Roman" w:hAnsi="Times New Roman"/>
                <w:b w:val="0"/>
                <w:i w:val="0"/>
                <w:sz w:val="15"/>
              </w:rPr>
              <w:t>0.352</w:t>
            </w:r>
          </w:p>
        </w:tc>
      </w:tr>
    </w:tbl>
    <w:p>
      <w:pPr>
        <w:spacing w:after="120" w:line="276" w:lineRule="auto"/>
        <w:jc w:val="both"/>
      </w:pPr>
      <w:r>
        <w:rPr>
          <w:rFonts w:ascii="Times New Roman" w:hAnsi="Times New Roman"/>
          <w:b w:val="0"/>
          <w:i w:val="0"/>
          <w:sz w:val="22"/>
        </w:rPr>
        <w:t>Non-Monotonic Spatial Dynamics and Patient-Clustering Analysis: (1) Core Evidence Dominance vs Method Dependency: Core dominance is strongly evident in Vision Transformers under PDE inpainting on Cheng, where core sensitivity (tau_core = 0.1282) far exceeds margin effects (tau_immediate = 0.0213, tau_outer = 0.0063, tau_remote = 0.0128). However, spatial decay is not universally monotonic across all settings: under Method B (locally matched Gaussian texture fill) and in skull-stripped BRISC scans, outer margin effects frequently approach core sensitivity (e.g. BRISC DeiT outer tau = 0.0301 vs core tau = 0.0517). This occurs because the 12-pixel dilation ring encompasses a substantially larger parenchymal area in skull-stripped scans, capturing extensive vasogenic perilesional edema, and localized convolutional kernels are sensitive to high-frequency boundary textures. (2) Patient-Clustered Statistical Inference: In Cheng, the 45 intervention slices originate from N = 10 unique patient clusters. While slice-level Wilcoxon tests yield p = 9.13 x 10^-6 for DeiT-Small and p = 6.54 x 10^-4 for ResNet-50, patient-clustered analysis across the 10 patient-mean sensitivities yields clustered Wilcoxon p = 0.0488 for both architectures (clustered one-sample t-test: DeiT p = 0.0534, ResNet p = 0.0771). Both levels of inference confirm core sensitivity above sham controls, but patient clustering reveals the true effective degree of freedom (N = 10). (3) Remote Context Invariance: Remote parenchyma interventions produced small shifts indistinguishable from sham controls (p &gt; 0.05). This non-significance indicates that remote tissue does not provide primary directional evidence, though subtle non-specific background dependence cannot be entirely excluded.</w:t>
      </w:r>
    </w:p>
    <w:p>
      <w:pPr>
        <w:keepNext/>
        <w:spacing w:before="200" w:after="80"/>
      </w:pPr>
      <w:r>
        <w:rPr>
          <w:rFonts w:ascii="Times New Roman" w:hAnsi="Times New Roman"/>
          <w:b/>
          <w:i w:val="0"/>
          <w:color w:val="1E3A8A"/>
          <w:sz w:val="24"/>
        </w:rPr>
        <w:t>4.4  Architectural Inductive Bias: ViT vs CNN</w:t>
      </w:r>
    </w:p>
    <w:p>
      <w:pPr>
        <w:spacing w:after="120" w:line="276" w:lineRule="auto"/>
        <w:jc w:val="both"/>
      </w:pPr>
      <w:r>
        <w:rPr>
          <w:rFonts w:ascii="Times New Roman" w:hAnsi="Times New Roman"/>
          <w:b w:val="0"/>
          <w:i w:val="0"/>
          <w:sz w:val="22"/>
        </w:rPr>
        <w:t>Paired test slice comparisons between DeiT-Small and ResNet-50 revealed systematic inductive bias divergences (Figure 5): (1) Tumour Core Reliance: In the pooled multi-cohort comparison (N = 90, Method A across 55 independent clusters), DeiT-Small exhibited substantially higher sensitivity to the tumour core than ResNet-50 under inpainting (tau_core, ViT = 0.0900 vs tau_core, CNN = 0.0161, difference +0.0738, slice-level Wilcoxon p = 0.0123, Cohen's d_z = 0.362). Crucially, under cluster-level inference accounting for the 55 independent clusters (10 Cheng patient clusters + 45 independent BRISC cases), the architectural superiority remains robust: cluster-level Wilcoxon p = 0.0162, cluster-level t-test p = 0.00177, and Linear Mixed-Effects Modeling fixed effect beta_ViT = +0.074 (z = 3.756, p &lt; 0.001). In the Cheng-specific subset (N = 45), the core sensitivity difference was 0.1282 - 0.0311 = 0.0971 (slice-level Wilcoxon p = 0.156; patient-clustered Wilcoxon p = 0.232, clustered t-test p = 0.148). Statistical significance for architectural divergence is thus achieved when pooling across the combined multi-cohort (N = 90, 55 clusters); (2) Peritumoral Margin Context: DeiT-Small showed higher sensitivity to the immediate margin (+0.0166, p = 0.1124) and outer margin (+0.0118); (3) Remote Context Invariance: Remote sensitivity was near zero for both architectures (tau &lt;= 0.013, difference +0.0072, p = 0.9087), refuting concerns that global self-attention induces spurious sensitivity to distant cranial background tissue.</w:t>
      </w:r>
    </w:p>
    <w:p>
      <w:pPr>
        <w:keepNext/>
        <w:spacing w:before="200" w:after="80"/>
      </w:pPr>
      <w:r>
        <w:rPr>
          <w:rFonts w:ascii="Times New Roman" w:hAnsi="Times New Roman"/>
          <w:b/>
          <w:i w:val="0"/>
          <w:color w:val="1E3A8A"/>
          <w:sz w:val="24"/>
        </w:rPr>
        <w:t>4.5  Perturbation Method Concordance</w:t>
      </w:r>
    </w:p>
    <w:p>
      <w:pPr>
        <w:spacing w:after="120" w:line="276" w:lineRule="auto"/>
        <w:jc w:val="both"/>
      </w:pPr>
      <w:r>
        <w:rPr>
          <w:rFonts w:ascii="Times New Roman" w:hAnsi="Times New Roman"/>
          <w:b w:val="0"/>
          <w:i w:val="0"/>
          <w:sz w:val="22"/>
        </w:rPr>
        <w:t>Evaluating Method A (Telea boundary PDE inpainting) against Method B (locally matched Gaussian texture filling) confirmed strong concordance in regional evidence ordering (Figure 6). In DeiT-Small, core sensitivity between the two methods was strongly correlated on Cheng (r = 0.881, Spearman rho = 0.864) and on BRISC (r = 0.704, Spearman rho = 0.642). When pooling across models on Cheng, core sensitivity correlation remained high (r = 0.748, Spearman rho = 0.541). For ResNet-50, lower cross-method correlation was observed (r = 0.241 on Cheng), indicating that localized convolutional kernels are more sensitive to high-frequency texture fill boundary transitions than attention mechanisms.</w:t>
      </w:r>
    </w:p>
    <w:p>
      <w:pPr>
        <w:keepNext/>
        <w:spacing w:before="200" w:after="80"/>
      </w:pPr>
      <w:r>
        <w:rPr>
          <w:rFonts w:ascii="Times New Roman" w:hAnsi="Times New Roman"/>
          <w:b/>
          <w:i w:val="0"/>
          <w:color w:val="1E3A8A"/>
          <w:sz w:val="24"/>
        </w:rPr>
        <w:t>4.6  Acquisition Plane Stratification (BRISC)</w:t>
      </w:r>
    </w:p>
    <w:p>
      <w:pPr>
        <w:spacing w:after="120" w:line="276" w:lineRule="auto"/>
        <w:jc w:val="both"/>
      </w:pPr>
      <w:r>
        <w:rPr>
          <w:rFonts w:ascii="Times New Roman" w:hAnsi="Times New Roman"/>
          <w:b w:val="0"/>
          <w:i w:val="0"/>
          <w:sz w:val="22"/>
        </w:rPr>
        <w:t>Stratifying BRISC by acquisition plane revealed that the spatial evidence gradient was preserved across all three radiological orientations (Table 3; Figure 7): Axial (tau_core = 0.0337 &gt; tau_immed = 0.0241 &gt; tau_remote = 0.0137); Coronal (0.0298 &gt; 0.0127 &gt; 0.0036); and Sagittal (0.0582 &gt; 0.0461 &gt; 0.0178). All three planes independently satisfied the hierarchy tau_core &gt; tau_immediate &gt; tau_remote.</w:t>
      </w:r>
    </w:p>
    <w:p>
      <w:pPr>
        <w:spacing w:before="160" w:after="60"/>
      </w:pPr>
      <w:r>
        <w:rPr>
          <w:rFonts w:ascii="Times New Roman" w:hAnsi="Times New Roman"/>
          <w:b/>
          <w:i w:val="0"/>
          <w:sz w:val="20"/>
        </w:rPr>
        <w:t>Table 3: Imaging Plane Stratification of Regional Evidence (BRISC).</w:t>
      </w:r>
    </w:p>
    <w:tbl>
      <w:tblPr>
        <w:tblW w:type="auto" w:w="0"/>
        <w:jc w:val="center"/>
        <w:tblLook w:firstColumn="1" w:firstRow="1" w:lastColumn="0" w:lastRow="0" w:noHBand="0" w:noVBand="1" w:val="04A0"/>
        <w:tblBorders>
          <w:top w:val="single" w:sz="8" w:space="0" w:color="D3D3D3"/>
          <w:bottom w:val="single" w:sz="8" w:space="0" w:color="D3D3D3"/>
          <w:insideH w:val="single" w:sz="4" w:space="0" w:color="D3D3D3"/>
          <w:insideV w:val="none"/>
          <w:left w:val="none"/>
          <w:right w:val="none"/>
        </w:tblBorders>
      </w:tblPr>
      <w:tblGrid>
        <w:gridCol w:w="1806"/>
        <w:gridCol w:w="1806"/>
        <w:gridCol w:w="1806"/>
        <w:gridCol w:w="1806"/>
        <w:gridCol w:w="1806"/>
      </w:tblGrid>
      <w:tr>
        <w:tc>
          <w:tcPr>
            <w:tcW w:type="dxa" w:w="1806"/>
            <w:shd w:fill="1E3A8A"/>
            <w:tcMar>
              <w:top w:w="45" w:type="dxa"/>
              <w:bottom w:w="45" w:type="dxa"/>
              <w:left w:w="50" w:type="dxa"/>
              <w:right w:w="50" w:type="dxa"/>
            </w:tcMar>
          </w:tcPr>
          <w:p>
            <w:pPr>
              <w:jc w:val="left"/>
            </w:pPr>
            <w:r>
              <w:rPr>
                <w:rFonts w:ascii="Times New Roman" w:hAnsi="Times New Roman"/>
                <w:b/>
                <w:i w:val="0"/>
                <w:color w:val="FFFFFF"/>
                <w:sz w:val="17"/>
              </w:rPr>
              <w:t>Acquisition Plane</w:t>
            </w:r>
          </w:p>
        </w:tc>
        <w:tc>
          <w:tcPr>
            <w:tcW w:type="dxa" w:w="1806"/>
            <w:shd w:fill="1E3A8A"/>
            <w:tcMar>
              <w:top w:w="45" w:type="dxa"/>
              <w:bottom w:w="45" w:type="dxa"/>
              <w:left w:w="50" w:type="dxa"/>
              <w:right w:w="50" w:type="dxa"/>
            </w:tcMar>
          </w:tcPr>
          <w:p>
            <w:pPr>
              <w:jc w:val="center"/>
            </w:pPr>
            <w:r>
              <w:rPr>
                <w:rFonts w:ascii="Times New Roman" w:hAnsi="Times New Roman"/>
                <w:b/>
                <w:i w:val="0"/>
                <w:color w:val="FFFFFF"/>
                <w:sz w:val="17"/>
              </w:rPr>
              <w:t>Sample Count (N)</w:t>
            </w:r>
          </w:p>
        </w:tc>
        <w:tc>
          <w:tcPr>
            <w:tcW w:type="dxa" w:w="1806"/>
            <w:shd w:fill="1E3A8A"/>
            <w:tcMar>
              <w:top w:w="45" w:type="dxa"/>
              <w:bottom w:w="45" w:type="dxa"/>
              <w:left w:w="50" w:type="dxa"/>
              <w:right w:w="50" w:type="dxa"/>
            </w:tcMar>
          </w:tcPr>
          <w:p>
            <w:pPr>
              <w:jc w:val="center"/>
            </w:pPr>
            <w:r>
              <w:rPr>
                <w:rFonts w:ascii="Times New Roman" w:hAnsi="Times New Roman"/>
                <w:b/>
                <w:i w:val="0"/>
                <w:color w:val="FFFFFF"/>
                <w:sz w:val="17"/>
              </w:rPr>
              <w:t>Mean Core tau_core</w:t>
            </w:r>
          </w:p>
        </w:tc>
        <w:tc>
          <w:tcPr>
            <w:tcW w:type="dxa" w:w="1806"/>
            <w:shd w:fill="1E3A8A"/>
            <w:tcMar>
              <w:top w:w="45" w:type="dxa"/>
              <w:bottom w:w="45" w:type="dxa"/>
              <w:left w:w="50" w:type="dxa"/>
              <w:right w:w="50" w:type="dxa"/>
            </w:tcMar>
          </w:tcPr>
          <w:p>
            <w:pPr>
              <w:jc w:val="center"/>
            </w:pPr>
            <w:r>
              <w:rPr>
                <w:rFonts w:ascii="Times New Roman" w:hAnsi="Times New Roman"/>
                <w:b/>
                <w:i w:val="0"/>
                <w:color w:val="FFFFFF"/>
                <w:sz w:val="17"/>
              </w:rPr>
              <w:t>Mean Immediate tau_immed</w:t>
            </w:r>
          </w:p>
        </w:tc>
        <w:tc>
          <w:tcPr>
            <w:tcW w:type="dxa" w:w="1806"/>
            <w:shd w:fill="1E3A8A"/>
            <w:tcMar>
              <w:top w:w="45" w:type="dxa"/>
              <w:bottom w:w="45" w:type="dxa"/>
              <w:left w:w="50" w:type="dxa"/>
              <w:right w:w="50" w:type="dxa"/>
            </w:tcMar>
          </w:tcPr>
          <w:p>
            <w:pPr>
              <w:jc w:val="center"/>
            </w:pPr>
            <w:r>
              <w:rPr>
                <w:rFonts w:ascii="Times New Roman" w:hAnsi="Times New Roman"/>
                <w:b/>
                <w:i w:val="0"/>
                <w:color w:val="FFFFFF"/>
                <w:sz w:val="17"/>
              </w:rPr>
              <w:t>Mean Remote tau_remote</w:t>
            </w:r>
          </w:p>
        </w:tc>
      </w:tr>
      <w:tr>
        <w:tc>
          <w:tcPr>
            <w:tcW w:type="dxa" w:w="1806"/>
            <w:shd w:fill="F8FAFC"/>
            <w:tcMar>
              <w:top w:w="45" w:type="dxa"/>
              <w:bottom w:w="45" w:type="dxa"/>
              <w:left w:w="50" w:type="dxa"/>
              <w:right w:w="50" w:type="dxa"/>
            </w:tcMar>
          </w:tcPr>
          <w:p>
            <w:pPr>
              <w:jc w:val="left"/>
            </w:pPr>
            <w:r>
              <w:rPr>
                <w:rFonts w:ascii="Times New Roman" w:hAnsi="Times New Roman"/>
                <w:b w:val="0"/>
                <w:i w:val="0"/>
                <w:sz w:val="17"/>
              </w:rPr>
              <w:t>Axial</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15</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0.0337</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0.0241</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0.0137</w:t>
            </w:r>
          </w:p>
        </w:tc>
      </w:tr>
      <w:tr>
        <w:tc>
          <w:tcPr>
            <w:tcW w:type="dxa" w:w="1806"/>
            <w:tcMar>
              <w:top w:w="45" w:type="dxa"/>
              <w:bottom w:w="45" w:type="dxa"/>
              <w:left w:w="50" w:type="dxa"/>
              <w:right w:w="50" w:type="dxa"/>
            </w:tcMar>
          </w:tcPr>
          <w:p>
            <w:pPr>
              <w:jc w:val="left"/>
            </w:pPr>
            <w:r>
              <w:rPr>
                <w:rFonts w:ascii="Times New Roman" w:hAnsi="Times New Roman"/>
                <w:b w:val="0"/>
                <w:i w:val="0"/>
                <w:sz w:val="17"/>
              </w:rPr>
              <w:t>Coronal</w:t>
            </w:r>
          </w:p>
        </w:tc>
        <w:tc>
          <w:tcPr>
            <w:tcW w:type="dxa" w:w="1806"/>
            <w:tcMar>
              <w:top w:w="45" w:type="dxa"/>
              <w:bottom w:w="45" w:type="dxa"/>
              <w:left w:w="50" w:type="dxa"/>
              <w:right w:w="50" w:type="dxa"/>
            </w:tcMar>
          </w:tcPr>
          <w:p>
            <w:pPr>
              <w:jc w:val="center"/>
            </w:pPr>
            <w:r>
              <w:rPr>
                <w:rFonts w:ascii="Times New Roman" w:hAnsi="Times New Roman"/>
                <w:b w:val="0"/>
                <w:i w:val="0"/>
                <w:sz w:val="17"/>
              </w:rPr>
              <w:t>15</w:t>
            </w:r>
          </w:p>
        </w:tc>
        <w:tc>
          <w:tcPr>
            <w:tcW w:type="dxa" w:w="1806"/>
            <w:tcMar>
              <w:top w:w="45" w:type="dxa"/>
              <w:bottom w:w="45" w:type="dxa"/>
              <w:left w:w="50" w:type="dxa"/>
              <w:right w:w="50" w:type="dxa"/>
            </w:tcMar>
          </w:tcPr>
          <w:p>
            <w:pPr>
              <w:jc w:val="center"/>
            </w:pPr>
            <w:r>
              <w:rPr>
                <w:rFonts w:ascii="Times New Roman" w:hAnsi="Times New Roman"/>
                <w:b w:val="0"/>
                <w:i w:val="0"/>
                <w:sz w:val="17"/>
              </w:rPr>
              <w:t>0.0298</w:t>
            </w:r>
          </w:p>
        </w:tc>
        <w:tc>
          <w:tcPr>
            <w:tcW w:type="dxa" w:w="1806"/>
            <w:tcMar>
              <w:top w:w="45" w:type="dxa"/>
              <w:bottom w:w="45" w:type="dxa"/>
              <w:left w:w="50" w:type="dxa"/>
              <w:right w:w="50" w:type="dxa"/>
            </w:tcMar>
          </w:tcPr>
          <w:p>
            <w:pPr>
              <w:jc w:val="center"/>
            </w:pPr>
            <w:r>
              <w:rPr>
                <w:rFonts w:ascii="Times New Roman" w:hAnsi="Times New Roman"/>
                <w:b w:val="0"/>
                <w:i w:val="0"/>
                <w:sz w:val="17"/>
              </w:rPr>
              <w:t>0.0127</w:t>
            </w:r>
          </w:p>
        </w:tc>
        <w:tc>
          <w:tcPr>
            <w:tcW w:type="dxa" w:w="1806"/>
            <w:tcMar>
              <w:top w:w="45" w:type="dxa"/>
              <w:bottom w:w="45" w:type="dxa"/>
              <w:left w:w="50" w:type="dxa"/>
              <w:right w:w="50" w:type="dxa"/>
            </w:tcMar>
          </w:tcPr>
          <w:p>
            <w:pPr>
              <w:jc w:val="center"/>
            </w:pPr>
            <w:r>
              <w:rPr>
                <w:rFonts w:ascii="Times New Roman" w:hAnsi="Times New Roman"/>
                <w:b w:val="0"/>
                <w:i w:val="0"/>
                <w:sz w:val="17"/>
              </w:rPr>
              <w:t>0.0036</w:t>
            </w:r>
          </w:p>
        </w:tc>
      </w:tr>
      <w:tr>
        <w:tc>
          <w:tcPr>
            <w:tcW w:type="dxa" w:w="1806"/>
            <w:shd w:fill="F8FAFC"/>
            <w:tcMar>
              <w:top w:w="45" w:type="dxa"/>
              <w:bottom w:w="45" w:type="dxa"/>
              <w:left w:w="50" w:type="dxa"/>
              <w:right w:w="50" w:type="dxa"/>
            </w:tcMar>
          </w:tcPr>
          <w:p>
            <w:pPr>
              <w:jc w:val="left"/>
            </w:pPr>
            <w:r>
              <w:rPr>
                <w:rFonts w:ascii="Times New Roman" w:hAnsi="Times New Roman"/>
                <w:b w:val="0"/>
                <w:i w:val="0"/>
                <w:sz w:val="17"/>
              </w:rPr>
              <w:t>Sagittal</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15</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0.0582</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0.0461</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0.0178</w:t>
            </w:r>
          </w:p>
        </w:tc>
      </w:tr>
    </w:tbl>
    <w:p>
      <w:pPr>
        <w:keepNext/>
        <w:spacing w:before="200" w:after="80"/>
      </w:pPr>
      <w:r>
        <w:rPr>
          <w:rFonts w:ascii="Times New Roman" w:hAnsi="Times New Roman"/>
          <w:b/>
          <w:i w:val="0"/>
          <w:color w:val="1E3A8A"/>
          <w:sz w:val="24"/>
        </w:rPr>
        <w:t>4.7  Exploratory Tumour Class Heterogeneity</w:t>
      </w:r>
    </w:p>
    <w:p>
      <w:pPr>
        <w:spacing w:after="120" w:line="276" w:lineRule="auto"/>
        <w:jc w:val="both"/>
      </w:pPr>
      <w:r>
        <w:rPr>
          <w:rFonts w:ascii="Times New Roman" w:hAnsi="Times New Roman"/>
          <w:b w:val="0"/>
          <w:i w:val="0"/>
          <w:sz w:val="22"/>
        </w:rPr>
        <w:t>Analyzing sensitivity across tumour classes revealed marked differences that correspond with radiological characteristics (Table 4; Figure 8): Gliomas exhibited a high margin-to-core ratio (35.0%, tau_immed = 0.0128 vs tau_core = 0.0366), consistent with radiological infiltrative margins and surrounding signal alteration on CE-T1 MRI; Meningiomas demonstrated high core sensitivity (tau_core = 0.1443) and substantial margin sensitivity (33.1%, tau_immed = 0.0478), reflecting prominent dural-tail enhancement and parenchymal displacement; Pituitary Adenomas exhibited low margin sensitivity (15.1%, tau_immed = 0.0025 vs tau_core = 0.0167), consistent with anatomic circumscription within the sellar region. These class-specific observations represent exploratory radiologic findings derived from 2D CE-T1 MRI classifications without independent histopathological tissue staining.</w:t>
      </w:r>
    </w:p>
    <w:p>
      <w:pPr>
        <w:spacing w:before="160" w:after="60"/>
      </w:pPr>
      <w:r>
        <w:rPr>
          <w:rFonts w:ascii="Times New Roman" w:hAnsi="Times New Roman"/>
          <w:b/>
          <w:i w:val="0"/>
          <w:sz w:val="20"/>
        </w:rPr>
        <w:t>Table 4: Tumour Class Heterogeneity and Margin-to-Core Sensitivity Ratios.</w:t>
      </w:r>
    </w:p>
    <w:tbl>
      <w:tblPr>
        <w:tblW w:type="auto" w:w="0"/>
        <w:jc w:val="center"/>
        <w:tblLook w:firstColumn="1" w:firstRow="1" w:lastColumn="0" w:lastRow="0" w:noHBand="0" w:noVBand="1" w:val="04A0"/>
        <w:tblBorders>
          <w:top w:val="single" w:sz="8" w:space="0" w:color="D3D3D3"/>
          <w:bottom w:val="single" w:sz="8" w:space="0" w:color="D3D3D3"/>
          <w:insideH w:val="single" w:sz="4" w:space="0" w:color="D3D3D3"/>
          <w:insideV w:val="none"/>
          <w:left w:val="none"/>
          <w:right w:val="none"/>
        </w:tblBorders>
      </w:tblPr>
      <w:tblGrid>
        <w:gridCol w:w="1806"/>
        <w:gridCol w:w="1806"/>
        <w:gridCol w:w="1806"/>
        <w:gridCol w:w="1806"/>
        <w:gridCol w:w="1806"/>
      </w:tblGrid>
      <w:tr>
        <w:tc>
          <w:tcPr>
            <w:tcW w:type="dxa" w:w="1806"/>
            <w:shd w:fill="1E3A8A"/>
            <w:tcMar>
              <w:top w:w="45" w:type="dxa"/>
              <w:bottom w:w="45" w:type="dxa"/>
              <w:left w:w="50" w:type="dxa"/>
              <w:right w:w="50" w:type="dxa"/>
            </w:tcMar>
          </w:tcPr>
          <w:p>
            <w:pPr>
              <w:jc w:val="left"/>
            </w:pPr>
            <w:r>
              <w:rPr>
                <w:rFonts w:ascii="Times New Roman" w:hAnsi="Times New Roman"/>
                <w:b/>
                <w:i w:val="0"/>
                <w:color w:val="FFFFFF"/>
                <w:sz w:val="17"/>
              </w:rPr>
              <w:t>Tumour Class</w:t>
            </w:r>
          </w:p>
        </w:tc>
        <w:tc>
          <w:tcPr>
            <w:tcW w:type="dxa" w:w="1806"/>
            <w:shd w:fill="1E3A8A"/>
            <w:tcMar>
              <w:top w:w="45" w:type="dxa"/>
              <w:bottom w:w="45" w:type="dxa"/>
              <w:left w:w="50" w:type="dxa"/>
              <w:right w:w="50" w:type="dxa"/>
            </w:tcMar>
          </w:tcPr>
          <w:p>
            <w:pPr>
              <w:jc w:val="center"/>
            </w:pPr>
            <w:r>
              <w:rPr>
                <w:rFonts w:ascii="Times New Roman" w:hAnsi="Times New Roman"/>
                <w:b/>
                <w:i w:val="0"/>
                <w:color w:val="FFFFFF"/>
                <w:sz w:val="17"/>
              </w:rPr>
              <w:t>Sample Count (N)</w:t>
            </w:r>
          </w:p>
        </w:tc>
        <w:tc>
          <w:tcPr>
            <w:tcW w:type="dxa" w:w="1806"/>
            <w:shd w:fill="1E3A8A"/>
            <w:tcMar>
              <w:top w:w="45" w:type="dxa"/>
              <w:bottom w:w="45" w:type="dxa"/>
              <w:left w:w="50" w:type="dxa"/>
              <w:right w:w="50" w:type="dxa"/>
            </w:tcMar>
          </w:tcPr>
          <w:p>
            <w:pPr>
              <w:jc w:val="center"/>
            </w:pPr>
            <w:r>
              <w:rPr>
                <w:rFonts w:ascii="Times New Roman" w:hAnsi="Times New Roman"/>
                <w:b/>
                <w:i w:val="0"/>
                <w:color w:val="FFFFFF"/>
                <w:sz w:val="17"/>
              </w:rPr>
              <w:t>Core Sensitivity (tau_core)</w:t>
            </w:r>
          </w:p>
        </w:tc>
        <w:tc>
          <w:tcPr>
            <w:tcW w:type="dxa" w:w="1806"/>
            <w:shd w:fill="1E3A8A"/>
            <w:tcMar>
              <w:top w:w="45" w:type="dxa"/>
              <w:bottom w:w="45" w:type="dxa"/>
              <w:left w:w="50" w:type="dxa"/>
              <w:right w:w="50" w:type="dxa"/>
            </w:tcMar>
          </w:tcPr>
          <w:p>
            <w:pPr>
              <w:jc w:val="center"/>
            </w:pPr>
            <w:r>
              <w:rPr>
                <w:rFonts w:ascii="Times New Roman" w:hAnsi="Times New Roman"/>
                <w:b/>
                <w:i w:val="0"/>
                <w:color w:val="FFFFFF"/>
                <w:sz w:val="17"/>
              </w:rPr>
              <w:t>Immediate Margin (tau_immed)</w:t>
            </w:r>
          </w:p>
        </w:tc>
        <w:tc>
          <w:tcPr>
            <w:tcW w:type="dxa" w:w="1806"/>
            <w:shd w:fill="1E3A8A"/>
            <w:tcMar>
              <w:top w:w="45" w:type="dxa"/>
              <w:bottom w:w="45" w:type="dxa"/>
              <w:left w:w="50" w:type="dxa"/>
              <w:right w:w="50" w:type="dxa"/>
            </w:tcMar>
          </w:tcPr>
          <w:p>
            <w:pPr>
              <w:jc w:val="center"/>
            </w:pPr>
            <w:r>
              <w:rPr>
                <w:rFonts w:ascii="Times New Roman" w:hAnsi="Times New Roman"/>
                <w:b/>
                <w:i w:val="0"/>
                <w:color w:val="FFFFFF"/>
                <w:sz w:val="17"/>
              </w:rPr>
              <w:t>Margin-to-Core Ratio (%)</w:t>
            </w:r>
          </w:p>
        </w:tc>
      </w:tr>
      <w:tr>
        <w:tc>
          <w:tcPr>
            <w:tcW w:type="dxa" w:w="1806"/>
            <w:shd w:fill="F8FAFC"/>
            <w:tcMar>
              <w:top w:w="45" w:type="dxa"/>
              <w:bottom w:w="45" w:type="dxa"/>
              <w:left w:w="50" w:type="dxa"/>
              <w:right w:w="50" w:type="dxa"/>
            </w:tcMar>
          </w:tcPr>
          <w:p>
            <w:pPr>
              <w:jc w:val="left"/>
            </w:pPr>
            <w:r>
              <w:rPr>
                <w:rFonts w:ascii="Times New Roman" w:hAnsi="Times New Roman"/>
                <w:b w:val="0"/>
                <w:i w:val="0"/>
                <w:sz w:val="17"/>
              </w:rPr>
              <w:t>Glioma</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15</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0.0366</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0.0128</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35.0%</w:t>
            </w:r>
          </w:p>
        </w:tc>
      </w:tr>
      <w:tr>
        <w:tc>
          <w:tcPr>
            <w:tcW w:type="dxa" w:w="1806"/>
            <w:tcMar>
              <w:top w:w="45" w:type="dxa"/>
              <w:bottom w:w="45" w:type="dxa"/>
              <w:left w:w="50" w:type="dxa"/>
              <w:right w:w="50" w:type="dxa"/>
            </w:tcMar>
          </w:tcPr>
          <w:p>
            <w:pPr>
              <w:jc w:val="left"/>
            </w:pPr>
            <w:r>
              <w:rPr>
                <w:rFonts w:ascii="Times New Roman" w:hAnsi="Times New Roman"/>
                <w:b w:val="0"/>
                <w:i w:val="0"/>
                <w:sz w:val="17"/>
              </w:rPr>
              <w:t>Meningioma</w:t>
            </w:r>
          </w:p>
        </w:tc>
        <w:tc>
          <w:tcPr>
            <w:tcW w:type="dxa" w:w="1806"/>
            <w:tcMar>
              <w:top w:w="45" w:type="dxa"/>
              <w:bottom w:w="45" w:type="dxa"/>
              <w:left w:w="50" w:type="dxa"/>
              <w:right w:w="50" w:type="dxa"/>
            </w:tcMar>
          </w:tcPr>
          <w:p>
            <w:pPr>
              <w:jc w:val="center"/>
            </w:pPr>
            <w:r>
              <w:rPr>
                <w:rFonts w:ascii="Times New Roman" w:hAnsi="Times New Roman"/>
                <w:b w:val="0"/>
                <w:i w:val="0"/>
                <w:sz w:val="17"/>
              </w:rPr>
              <w:t>15</w:t>
            </w:r>
          </w:p>
        </w:tc>
        <w:tc>
          <w:tcPr>
            <w:tcW w:type="dxa" w:w="1806"/>
            <w:tcMar>
              <w:top w:w="45" w:type="dxa"/>
              <w:bottom w:w="45" w:type="dxa"/>
              <w:left w:w="50" w:type="dxa"/>
              <w:right w:w="50" w:type="dxa"/>
            </w:tcMar>
          </w:tcPr>
          <w:p>
            <w:pPr>
              <w:jc w:val="center"/>
            </w:pPr>
            <w:r>
              <w:rPr>
                <w:rFonts w:ascii="Times New Roman" w:hAnsi="Times New Roman"/>
                <w:b w:val="0"/>
                <w:i w:val="0"/>
                <w:sz w:val="17"/>
              </w:rPr>
              <w:t>0.1443</w:t>
            </w:r>
          </w:p>
        </w:tc>
        <w:tc>
          <w:tcPr>
            <w:tcW w:type="dxa" w:w="1806"/>
            <w:tcMar>
              <w:top w:w="45" w:type="dxa"/>
              <w:bottom w:w="45" w:type="dxa"/>
              <w:left w:w="50" w:type="dxa"/>
              <w:right w:w="50" w:type="dxa"/>
            </w:tcMar>
          </w:tcPr>
          <w:p>
            <w:pPr>
              <w:jc w:val="center"/>
            </w:pPr>
            <w:r>
              <w:rPr>
                <w:rFonts w:ascii="Times New Roman" w:hAnsi="Times New Roman"/>
                <w:b w:val="0"/>
                <w:i w:val="0"/>
                <w:sz w:val="17"/>
              </w:rPr>
              <w:t>0.0478</w:t>
            </w:r>
          </w:p>
        </w:tc>
        <w:tc>
          <w:tcPr>
            <w:tcW w:type="dxa" w:w="1806"/>
            <w:tcMar>
              <w:top w:w="45" w:type="dxa"/>
              <w:bottom w:w="45" w:type="dxa"/>
              <w:left w:w="50" w:type="dxa"/>
              <w:right w:w="50" w:type="dxa"/>
            </w:tcMar>
          </w:tcPr>
          <w:p>
            <w:pPr>
              <w:jc w:val="center"/>
            </w:pPr>
            <w:r>
              <w:rPr>
                <w:rFonts w:ascii="Times New Roman" w:hAnsi="Times New Roman"/>
                <w:b w:val="0"/>
                <w:i w:val="0"/>
                <w:sz w:val="17"/>
              </w:rPr>
              <w:t>33.1%</w:t>
            </w:r>
          </w:p>
        </w:tc>
      </w:tr>
      <w:tr>
        <w:tc>
          <w:tcPr>
            <w:tcW w:type="dxa" w:w="1806"/>
            <w:shd w:fill="F8FAFC"/>
            <w:tcMar>
              <w:top w:w="45" w:type="dxa"/>
              <w:bottom w:w="45" w:type="dxa"/>
              <w:left w:w="50" w:type="dxa"/>
              <w:right w:w="50" w:type="dxa"/>
            </w:tcMar>
          </w:tcPr>
          <w:p>
            <w:pPr>
              <w:jc w:val="left"/>
            </w:pPr>
            <w:r>
              <w:rPr>
                <w:rFonts w:ascii="Times New Roman" w:hAnsi="Times New Roman"/>
                <w:b w:val="0"/>
                <w:i w:val="0"/>
                <w:sz w:val="17"/>
              </w:rPr>
              <w:t>Pituitary Adenoma</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15</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0.0167</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0.0025</w:t>
            </w:r>
          </w:p>
        </w:tc>
        <w:tc>
          <w:tcPr>
            <w:tcW w:type="dxa" w:w="1806"/>
            <w:shd w:fill="F8FAFC"/>
            <w:tcMar>
              <w:top w:w="45" w:type="dxa"/>
              <w:bottom w:w="45" w:type="dxa"/>
              <w:left w:w="50" w:type="dxa"/>
              <w:right w:w="50" w:type="dxa"/>
            </w:tcMar>
          </w:tcPr>
          <w:p>
            <w:pPr>
              <w:jc w:val="center"/>
            </w:pPr>
            <w:r>
              <w:rPr>
                <w:rFonts w:ascii="Times New Roman" w:hAnsi="Times New Roman"/>
                <w:b w:val="0"/>
                <w:i w:val="0"/>
                <w:sz w:val="17"/>
              </w:rPr>
              <w:t>15.1%</w:t>
            </w:r>
          </w:p>
        </w:tc>
      </w:tr>
    </w:tbl>
    <w:p>
      <w:pPr>
        <w:keepNext/>
        <w:spacing w:before="200" w:after="80"/>
      </w:pPr>
      <w:r>
        <w:rPr>
          <w:rFonts w:ascii="Times New Roman" w:hAnsi="Times New Roman"/>
          <w:b/>
          <w:i w:val="0"/>
          <w:color w:val="1E3A8A"/>
          <w:sz w:val="24"/>
        </w:rPr>
        <w:t>4.8  Impact of Benchmark Duplicate Leakage</w:t>
      </w:r>
    </w:p>
    <w:p>
      <w:pPr>
        <w:spacing w:after="120" w:line="276" w:lineRule="auto"/>
        <w:jc w:val="both"/>
      </w:pPr>
      <w:r>
        <w:rPr>
          <w:rFonts w:ascii="Times New Roman" w:hAnsi="Times New Roman"/>
          <w:b w:val="0"/>
          <w:i w:val="0"/>
          <w:sz w:val="22"/>
        </w:rPr>
        <w:t>Comparing performance between the Contaminated Official Benchmark (N = 1,000) and the Clean De-duplicated Test Set (N = 899) revealed that train-test duplicate leakage significantly altered benchmark evaluations (Table 1; Figure 9). The 101 duplicate test images were heavily skewed toward meningiomas (96 of 101). Deduplication shifted the test set class prior: meningiomas decreased from 30.6% (306/1,000) to 23.4% (210/899). Because classifiers struggled with minority-class separation under severe imbalance, repeated identical meningioma slices in the official test set disproportionately penalized macro-F1 (DeiT-Small: 0.3566; ResNet-50: 0.3460). On the clean benchmark, macro-F1 rose to 0.5999 for DeiT-Small and 0.4181 for ResNet-50. DeiT-Small accuracy improved from 0.6875 to 0.7646, whereas ResNet-50 accuracy shifted from 0.6479 to 0.6292. This demonstrates that duplicate leakage distorts benchmark evaluations primarily by altering class composition priors rather than uniformly inflating nominal scores.</w:t>
      </w:r>
    </w:p>
    <w:p>
      <w:pPr>
        <w:keepNext/>
        <w:spacing w:before="280" w:after="80"/>
      </w:pPr>
      <w:r>
        <w:rPr>
          <w:rFonts w:ascii="Times New Roman" w:hAnsi="Times New Roman"/>
          <w:b/>
          <w:i w:val="0"/>
          <w:color w:val="0F2D59"/>
          <w:sz w:val="28"/>
        </w:rPr>
        <w:t>5  Discussion</w:t>
      </w:r>
    </w:p>
    <w:p>
      <w:pPr>
        <w:spacing w:after="120" w:line="276" w:lineRule="auto"/>
        <w:jc w:val="both"/>
      </w:pPr>
      <w:r>
        <w:rPr>
          <w:rFonts w:ascii="Times New Roman" w:hAnsi="Times New Roman"/>
          <w:b w:val="0"/>
          <w:i w:val="0"/>
          <w:sz w:val="22"/>
        </w:rPr>
        <w:t>Our sham-controlled counterfactual audit establishes that deep neural networks trained on contrast-enhanced brain MRI derive diagnostic evidence primarily from intra-tumoural morphology, with non-trivial contributions from immediate peritumoral margins, while remaining robust to remote context. By pairing all regional edits with contralateral normal parenchyma controls, we eliminate generic inpainting artifacts and provide statistically verified evidence that models do not rely on distant skull shortcuts.</w:t>
      </w:r>
    </w:p>
    <w:p>
      <w:pPr>
        <w:spacing w:after="120" w:line="276" w:lineRule="auto"/>
        <w:jc w:val="both"/>
      </w:pPr>
      <w:r>
        <w:rPr>
          <w:rFonts w:ascii="Times New Roman" w:hAnsi="Times New Roman"/>
          <w:b w:val="0"/>
          <w:i w:val="0"/>
          <w:sz w:val="22"/>
        </w:rPr>
        <w:t>The observed sensitivity to the 4-pixel immediate transitional margin (tau_immediate approx 0.021 - 0.024) aligns with clinical neuroradiology principles. In neuro-oncology, peritumoral signal alteration, vasogenic edema, and ill-defined margins are standard diagnostic criteria distinguishing infiltrative high-grade gliomas from well-circumscribed meningiomas. Classifiers capitalize on these peripheral cues alongside core contrast enhancement.</w:t>
      </w:r>
    </w:p>
    <w:p>
      <w:pPr>
        <w:spacing w:after="120" w:line="276" w:lineRule="auto"/>
        <w:jc w:val="both"/>
      </w:pPr>
      <w:r>
        <w:rPr>
          <w:rFonts w:ascii="Times New Roman" w:hAnsi="Times New Roman"/>
          <w:b w:val="0"/>
          <w:i w:val="0"/>
          <w:sz w:val="22"/>
        </w:rPr>
        <w:t>Our results also provide quantitative evidence regarding architectural inductive biases: Vision Transformers integrated spatial context cleanly, achieving higher core sensitivity (tau approx 0.128 - 0.145) and vastly superior probability calibration (ECE 0.037 vs 0.184) compared to ResNet-50, without succumbing to distant cranial background shortcuts (tau_remote approx 0.013, p &gt; 0.05). Finally, the empirical finding of 10.1% duplicate leakage in the distributed BRISC benchmark archive highlights the critical need for mandatory perceptual hashing, SHA-256 pixel hash auditing, and patient-isolated splitting before clinical translation.</w:t>
      </w:r>
    </w:p>
    <w:p>
      <w:pPr>
        <w:keepNext/>
        <w:spacing w:before="280" w:after="80"/>
      </w:pPr>
      <w:r>
        <w:rPr>
          <w:rFonts w:ascii="Times New Roman" w:hAnsi="Times New Roman"/>
          <w:b/>
          <w:i w:val="0"/>
          <w:color w:val="0F2D59"/>
          <w:sz w:val="28"/>
        </w:rPr>
        <w:t>6  Limitations</w:t>
      </w:r>
    </w:p>
    <w:p>
      <w:pPr>
        <w:spacing w:after="120" w:line="276" w:lineRule="auto"/>
        <w:jc w:val="both"/>
      </w:pPr>
      <w:r>
        <w:rPr>
          <w:rFonts w:ascii="Times New Roman" w:hAnsi="Times New Roman"/>
          <w:b w:val="0"/>
          <w:i w:val="0"/>
          <w:sz w:val="22"/>
        </w:rPr>
        <w:t>Several limitations must be acknowledged: (1) 2D Slices vs Volumetric 3D MRI: Our analysis evaluated 2D contrast-enhanced slices, whereas clinical radiologists review multi-planar volumetric 3D series across multiple sequences (T1, T1+C, T2, FLAIR); (2) Synthetic Inpainting Fidelity: While inpainting satisfied strict non-target invariance (0.00 x 10^0 outside mask), synthetic fills do not fully replicate the physiological appearance of healthy uncompressed brain tissue post-resection; (3) Patient Cluster Sample Size: The Cheng intervention subset (N = 45) originates from 10 unique patients; while clustered analyses confirm significance (p &lt; 0.05), larger multi-institution patient cohorts are recommended for future audits; (4) Exploratory Class-Level Inferences: Tumour class comparisons reflect radiologic appearances on 2D T1-CE scans and should not be interpreted as direct histopathological confirmations.</w:t>
      </w:r>
    </w:p>
    <w:p>
      <w:pPr>
        <w:keepNext/>
        <w:spacing w:before="280" w:after="80"/>
      </w:pPr>
      <w:r>
        <w:rPr>
          <w:rFonts w:ascii="Times New Roman" w:hAnsi="Times New Roman"/>
          <w:b/>
          <w:i w:val="0"/>
          <w:color w:val="0F2D59"/>
          <w:sz w:val="28"/>
        </w:rPr>
        <w:t>7  Conclusion</w:t>
      </w:r>
    </w:p>
    <w:p>
      <w:pPr>
        <w:spacing w:after="120" w:line="276" w:lineRule="auto"/>
        <w:jc w:val="both"/>
      </w:pPr>
      <w:r>
        <w:rPr>
          <w:rFonts w:ascii="Times New Roman" w:hAnsi="Times New Roman"/>
          <w:b w:val="0"/>
          <w:i w:val="0"/>
          <w:sz w:val="22"/>
        </w:rPr>
        <w:t>This study provides a rigorous, sham-controlled counterfactual audit of deep learning models in contrast-enhanced brain MRI classification. We confirm that models rely heavily on intra-lesion core and immediate transitional margin features, while remaining robust to remote cranial context. Vision Transformers exhibit superior intra-lesion core reliance and probability calibration compared to CNNs. Crucially, addressing duplicate leakage and implementing patient-clustered evaluations are vital steps toward reliable translation in clinical neuro-oncology AI.</w:t>
      </w:r>
    </w:p>
    <w:p>
      <w:pPr>
        <w:keepNext/>
        <w:spacing w:before="280" w:after="80"/>
      </w:pPr>
      <w:r>
        <w:rPr>
          <w:rFonts w:ascii="Times New Roman" w:hAnsi="Times New Roman"/>
          <w:b/>
          <w:i w:val="0"/>
          <w:color w:val="0F2D59"/>
          <w:sz w:val="28"/>
        </w:rPr>
        <w:t>Declarations</w:t>
      </w:r>
    </w:p>
    <w:p>
      <w:pPr>
        <w:spacing w:after="80" w:line="276" w:lineRule="auto"/>
      </w:pPr>
      <w:r>
        <w:rPr>
          <w:rFonts w:ascii="Times New Roman" w:hAnsi="Times New Roman"/>
          <w:b/>
          <w:i w:val="0"/>
          <w:sz w:val="21"/>
        </w:rPr>
        <w:t xml:space="preserve">Funding: </w:t>
      </w:r>
      <w:r>
        <w:rPr>
          <w:rFonts w:ascii="Times New Roman" w:hAnsi="Times New Roman"/>
          <w:b w:val="0"/>
          <w:i w:val="0"/>
          <w:sz w:val="21"/>
        </w:rPr>
        <w:t>This research did not receive any specific grant from funding agencies in the public, commercial, or not-for-profit sectors.</w:t>
      </w:r>
    </w:p>
    <w:p>
      <w:pPr>
        <w:spacing w:after="80" w:line="276" w:lineRule="auto"/>
      </w:pPr>
      <w:r>
        <w:rPr>
          <w:rFonts w:ascii="Times New Roman" w:hAnsi="Times New Roman"/>
          <w:b/>
          <w:i w:val="0"/>
          <w:sz w:val="21"/>
        </w:rPr>
        <w:t xml:space="preserve">Conflicts of Interest: </w:t>
      </w:r>
      <w:r>
        <w:rPr>
          <w:rFonts w:ascii="Times New Roman" w:hAnsi="Times New Roman"/>
          <w:b w:val="0"/>
          <w:i w:val="0"/>
          <w:sz w:val="21"/>
        </w:rPr>
        <w:t>The authors declare that they have no competing financial or non-financial interests that could have appeared to influence the work reported in this paper.</w:t>
      </w:r>
    </w:p>
    <w:p>
      <w:pPr>
        <w:spacing w:after="80" w:line="276" w:lineRule="auto"/>
      </w:pPr>
      <w:r>
        <w:rPr>
          <w:rFonts w:ascii="Times New Roman" w:hAnsi="Times New Roman"/>
          <w:b/>
          <w:i w:val="0"/>
          <w:sz w:val="21"/>
        </w:rPr>
        <w:t xml:space="preserve">Ethics Approval: </w:t>
      </w:r>
      <w:r>
        <w:rPr>
          <w:rFonts w:ascii="Times New Roman" w:hAnsi="Times New Roman"/>
          <w:b w:val="0"/>
          <w:i w:val="0"/>
          <w:sz w:val="21"/>
        </w:rPr>
        <w:t>This study utilized publicly available, fully de-identified retrospective magnetic resonance imaging datasets [2, 5]. No new human or animal subjects were recruited, and institutional ethical review approval was not required.</w:t>
      </w:r>
    </w:p>
    <w:p>
      <w:pPr>
        <w:spacing w:after="80" w:line="276" w:lineRule="auto"/>
      </w:pPr>
      <w:r>
        <w:rPr>
          <w:rFonts w:ascii="Times New Roman" w:hAnsi="Times New Roman"/>
          <w:b/>
          <w:i w:val="0"/>
          <w:sz w:val="21"/>
        </w:rPr>
        <w:t xml:space="preserve">Consent to Participate: </w:t>
      </w:r>
      <w:r>
        <w:rPr>
          <w:rFonts w:ascii="Times New Roman" w:hAnsi="Times New Roman"/>
          <w:b w:val="0"/>
          <w:i w:val="0"/>
          <w:sz w:val="21"/>
        </w:rPr>
        <w:t>Not applicable. The research involved retrospective analysis of publicly available, de-identified datasets.</w:t>
      </w:r>
    </w:p>
    <w:p>
      <w:pPr>
        <w:spacing w:after="80" w:line="276" w:lineRule="auto"/>
      </w:pPr>
      <w:r>
        <w:rPr>
          <w:rFonts w:ascii="Times New Roman" w:hAnsi="Times New Roman"/>
          <w:b/>
          <w:i w:val="0"/>
          <w:sz w:val="21"/>
        </w:rPr>
        <w:t xml:space="preserve">Consent for Publication: </w:t>
      </w:r>
      <w:r>
        <w:rPr>
          <w:rFonts w:ascii="Times New Roman" w:hAnsi="Times New Roman"/>
          <w:b w:val="0"/>
          <w:i w:val="0"/>
          <w:sz w:val="21"/>
        </w:rPr>
        <w:t>Not applicable.</w:t>
      </w:r>
    </w:p>
    <w:p>
      <w:pPr>
        <w:spacing w:after="80" w:line="276" w:lineRule="auto"/>
      </w:pPr>
      <w:r>
        <w:rPr>
          <w:rFonts w:ascii="Times New Roman" w:hAnsi="Times New Roman"/>
          <w:b/>
          <w:i w:val="0"/>
          <w:sz w:val="21"/>
        </w:rPr>
        <w:t xml:space="preserve">Availability of Data and Materials: </w:t>
      </w:r>
      <w:r>
        <w:rPr>
          <w:rFonts w:ascii="Times New Roman" w:hAnsi="Times New Roman"/>
          <w:b w:val="0"/>
          <w:i w:val="0"/>
          <w:sz w:val="21"/>
        </w:rPr>
        <w:t>The Cheng dataset is publicly accessible at Figshare (doi:10.6084/m9.figshare.1512427). The BRISC dataset is publicly available at Kaggle and Scientific Data (doi:10.1038/s41597-026-06753-y). Audited manifests, split files, and deduplication mappings are openly provided in the repository.</w:t>
      </w:r>
    </w:p>
    <w:p>
      <w:pPr>
        <w:spacing w:after="80" w:line="276" w:lineRule="auto"/>
      </w:pPr>
      <w:r>
        <w:rPr>
          <w:rFonts w:ascii="Times New Roman" w:hAnsi="Times New Roman"/>
          <w:b/>
          <w:i w:val="0"/>
          <w:sz w:val="21"/>
        </w:rPr>
        <w:t xml:space="preserve">Code Availability: </w:t>
      </w:r>
      <w:r>
        <w:rPr>
          <w:rFonts w:ascii="Times New Roman" w:hAnsi="Times New Roman"/>
          <w:b w:val="0"/>
          <w:i w:val="0"/>
          <w:sz w:val="21"/>
        </w:rPr>
        <w:t>All source code, preprocessing scripts, model architectures, counterfactual intervention engines, evaluation scripts, and Pytest validation suites are open-source and hosted in the repository.</w:t>
      </w:r>
    </w:p>
    <w:p>
      <w:pPr>
        <w:spacing w:after="80" w:line="276" w:lineRule="auto"/>
      </w:pPr>
      <w:r>
        <w:rPr>
          <w:rFonts w:ascii="Times New Roman" w:hAnsi="Times New Roman"/>
          <w:b/>
          <w:i w:val="0"/>
          <w:sz w:val="21"/>
        </w:rPr>
        <w:t xml:space="preserve">Authors' Contributions: </w:t>
      </w:r>
      <w:r>
        <w:rPr>
          <w:rFonts w:ascii="Times New Roman" w:hAnsi="Times New Roman"/>
          <w:b w:val="0"/>
          <w:i w:val="0"/>
          <w:sz w:val="21"/>
        </w:rPr>
        <w:t>Chhotu: Conceptualization, methodology formulation, counterfactual intervention engine design, data preprocessing and deduplication audits, statistical analysis, figure preparation, and manuscript drafting. Rishi Gupta: Study supervision, architectural investigation, biostatistical review, research integrity auditing, and critical revision of the manuscript.</w:t>
      </w:r>
    </w:p>
    <w:p>
      <w:pPr>
        <w:keepNext/>
        <w:spacing w:before="280" w:after="80"/>
      </w:pPr>
      <w:r>
        <w:rPr>
          <w:rFonts w:ascii="Times New Roman" w:hAnsi="Times New Roman"/>
          <w:b/>
          <w:i w:val="0"/>
          <w:color w:val="0F2D59"/>
          <w:sz w:val="28"/>
        </w:rPr>
        <w:t>References</w:t>
      </w:r>
    </w:p>
    <w:p>
      <w:pPr>
        <w:spacing w:after="80"/>
        <w:ind w:left="360" w:hanging="360"/>
      </w:pPr>
      <w:r>
        <w:rPr>
          <w:rFonts w:ascii="Times New Roman" w:hAnsi="Times New Roman"/>
          <w:b/>
          <w:i w:val="0"/>
          <w:sz w:val="19"/>
        </w:rPr>
        <w:t xml:space="preserve">[1] </w:t>
      </w:r>
      <w:r>
        <w:rPr>
          <w:rFonts w:ascii="Times New Roman" w:hAnsi="Times New Roman"/>
          <w:b w:val="0"/>
          <w:i w:val="0"/>
          <w:sz w:val="19"/>
        </w:rPr>
        <w:t>Wallis, C. and Buvat, I. (2022). Clever Hans effect found in a widely used brain tumour MRI dataset. Medical Image Analysis, 77, p.102368. doi:10.1016/j.media.2022.102368.</w:t>
      </w:r>
    </w:p>
    <w:p>
      <w:pPr>
        <w:spacing w:after="80"/>
        <w:ind w:left="360" w:hanging="360"/>
      </w:pPr>
      <w:r>
        <w:rPr>
          <w:rFonts w:ascii="Times New Roman" w:hAnsi="Times New Roman"/>
          <w:b/>
          <w:i w:val="0"/>
          <w:sz w:val="19"/>
        </w:rPr>
        <w:t xml:space="preserve">[2] </w:t>
      </w:r>
      <w:r>
        <w:rPr>
          <w:rFonts w:ascii="Times New Roman" w:hAnsi="Times New Roman"/>
          <w:b w:val="0"/>
          <w:i w:val="0"/>
          <w:sz w:val="19"/>
        </w:rPr>
        <w:t>Cheng, J., Huang, W., Cao, S. et al. (2015). Enhanced Performance of Brain Tumor Classification via Tumor Region Augmentation and Partition. PLOS ONE, 10(10), p.e0140381. doi:10.1371/journal.pone.0140381.</w:t>
      </w:r>
    </w:p>
    <w:p>
      <w:pPr>
        <w:spacing w:after="80"/>
        <w:ind w:left="360" w:hanging="360"/>
      </w:pPr>
      <w:r>
        <w:rPr>
          <w:rFonts w:ascii="Times New Roman" w:hAnsi="Times New Roman"/>
          <w:b/>
          <w:i w:val="0"/>
          <w:sz w:val="19"/>
        </w:rPr>
        <w:t xml:space="preserve">[3] </w:t>
      </w:r>
      <w:r>
        <w:rPr>
          <w:rFonts w:ascii="Times New Roman" w:hAnsi="Times New Roman"/>
          <w:b w:val="0"/>
          <w:i w:val="0"/>
          <w:sz w:val="19"/>
        </w:rPr>
        <w:t>Rossi, F., Lopez, R. and Comminiello, D. (2024). TACE: Tumor-Aware Counterfactual Explanations for Medical Image Analysis. arXiv preprint, arXiv:2409.13045. doi:10.48550/arXiv.2409.13045.</w:t>
      </w:r>
    </w:p>
    <w:p>
      <w:pPr>
        <w:spacing w:after="80"/>
        <w:ind w:left="360" w:hanging="360"/>
      </w:pPr>
      <w:r>
        <w:rPr>
          <w:rFonts w:ascii="Times New Roman" w:hAnsi="Times New Roman"/>
          <w:b/>
          <w:i w:val="0"/>
          <w:sz w:val="19"/>
        </w:rPr>
        <w:t xml:space="preserve">[4] </w:t>
      </w:r>
      <w:r>
        <w:rPr>
          <w:rFonts w:ascii="Times New Roman" w:hAnsi="Times New Roman"/>
          <w:b w:val="0"/>
          <w:i w:val="0"/>
          <w:sz w:val="19"/>
        </w:rPr>
        <w:t>Sourget, T., Pizurica, A. et al. (2025). Mask of Truth: Model Sensitivity to Unexpected Regions of Medical Images. Journal of Imaging Informatics in Medicine, 38, pp.112–124. doi:10.1007/s10278-025-01531-5.</w:t>
      </w:r>
    </w:p>
    <w:p>
      <w:pPr>
        <w:spacing w:after="80"/>
        <w:ind w:left="360" w:hanging="360"/>
      </w:pPr>
      <w:r>
        <w:rPr>
          <w:rFonts w:ascii="Times New Roman" w:hAnsi="Times New Roman"/>
          <w:b/>
          <w:i w:val="0"/>
          <w:sz w:val="19"/>
        </w:rPr>
        <w:t xml:space="preserve">[5] </w:t>
      </w:r>
      <w:r>
        <w:rPr>
          <w:rFonts w:ascii="Times New Roman" w:hAnsi="Times New Roman"/>
          <w:b w:val="0"/>
          <w:i w:val="0"/>
          <w:sz w:val="19"/>
        </w:rPr>
        <w:t>Fateh, A. et al. (2026). BRISC: Annotated Dataset for Brain Tumor Segmentation and Classification. Scientific Data, 13, p.412. doi:10.1038/s41597-026-06753-y.</w:t>
      </w:r>
    </w:p>
    <w:p>
      <w:pPr>
        <w:spacing w:after="80"/>
        <w:ind w:left="360" w:hanging="360"/>
      </w:pPr>
      <w:r>
        <w:rPr>
          <w:rFonts w:ascii="Times New Roman" w:hAnsi="Times New Roman"/>
          <w:b/>
          <w:i w:val="0"/>
          <w:sz w:val="19"/>
        </w:rPr>
        <w:t xml:space="preserve">[6] </w:t>
      </w:r>
      <w:r>
        <w:rPr>
          <w:rFonts w:ascii="Times New Roman" w:hAnsi="Times New Roman"/>
          <w:b w:val="0"/>
          <w:i w:val="0"/>
          <w:sz w:val="19"/>
        </w:rPr>
        <w:t>Yagis, E. et al. (2021). Effect of data leakage in brain MRI classification using machine learning. Scientific Reports, 11(1), p.22544. doi:10.1038/s41598-021-01681-w.</w:t>
      </w:r>
    </w:p>
    <w:p>
      <w:pPr>
        <w:spacing w:after="80"/>
        <w:ind w:left="360" w:hanging="360"/>
      </w:pPr>
      <w:r>
        <w:rPr>
          <w:rFonts w:ascii="Times New Roman" w:hAnsi="Times New Roman"/>
          <w:b/>
          <w:i w:val="0"/>
          <w:sz w:val="19"/>
        </w:rPr>
        <w:t xml:space="preserve">[7] </w:t>
      </w:r>
      <w:r>
        <w:rPr>
          <w:rFonts w:ascii="Times New Roman" w:hAnsi="Times New Roman"/>
          <w:b w:val="0"/>
          <w:i w:val="0"/>
          <w:sz w:val="19"/>
        </w:rPr>
        <w:t>He, K., Zhang, X., Ren, S. and Sun, J. (2016). Deep Residual Learning for Image Recognition. IEEE Conference on Computer Vision and Pattern Recognition (CVPR), pp.770–778. doi:10.1109/CVPR.2016.90.</w:t>
      </w:r>
    </w:p>
    <w:p>
      <w:pPr>
        <w:spacing w:after="80"/>
        <w:ind w:left="360" w:hanging="360"/>
      </w:pPr>
      <w:r>
        <w:rPr>
          <w:rFonts w:ascii="Times New Roman" w:hAnsi="Times New Roman"/>
          <w:b/>
          <w:i w:val="0"/>
          <w:sz w:val="19"/>
        </w:rPr>
        <w:t xml:space="preserve">[8] </w:t>
      </w:r>
      <w:r>
        <w:rPr>
          <w:rFonts w:ascii="Times New Roman" w:hAnsi="Times New Roman"/>
          <w:b w:val="0"/>
          <w:i w:val="0"/>
          <w:sz w:val="19"/>
        </w:rPr>
        <w:t>Touvron, H., Cord, M., Douze, M. et al. (2021). Training data-efficient image transformers &amp; distillation through attention. International Conference on Machine Learning (ICML), pp.10347–10357.</w:t>
      </w:r>
    </w:p>
    <w:p>
      <w:pPr>
        <w:spacing w:after="80"/>
        <w:ind w:left="360" w:hanging="360"/>
      </w:pPr>
      <w:r>
        <w:rPr>
          <w:rFonts w:ascii="Times New Roman" w:hAnsi="Times New Roman"/>
          <w:b/>
          <w:i w:val="0"/>
          <w:sz w:val="19"/>
        </w:rPr>
        <w:t xml:space="preserve">[9] </w:t>
      </w:r>
      <w:r>
        <w:rPr>
          <w:rFonts w:ascii="Times New Roman" w:hAnsi="Times New Roman"/>
          <w:b w:val="0"/>
          <w:i w:val="0"/>
          <w:sz w:val="19"/>
        </w:rPr>
        <w:t>Guo, C., Pleiss, G., Sun, Y. and Weinberger, K.Q. (2017). On Calibration of Modern Neural Networks. International Conference on Machine Learning (ICML), pp.1321–1330.</w:t>
      </w:r>
    </w:p>
    <w:p>
      <w:pPr>
        <w:spacing w:after="80"/>
        <w:ind w:left="360" w:hanging="360"/>
      </w:pPr>
      <w:r>
        <w:rPr>
          <w:rFonts w:ascii="Times New Roman" w:hAnsi="Times New Roman"/>
          <w:b/>
          <w:i w:val="0"/>
          <w:sz w:val="19"/>
        </w:rPr>
        <w:t xml:space="preserve">[10] </w:t>
      </w:r>
      <w:r>
        <w:rPr>
          <w:rFonts w:ascii="Times New Roman" w:hAnsi="Times New Roman"/>
          <w:b w:val="0"/>
          <w:i w:val="0"/>
          <w:sz w:val="19"/>
        </w:rPr>
        <w:t>Telea, A. (2004). An image inpainting technique based on the fast marching method. Journal of Graphics Tools, 9(1), pp.23–34. doi:10.1080/10867651.2004.10487596.</w:t>
      </w:r>
    </w:p>
    <w:p>
      <w:pPr>
        <w:spacing w:after="80"/>
        <w:ind w:left="360" w:hanging="360"/>
      </w:pPr>
      <w:r>
        <w:rPr>
          <w:rFonts w:ascii="Times New Roman" w:hAnsi="Times New Roman"/>
          <w:b/>
          <w:i w:val="0"/>
          <w:sz w:val="19"/>
        </w:rPr>
        <w:t xml:space="preserve">[11] </w:t>
      </w:r>
      <w:r>
        <w:rPr>
          <w:rFonts w:ascii="Times New Roman" w:hAnsi="Times New Roman"/>
          <w:b w:val="0"/>
          <w:i w:val="0"/>
          <w:sz w:val="19"/>
        </w:rPr>
        <w:t>Geirhos, R. et al. (2020). Shortcut learning in deep neural networks. Nature Machine Intelligence, 2(11), pp.665–673. doi:10.1038/s42256-020-00257-z.</w:t>
      </w:r>
    </w:p>
    <w:p>
      <w:pPr>
        <w:spacing w:after="80"/>
        <w:ind w:left="360" w:hanging="360"/>
      </w:pPr>
      <w:r>
        <w:rPr>
          <w:rFonts w:ascii="Times New Roman" w:hAnsi="Times New Roman"/>
          <w:b/>
          <w:i w:val="0"/>
          <w:sz w:val="19"/>
        </w:rPr>
        <w:t xml:space="preserve">[12] </w:t>
      </w:r>
      <w:r>
        <w:rPr>
          <w:rFonts w:ascii="Times New Roman" w:hAnsi="Times New Roman"/>
          <w:b w:val="0"/>
          <w:i w:val="0"/>
          <w:sz w:val="19"/>
        </w:rPr>
        <w:t>Goyal, Y. et al. (2019). Counterfactual Visual Explanations. IEEE International Conference on Computer Vision (ICCV), pp.8796–8807. doi:10.1109/ICCV.2019.00882.</w:t>
      </w:r>
    </w:p>
    <w:p>
      <w:pPr>
        <w:spacing w:after="80"/>
        <w:ind w:left="360" w:hanging="360"/>
      </w:pPr>
      <w:r>
        <w:rPr>
          <w:rFonts w:ascii="Times New Roman" w:hAnsi="Times New Roman"/>
          <w:b/>
          <w:i w:val="0"/>
          <w:sz w:val="19"/>
        </w:rPr>
        <w:t xml:space="preserve">[13] </w:t>
      </w:r>
      <w:r>
        <w:rPr>
          <w:rFonts w:ascii="Times New Roman" w:hAnsi="Times New Roman"/>
          <w:b w:val="0"/>
          <w:i w:val="0"/>
          <w:sz w:val="19"/>
        </w:rPr>
        <w:t>Rudin, C. (2019). Stop explaining black box machine learning models for high stakes decisions and use interpretable models instead. Nature Machine Intelligence, 1(5), pp.206–215. doi:10.1038/s42256-019-0048-x.</w:t>
      </w:r>
    </w:p>
    <w:p>
      <w:pPr>
        <w:spacing w:after="80"/>
        <w:ind w:left="360" w:hanging="360"/>
      </w:pPr>
      <w:r>
        <w:rPr>
          <w:rFonts w:ascii="Times New Roman" w:hAnsi="Times New Roman"/>
          <w:b/>
          <w:i w:val="0"/>
          <w:sz w:val="19"/>
        </w:rPr>
        <w:t xml:space="preserve">[14] </w:t>
      </w:r>
      <w:r>
        <w:rPr>
          <w:rFonts w:ascii="Times New Roman" w:hAnsi="Times New Roman"/>
          <w:b w:val="0"/>
          <w:i w:val="0"/>
          <w:sz w:val="19"/>
        </w:rPr>
        <w:t>DeGrave, A.J., Janizek, J.D. and Lee, S.I. (2021). AI for radiographic COVID-19 detection frequently relies on spurious shortcuts. Nature Machine Intelligence, 3(7), pp.610–619. doi:10.1038/s42256-021-00338-7.</w:t>
      </w:r>
    </w:p>
    <w:p>
      <w:pPr>
        <w:spacing w:after="80"/>
        <w:ind w:left="360" w:hanging="360"/>
      </w:pPr>
      <w:r>
        <w:rPr>
          <w:rFonts w:ascii="Times New Roman" w:hAnsi="Times New Roman"/>
          <w:b/>
          <w:i w:val="0"/>
          <w:sz w:val="19"/>
        </w:rPr>
        <w:t xml:space="preserve">[15] </w:t>
      </w:r>
      <w:r>
        <w:rPr>
          <w:rFonts w:ascii="Times New Roman" w:hAnsi="Times New Roman"/>
          <w:b w:val="0"/>
          <w:i w:val="0"/>
          <w:sz w:val="19"/>
        </w:rPr>
        <w:t>Bentaieb, A. and Hamarneh, G. (2016). Topology Preserving Deep Networks for Medical Image Analysis. MICCAI, pp.437–445. doi:10.1007/978-3-319-46723-8_51.</w:t>
      </w:r>
    </w:p>
    <w:p>
      <w:pPr>
        <w:keepNext/>
        <w:spacing w:before="280" w:after="80"/>
      </w:pPr>
      <w:r>
        <w:rPr>
          <w:rFonts w:ascii="Times New Roman" w:hAnsi="Times New Roman"/>
          <w:b/>
          <w:i w:val="0"/>
          <w:color w:val="0F2D59"/>
          <w:sz w:val="28"/>
        </w:rPr>
        <w:t>Appendix A: Figures &amp; Visual Evidence Gallery</w:t>
      </w:r>
    </w:p>
    <w:p>
      <w:pPr>
        <w:keepNext/>
        <w:spacing w:before="240" w:after="80"/>
        <w:jc w:val="center"/>
      </w:pPr>
    </w:p>
    <w:p>
      <w:r>
        <w:drawing>
          <wp:inline xmlns:a="http://schemas.openxmlformats.org/drawingml/2006/main" xmlns:pic="http://schemas.openxmlformats.org/drawingml/2006/picture">
            <wp:extent cx="5486400" cy="2761925"/>
            <wp:docPr id="1" name="Picture 1"/>
            <wp:cNvGraphicFramePr>
              <a:graphicFrameLocks noChangeAspect="1"/>
            </wp:cNvGraphicFramePr>
            <a:graphic>
              <a:graphicData uri="http://schemas.openxmlformats.org/drawingml/2006/picture">
                <pic:pic>
                  <pic:nvPicPr>
                    <pic:cNvPr id="0" name="fig1_study_design.png"/>
                    <pic:cNvPicPr/>
                  </pic:nvPicPr>
                  <pic:blipFill>
                    <a:blip r:embed="rId9"/>
                    <a:stretch>
                      <a:fillRect/>
                    </a:stretch>
                  </pic:blipFill>
                  <pic:spPr>
                    <a:xfrm>
                      <a:off x="0" y="0"/>
                      <a:ext cx="5486400" cy="2761925"/>
                    </a:xfrm>
                    <a:prstGeom prst="rect"/>
                  </pic:spPr>
                </pic:pic>
              </a:graphicData>
            </a:graphic>
          </wp:inline>
        </w:drawing>
      </w:r>
    </w:p>
    <w:p>
      <w:pPr>
        <w:spacing w:after="280"/>
        <w:jc w:val="both"/>
      </w:pPr>
      <w:r>
        <w:rPr>
          <w:rFonts w:ascii="Times New Roman" w:hAnsi="Times New Roman"/>
          <w:b w:val="0"/>
          <w:i w:val="0"/>
          <w:sz w:val="18"/>
        </w:rPr>
        <w:t>Figure 1: Study Design &amp; Sham-Controlled Counterfactual Intervention Pipeline. Flowchart depicting data ingestion, duplicate leakage audits, patient-isolated cross-validation, 5-region intervention engine, dual perturbation engines, and biostatistical evaluation across ResNet-50 and DeiT-Small.</w:t>
      </w:r>
    </w:p>
    <w:p>
      <w:pPr>
        <w:keepNext/>
        <w:spacing w:before="240" w:after="80"/>
        <w:jc w:val="center"/>
      </w:pPr>
    </w:p>
    <w:p>
      <w:r>
        <w:drawing>
          <wp:inline xmlns:a="http://schemas.openxmlformats.org/drawingml/2006/main" xmlns:pic="http://schemas.openxmlformats.org/drawingml/2006/picture">
            <wp:extent cx="5486400" cy="1956262"/>
            <wp:docPr id="2" name="Picture 2"/>
            <wp:cNvGraphicFramePr>
              <a:graphicFrameLocks noChangeAspect="1"/>
            </wp:cNvGraphicFramePr>
            <a:graphic>
              <a:graphicData uri="http://schemas.openxmlformats.org/drawingml/2006/picture">
                <pic:pic>
                  <pic:nvPicPr>
                    <pic:cNvPr id="0" name="fig2_preprocessing_alignment.png"/>
                    <pic:cNvPicPr/>
                  </pic:nvPicPr>
                  <pic:blipFill>
                    <a:blip r:embed="rId10"/>
                    <a:stretch>
                      <a:fillRect/>
                    </a:stretch>
                  </pic:blipFill>
                  <pic:spPr>
                    <a:xfrm>
                      <a:off x="0" y="0"/>
                      <a:ext cx="5486400" cy="1956262"/>
                    </a:xfrm>
                    <a:prstGeom prst="rect"/>
                  </pic:spPr>
                </pic:pic>
              </a:graphicData>
            </a:graphic>
          </wp:inline>
        </w:drawing>
      </w:r>
    </w:p>
    <w:p>
      <w:pPr>
        <w:spacing w:after="280"/>
        <w:jc w:val="both"/>
      </w:pPr>
      <w:r>
        <w:rPr>
          <w:rFonts w:ascii="Times New Roman" w:hAnsi="Times New Roman"/>
          <w:b w:val="0"/>
          <w:i w:val="0"/>
          <w:sz w:val="18"/>
        </w:rPr>
        <w:t>Figure 2: Preprocessing Pipeline &amp; Mask Geometric Alignment Verification. Multi-panel diagnostic display illustrating raw slice, percentile intensity scaling [P1, P99], aspect-ratio-preserving letterbox padding (224 x 224), and binary mask boundary alignment.</w:t>
      </w:r>
    </w:p>
    <w:p>
      <w:pPr>
        <w:keepNext/>
        <w:spacing w:before="240" w:after="80"/>
        <w:jc w:val="center"/>
      </w:pPr>
    </w:p>
    <w:p>
      <w:r>
        <w:drawing>
          <wp:inline xmlns:a="http://schemas.openxmlformats.org/drawingml/2006/main" xmlns:pic="http://schemas.openxmlformats.org/drawingml/2006/picture">
            <wp:extent cx="5486400" cy="2215371"/>
            <wp:docPr id="3" name="Picture 3"/>
            <wp:cNvGraphicFramePr>
              <a:graphicFrameLocks noChangeAspect="1"/>
            </wp:cNvGraphicFramePr>
            <a:graphic>
              <a:graphicData uri="http://schemas.openxmlformats.org/drawingml/2006/picture">
                <pic:pic>
                  <pic:nvPicPr>
                    <pic:cNvPr id="0" name="fig3_calibration_reliability.png"/>
                    <pic:cNvPicPr/>
                  </pic:nvPicPr>
                  <pic:blipFill>
                    <a:blip r:embed="rId11"/>
                    <a:stretch>
                      <a:fillRect/>
                    </a:stretch>
                  </pic:blipFill>
                  <pic:spPr>
                    <a:xfrm>
                      <a:off x="0" y="0"/>
                      <a:ext cx="5486400" cy="2215371"/>
                    </a:xfrm>
                    <a:prstGeom prst="rect"/>
                  </pic:spPr>
                </pic:pic>
              </a:graphicData>
            </a:graphic>
          </wp:inline>
        </w:drawing>
      </w:r>
    </w:p>
    <w:p>
      <w:pPr>
        <w:spacing w:after="280"/>
        <w:jc w:val="both"/>
      </w:pPr>
      <w:r>
        <w:rPr>
          <w:rFonts w:ascii="Times New Roman" w:hAnsi="Times New Roman"/>
          <w:b w:val="0"/>
          <w:i w:val="0"/>
          <w:sz w:val="18"/>
        </w:rPr>
        <w:t>Figure 3: Reliability Diagrams &amp; Calibration Curves. Empirical calibration curves and Expected Calibration Error (ECE) comparing ResNet-50 and DeiT-Small across Cheng patient out-of-fold validation and BRISC clean test sets.</w:t>
      </w:r>
    </w:p>
    <w:p>
      <w:pPr>
        <w:keepNext/>
        <w:spacing w:before="240" w:after="80"/>
        <w:jc w:val="center"/>
      </w:pPr>
    </w:p>
    <w:p>
      <w:r>
        <w:drawing>
          <wp:inline xmlns:a="http://schemas.openxmlformats.org/drawingml/2006/main" xmlns:pic="http://schemas.openxmlformats.org/drawingml/2006/picture">
            <wp:extent cx="5486400" cy="3020602"/>
            <wp:docPr id="4" name="Picture 4"/>
            <wp:cNvGraphicFramePr>
              <a:graphicFrameLocks noChangeAspect="1"/>
            </wp:cNvGraphicFramePr>
            <a:graphic>
              <a:graphicData uri="http://schemas.openxmlformats.org/drawingml/2006/picture">
                <pic:pic>
                  <pic:nvPicPr>
                    <pic:cNvPr id="0" name="fig4_regional_evidence_effects.png"/>
                    <pic:cNvPicPr/>
                  </pic:nvPicPr>
                  <pic:blipFill>
                    <a:blip r:embed="rId12"/>
                    <a:stretch>
                      <a:fillRect/>
                    </a:stretch>
                  </pic:blipFill>
                  <pic:spPr>
                    <a:xfrm>
                      <a:off x="0" y="0"/>
                      <a:ext cx="5486400" cy="3020602"/>
                    </a:xfrm>
                    <a:prstGeom prst="rect"/>
                  </pic:spPr>
                </pic:pic>
              </a:graphicData>
            </a:graphic>
          </wp:inline>
        </w:drawing>
      </w:r>
    </w:p>
    <w:p>
      <w:pPr>
        <w:spacing w:after="280"/>
        <w:jc w:val="both"/>
      </w:pPr>
      <w:r>
        <w:rPr>
          <w:rFonts w:ascii="Times New Roman" w:hAnsi="Times New Roman"/>
          <w:b w:val="0"/>
          <w:i w:val="0"/>
          <w:sz w:val="18"/>
        </w:rPr>
        <w:t>Figure 4: Regional Evidence Sensitivity Across Architectures (Method A: Inpainting). Bar chart comparing sham-corrected sensitivity (tau_r) across Tumour Core, Immediate Margin (4px), Outer Margin (12px), and Remote Context with paired Wilcoxon significance indicators.</w:t>
      </w:r>
    </w:p>
    <w:p>
      <w:pPr>
        <w:keepNext/>
        <w:spacing w:before="240" w:after="80"/>
        <w:jc w:val="center"/>
      </w:pPr>
    </w:p>
    <w:p>
      <w:r>
        <w:drawing>
          <wp:inline xmlns:a="http://schemas.openxmlformats.org/drawingml/2006/main" xmlns:pic="http://schemas.openxmlformats.org/drawingml/2006/picture">
            <wp:extent cx="5486400" cy="3020602"/>
            <wp:docPr id="5" name="Picture 5"/>
            <wp:cNvGraphicFramePr>
              <a:graphicFrameLocks noChangeAspect="1"/>
            </wp:cNvGraphicFramePr>
            <a:graphic>
              <a:graphicData uri="http://schemas.openxmlformats.org/drawingml/2006/picture">
                <pic:pic>
                  <pic:nvPicPr>
                    <pic:cNvPr id="0" name="fig5_architecture_comparison.png"/>
                    <pic:cNvPicPr/>
                  </pic:nvPicPr>
                  <pic:blipFill>
                    <a:blip r:embed="rId13"/>
                    <a:stretch>
                      <a:fillRect/>
                    </a:stretch>
                  </pic:blipFill>
                  <pic:spPr>
                    <a:xfrm>
                      <a:off x="0" y="0"/>
                      <a:ext cx="5486400" cy="3020602"/>
                    </a:xfrm>
                    <a:prstGeom prst="rect"/>
                  </pic:spPr>
                </pic:pic>
              </a:graphicData>
            </a:graphic>
          </wp:inline>
        </w:drawing>
      </w:r>
    </w:p>
    <w:p>
      <w:pPr>
        <w:spacing w:after="280"/>
        <w:jc w:val="both"/>
      </w:pPr>
      <w:r>
        <w:rPr>
          <w:rFonts w:ascii="Times New Roman" w:hAnsi="Times New Roman"/>
          <w:b w:val="0"/>
          <w:i w:val="0"/>
          <w:sz w:val="18"/>
        </w:rPr>
        <w:t>Figure 5: Architectural Inductive Bias: ViT vs CNN Regional Sensitivity Profile (Method A). Difference plot (tau_ViT - tau_CNN) highlighting DeiT-Small's enhanced reliance on intra-lesion core and transitional margin evidence.</w:t>
      </w:r>
    </w:p>
    <w:p>
      <w:pPr>
        <w:keepNext/>
        <w:spacing w:before="240" w:after="80"/>
        <w:jc w:val="center"/>
      </w:pPr>
    </w:p>
    <w:p>
      <w:r>
        <w:drawing>
          <wp:inline xmlns:a="http://schemas.openxmlformats.org/drawingml/2006/main" xmlns:pic="http://schemas.openxmlformats.org/drawingml/2006/picture">
            <wp:extent cx="5486400" cy="2607798"/>
            <wp:docPr id="6" name="Picture 6"/>
            <wp:cNvGraphicFramePr>
              <a:graphicFrameLocks noChangeAspect="1"/>
            </wp:cNvGraphicFramePr>
            <a:graphic>
              <a:graphicData uri="http://schemas.openxmlformats.org/drawingml/2006/picture">
                <pic:pic>
                  <pic:nvPicPr>
                    <pic:cNvPr id="0" name="fig6_method_robustness.png"/>
                    <pic:cNvPicPr/>
                  </pic:nvPicPr>
                  <pic:blipFill>
                    <a:blip r:embed="rId14"/>
                    <a:stretch>
                      <a:fillRect/>
                    </a:stretch>
                  </pic:blipFill>
                  <pic:spPr>
                    <a:xfrm>
                      <a:off x="0" y="0"/>
                      <a:ext cx="5486400" cy="2607798"/>
                    </a:xfrm>
                    <a:prstGeom prst="rect"/>
                  </pic:spPr>
                </pic:pic>
              </a:graphicData>
            </a:graphic>
          </wp:inline>
        </w:drawing>
      </w:r>
    </w:p>
    <w:p>
      <w:pPr>
        <w:spacing w:after="280"/>
        <w:jc w:val="both"/>
      </w:pPr>
      <w:r>
        <w:rPr>
          <w:rFonts w:ascii="Times New Roman" w:hAnsi="Times New Roman"/>
          <w:b w:val="0"/>
          <w:i w:val="0"/>
          <w:sz w:val="18"/>
        </w:rPr>
        <w:t>Figure 6: Perturbation Method Concordance: Telea Inpaint vs Matched Texture Fill. Paired sensitivity comparison between Telea boundary PDE inpainting and locally matched Gaussian texture filling across ResNet-50 and DeiT-Small.</w:t>
      </w:r>
    </w:p>
    <w:p>
      <w:pPr>
        <w:keepNext/>
        <w:spacing w:before="240" w:after="80"/>
        <w:jc w:val="center"/>
      </w:pPr>
    </w:p>
    <w:p>
      <w:r>
        <w:drawing>
          <wp:inline xmlns:a="http://schemas.openxmlformats.org/drawingml/2006/main" xmlns:pic="http://schemas.openxmlformats.org/drawingml/2006/picture">
            <wp:extent cx="5486400" cy="2873829"/>
            <wp:docPr id="7" name="Picture 7"/>
            <wp:cNvGraphicFramePr>
              <a:graphicFrameLocks noChangeAspect="1"/>
            </wp:cNvGraphicFramePr>
            <a:graphic>
              <a:graphicData uri="http://schemas.openxmlformats.org/drawingml/2006/picture">
                <pic:pic>
                  <pic:nvPicPr>
                    <pic:cNvPr id="0" name="fig7_plane_stratification.png"/>
                    <pic:cNvPicPr/>
                  </pic:nvPicPr>
                  <pic:blipFill>
                    <a:blip r:embed="rId15"/>
                    <a:stretch>
                      <a:fillRect/>
                    </a:stretch>
                  </pic:blipFill>
                  <pic:spPr>
                    <a:xfrm>
                      <a:off x="0" y="0"/>
                      <a:ext cx="5486400" cy="2873829"/>
                    </a:xfrm>
                    <a:prstGeom prst="rect"/>
                  </pic:spPr>
                </pic:pic>
              </a:graphicData>
            </a:graphic>
          </wp:inline>
        </w:drawing>
      </w:r>
    </w:p>
    <w:p>
      <w:pPr>
        <w:spacing w:after="280"/>
        <w:jc w:val="both"/>
      </w:pPr>
      <w:r>
        <w:rPr>
          <w:rFonts w:ascii="Times New Roman" w:hAnsi="Times New Roman"/>
          <w:b w:val="0"/>
          <w:i w:val="0"/>
          <w:sz w:val="18"/>
        </w:rPr>
        <w:t>Figure 7: Imaging Plane Stratification of Regional Evidence (BRISC). Regional evidence sensitivity stratified across Axial (N=15), Coronal (N=15), and Sagittal (N=15) acquisition planes.</w:t>
      </w:r>
    </w:p>
    <w:p>
      <w:pPr>
        <w:keepNext/>
        <w:spacing w:before="240" w:after="80"/>
        <w:jc w:val="center"/>
      </w:pPr>
    </w:p>
    <w:p>
      <w:r>
        <w:drawing>
          <wp:inline xmlns:a="http://schemas.openxmlformats.org/drawingml/2006/main" xmlns:pic="http://schemas.openxmlformats.org/drawingml/2006/picture">
            <wp:extent cx="5486400" cy="3067594"/>
            <wp:docPr id="8" name="Picture 8"/>
            <wp:cNvGraphicFramePr>
              <a:graphicFrameLocks noChangeAspect="1"/>
            </wp:cNvGraphicFramePr>
            <a:graphic>
              <a:graphicData uri="http://schemas.openxmlformats.org/drawingml/2006/picture">
                <pic:pic>
                  <pic:nvPicPr>
                    <pic:cNvPr id="0" name="fig8_class_heterogeneity.png"/>
                    <pic:cNvPicPr/>
                  </pic:nvPicPr>
                  <pic:blipFill>
                    <a:blip r:embed="rId16"/>
                    <a:stretch>
                      <a:fillRect/>
                    </a:stretch>
                  </pic:blipFill>
                  <pic:spPr>
                    <a:xfrm>
                      <a:off x="0" y="0"/>
                      <a:ext cx="5486400" cy="3067594"/>
                    </a:xfrm>
                    <a:prstGeom prst="rect"/>
                  </pic:spPr>
                </pic:pic>
              </a:graphicData>
            </a:graphic>
          </wp:inline>
        </w:drawing>
      </w:r>
    </w:p>
    <w:p>
      <w:pPr>
        <w:spacing w:after="280"/>
        <w:jc w:val="both"/>
      </w:pPr>
      <w:r>
        <w:rPr>
          <w:rFonts w:ascii="Times New Roman" w:hAnsi="Times New Roman"/>
          <w:b w:val="0"/>
          <w:i w:val="0"/>
          <w:sz w:val="18"/>
        </w:rPr>
        <w:t>Figure 8: Class Heterogeneity in Peritumoral vs Core Evidence. Comparative sensitivity and margin-to-core ratios across Meningiomas, Gliomas, and Pituitary adenomas.</w:t>
      </w:r>
    </w:p>
    <w:p>
      <w:pPr>
        <w:keepNext/>
        <w:spacing w:before="240" w:after="80"/>
        <w:jc w:val="center"/>
      </w:pPr>
    </w:p>
    <w:p>
      <w:r>
        <w:drawing>
          <wp:inline xmlns:a="http://schemas.openxmlformats.org/drawingml/2006/main" xmlns:pic="http://schemas.openxmlformats.org/drawingml/2006/picture">
            <wp:extent cx="5486400" cy="2379044"/>
            <wp:docPr id="9" name="Picture 9"/>
            <wp:cNvGraphicFramePr>
              <a:graphicFrameLocks noChangeAspect="1"/>
            </wp:cNvGraphicFramePr>
            <a:graphic>
              <a:graphicData uri="http://schemas.openxmlformats.org/drawingml/2006/picture">
                <pic:pic>
                  <pic:nvPicPr>
                    <pic:cNvPr id="0" name="fig9_brisc_leakage_artifact.png"/>
                    <pic:cNvPicPr/>
                  </pic:nvPicPr>
                  <pic:blipFill>
                    <a:blip r:embed="rId17"/>
                    <a:stretch>
                      <a:fillRect/>
                    </a:stretch>
                  </pic:blipFill>
                  <pic:spPr>
                    <a:xfrm>
                      <a:off x="0" y="0"/>
                      <a:ext cx="5486400" cy="2379044"/>
                    </a:xfrm>
                    <a:prstGeom prst="rect"/>
                  </pic:spPr>
                </pic:pic>
              </a:graphicData>
            </a:graphic>
          </wp:inline>
        </w:drawing>
      </w:r>
    </w:p>
    <w:p>
      <w:pPr>
        <w:spacing w:after="280"/>
        <w:jc w:val="both"/>
      </w:pPr>
      <w:r>
        <w:rPr>
          <w:rFonts w:ascii="Times New Roman" w:hAnsi="Times New Roman"/>
          <w:b w:val="0"/>
          <w:i w:val="0"/>
          <w:sz w:val="18"/>
        </w:rPr>
        <w:t>Figure 9: Impact of Train-Test Duplicate Leakage on Benchmark Evaluation (BRISC). Dual-benchmark comparison between the Contaminated Official Test (N=1,000, 10.1% leakage) and the Clean De-duplicated Test (N=899) across DeiT-Small and ResNet-50.</w:t>
      </w:r>
    </w:p>
    <w:p>
      <w:pPr>
        <w:keepNext/>
        <w:spacing w:before="240" w:after="80"/>
        <w:jc w:val="center"/>
      </w:pPr>
    </w:p>
    <w:p>
      <w:r>
        <w:drawing>
          <wp:inline xmlns:a="http://schemas.openxmlformats.org/drawingml/2006/main" xmlns:pic="http://schemas.openxmlformats.org/drawingml/2006/picture">
            <wp:extent cx="5486400" cy="2802762"/>
            <wp:docPr id="10" name="Picture 10"/>
            <wp:cNvGraphicFramePr>
              <a:graphicFrameLocks noChangeAspect="1"/>
            </wp:cNvGraphicFramePr>
            <a:graphic>
              <a:graphicData uri="http://schemas.openxmlformats.org/drawingml/2006/picture">
                <pic:pic>
                  <pic:nvPicPr>
                    <pic:cNvPr id="0" name="fig10_intervention_gallery.png"/>
                    <pic:cNvPicPr/>
                  </pic:nvPicPr>
                  <pic:blipFill>
                    <a:blip r:embed="rId18"/>
                    <a:stretch>
                      <a:fillRect/>
                    </a:stretch>
                  </pic:blipFill>
                  <pic:spPr>
                    <a:xfrm>
                      <a:off x="0" y="0"/>
                      <a:ext cx="5486400" cy="2802762"/>
                    </a:xfrm>
                    <a:prstGeom prst="rect"/>
                  </pic:spPr>
                </pic:pic>
              </a:graphicData>
            </a:graphic>
          </wp:inline>
        </w:drawing>
      </w:r>
    </w:p>
    <w:p>
      <w:pPr>
        <w:spacing w:after="280"/>
        <w:jc w:val="both"/>
      </w:pPr>
      <w:r>
        <w:rPr>
          <w:rFonts w:ascii="Times New Roman" w:hAnsi="Times New Roman"/>
          <w:b w:val="0"/>
          <w:i w:val="0"/>
          <w:sz w:val="18"/>
        </w:rPr>
        <w:t>Figure 10: Counterfactual Intervention &amp; Residual Montage Gallery. High-resolution 8-panel diagnostic gallery displaying original slice, 5-color segmentation topology, Method A inpainted core/sham, Method B texture-filled core/sham, and residual difference maps.</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