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 Brain MRI paper, corrected draft v2</w:t>
      </w:r>
    </w:p>
    <w:p>
      <w:pPr>
        <w:spacing w:after="100"/>
      </w:pPr>
      <w:r>
        <w:rPr>
          <w:sz w:val="21"/>
          <w:szCs w:val="21"/>
        </w:rPr>
        <w:t xml:space="preserve">Paper: Disentangling Synthetic Edge Artifacts and Spatial-Context Sensitivity in Brain MRI Tumour Classification (Chhotu and R. Gupta). Checked against the earlier rejection reports and the 12-point common checklist (C1-C12).</w:t>
      </w:r>
    </w:p>
    <w:p>
      <w:pPr>
        <w:pStyle w:val="Heading1"/>
        <w:spacing w:after="120" w:before="280"/>
      </w:pPr>
      <w:r>
        <w:t xml:space="preserve">Verdict</w:t>
      </w:r>
    </w:p>
    <w:p>
      <w:pPr>
        <w:spacing w:after="100"/>
      </w:pPr>
      <w:r>
        <w:rPr>
          <w:b/>
          <w:bCs/>
          <w:sz w:val="21"/>
          <w:szCs w:val="21"/>
        </w:rPr>
        <w:t xml:space="preserve">Not ready to submit yet, but close.</w:t>
      </w:r>
      <w:r>
        <w:rPr>
          <w:sz w:val="21"/>
          <w:szCs w:val="21"/>
        </w:rPr>
        <w:t xml:space="preserve"> This is a different and much stronger paper than the earlier ones: a real dataset, real checkpoints, leakage-controlled splits, honest statistics and carefully hedged conclusions. Of the 12 common checks, 5 are addressed, 5 are partly addressed, 1 is not addressed (unfinished manuscript) and 1 does not apply. The numbers are internally consistent. What blocks submission is (1) one unresolved analysis, the C2 diagnostics, and (2) internal workflow text and placeholders still inside the manuscript, the same kind of defect that caused the previous rejection.</w:t>
      </w:r>
    </w:p>
    <w:p>
      <w:pPr>
        <w:pStyle w:val="Heading1"/>
        <w:spacing w:after="120" w:before="280"/>
      </w:pPr>
      <w:r>
        <w:t xml:space="preserve">A. Earlier issues (common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300"/>
        <w:gridCol w:w="3300"/>
        <w:gridCol w:w="2700"/>
      </w:tblGrid>
      <w:tr>
        <w:trPr>
          <w:tblHeader/>
        </w:trPr>
        <w:tc>
          <w:tcPr>
            <w:tcW w:type="dxa" w:w="6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1700"/>
            <w:shd w:fill="1F3864" w:val="clear"/>
            <w:tcMar>
              <w:top w:type="dxa" w:w="60"/>
              <w:left w:type="dxa" w:w="80"/>
              <w:bottom w:type="dxa" w:w="60"/>
              <w:right w:type="dxa" w:w="80"/>
            </w:tcMar>
            <w:vAlign w:val="top"/>
          </w:tcPr>
          <w:p>
            <w:pPr>
              <w:spacing w:after="20"/>
            </w:pPr>
            <w:r>
              <w:rPr>
                <w:b/>
                <w:bCs/>
                <w:color w:val="FFFFFF"/>
                <w:sz w:val="18"/>
                <w:szCs w:val="18"/>
              </w:rPr>
              <w:t xml:space="preserve">Issue</w:t>
            </w:r>
          </w:p>
        </w:tc>
        <w:tc>
          <w:tcPr>
            <w:tcW w:type="dxa" w:w="1300"/>
            <w:shd w:fill="1F3864" w:val="clear"/>
            <w:tcMar>
              <w:top w:type="dxa" w:w="60"/>
              <w:left w:type="dxa" w:w="80"/>
              <w:bottom w:type="dxa" w:w="60"/>
              <w:right w:type="dxa" w:w="80"/>
            </w:tcMar>
            <w:vAlign w:val="top"/>
          </w:tcPr>
          <w:p>
            <w:pPr>
              <w:spacing w:after="20"/>
            </w:pPr>
            <w:r>
              <w:rPr>
                <w:b/>
                <w:bCs/>
                <w:color w:val="FFFFFF"/>
                <w:sz w:val="18"/>
                <w:szCs w:val="18"/>
              </w:rPr>
              <w:t xml:space="preserve">Status</w:t>
            </w:r>
          </w:p>
        </w:tc>
        <w:tc>
          <w:tcPr>
            <w:tcW w:type="dxa" w:w="3300"/>
            <w:shd w:fill="1F3864" w:val="clear"/>
            <w:tcMar>
              <w:top w:type="dxa" w:w="60"/>
              <w:left w:type="dxa" w:w="80"/>
              <w:bottom w:type="dxa" w:w="60"/>
              <w:right w:type="dxa" w:w="80"/>
            </w:tcMar>
            <w:vAlign w:val="top"/>
          </w:tcPr>
          <w:p>
            <w:pPr>
              <w:spacing w:after="20"/>
            </w:pPr>
            <w:r>
              <w:rPr>
                <w:b/>
                <w:bCs/>
                <w:color w:val="FFFFFF"/>
                <w:sz w:val="18"/>
                <w:szCs w:val="18"/>
              </w:rPr>
              <w:t xml:space="preserve">Evidence in v2</w:t>
            </w:r>
          </w:p>
        </w:tc>
        <w:tc>
          <w:tcPr>
            <w:tcW w:type="dxa" w:w="2700"/>
            <w:shd w:fill="1F3864" w:val="clear"/>
            <w:tcMar>
              <w:top w:type="dxa" w:w="60"/>
              <w:left w:type="dxa" w:w="80"/>
              <w:bottom w:type="dxa" w:w="60"/>
              <w:right w:type="dxa" w:w="80"/>
            </w:tcMar>
            <w:vAlign w:val="top"/>
          </w:tcPr>
          <w:p>
            <w:pPr>
              <w:spacing w:after="20"/>
            </w:pPr>
            <w:r>
              <w:rPr>
                <w:b/>
                <w:bCs/>
                <w:color w:val="FFFFFF"/>
                <w:sz w:val="18"/>
                <w:szCs w:val="18"/>
              </w:rPr>
              <w:t xml:space="preserve">Still to do</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w:t>
            </w:r>
          </w:p>
        </w:tc>
        <w:tc>
          <w:tcPr>
            <w:tcW w:type="dxa" w:w="1700"/>
            <w:tcMar>
              <w:top w:type="dxa" w:w="60"/>
              <w:left w:type="dxa" w:w="80"/>
              <w:bottom w:type="dxa" w:w="60"/>
              <w:right w:type="dxa" w:w="80"/>
            </w:tcMar>
            <w:vAlign w:val="top"/>
          </w:tcPr>
          <w:p>
            <w:pPr>
              <w:spacing w:after="20"/>
            </w:pPr>
            <w:r>
              <w:rPr>
                <w:sz w:val="18"/>
                <w:szCs w:val="18"/>
              </w:rPr>
              <w:t xml:space="preserve">Novelty overclaim</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3300"/>
            <w:tcMar>
              <w:top w:type="dxa" w:w="60"/>
              <w:left w:type="dxa" w:w="80"/>
              <w:bottom w:type="dxa" w:w="60"/>
              <w:right w:type="dxa" w:w="80"/>
            </w:tcMar>
            <w:vAlign w:val="top"/>
          </w:tcPr>
          <w:p>
            <w:pPr>
              <w:spacing w:after="20"/>
            </w:pPr>
            <w:r>
              <w:rPr>
                <w:sz w:val="18"/>
                <w:szCs w:val="18"/>
              </w:rPr>
              <w:t xml:space="preserve">No new-method claim; the contribution is a controlled experiment with candid limits; the unsupported attribution to [12] was removed.</w:t>
            </w:r>
          </w:p>
        </w:tc>
        <w:tc>
          <w:tcPr>
            <w:tcW w:type="dxa" w:w="2700"/>
            <w:tcMar>
              <w:top w:type="dxa" w:w="60"/>
              <w:left w:type="dxa" w:w="80"/>
              <w:bottom w:type="dxa" w:w="60"/>
              <w:right w:type="dxa" w:w="80"/>
            </w:tcMar>
            <w:vAlign w:val="top"/>
          </w:tcPr>
          <w:p>
            <w:pPr>
              <w:spacing w:after="20"/>
            </w:pPr>
            <w:r>
              <w:rPr>
                <w:sz w:val="18"/>
                <w:szCs w:val="18"/>
              </w:rPr>
              <w:t xml:space="preserve">Title says 'Disentangling' but the abstract says the effects are not apportioned (N9). Intro accuracy claim not supported by its citations (N11).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C2</w:t>
            </w:r>
          </w:p>
        </w:tc>
        <w:tc>
          <w:tcPr>
            <w:tcW w:type="dxa" w:w="1700"/>
            <w:tcMar>
              <w:top w:type="dxa" w:w="60"/>
              <w:left w:type="dxa" w:w="80"/>
              <w:bottom w:type="dxa" w:w="60"/>
              <w:right w:type="dxa" w:w="80"/>
            </w:tcMar>
            <w:vAlign w:val="top"/>
          </w:tcPr>
          <w:p>
            <w:pPr>
              <w:spacing w:after="20"/>
            </w:pPr>
            <w:r>
              <w:rPr>
                <w:sz w:val="18"/>
                <w:szCs w:val="18"/>
              </w:rPr>
              <w:t xml:space="preserve">Data leakage</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3300"/>
            <w:tcMar>
              <w:top w:type="dxa" w:w="60"/>
              <w:left w:type="dxa" w:w="80"/>
              <w:bottom w:type="dxa" w:w="60"/>
              <w:right w:type="dxa" w:w="80"/>
            </w:tcMar>
            <w:vAlign w:val="top"/>
          </w:tcPr>
          <w:p>
            <w:pPr>
              <w:spacing w:after="20"/>
            </w:pPr>
            <w:r>
              <w:rPr>
                <w:sz w:val="18"/>
                <w:szCs w:val="18"/>
              </w:rPr>
              <w:t xml:space="preserve">Patient-disjoint folds (S0) plus SSIM-merged groups (S1, S2); validation fold group-disjoint; assertions; frozen checkpoints evaluated only on their own held-out fold.</w:t>
            </w:r>
          </w:p>
        </w:tc>
        <w:tc>
          <w:tcPr>
            <w:tcW w:type="dxa" w:w="2700"/>
            <w:tcMar>
              <w:top w:type="dxa" w:w="60"/>
              <w:left w:type="dxa" w:w="80"/>
              <w:bottom w:type="dxa" w:w="60"/>
              <w:right w:type="dxa" w:w="80"/>
            </w:tcMar>
            <w:vAlign w:val="top"/>
          </w:tcPr>
          <w:p>
            <w:pPr>
              <w:spacing w:after="20"/>
            </w:pPr>
            <w:r>
              <w:rPr>
                <w:sz w:val="18"/>
                <w:szCs w:val="18"/>
              </w:rPr>
              <w:t xml:space="preserve">S0 manifest is not in the repository (App. B item 2): add it.</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C3</w:t>
            </w:r>
          </w:p>
        </w:tc>
        <w:tc>
          <w:tcPr>
            <w:tcW w:type="dxa" w:w="1700"/>
            <w:tcMar>
              <w:top w:type="dxa" w:w="60"/>
              <w:left w:type="dxa" w:w="80"/>
              <w:bottom w:type="dxa" w:w="60"/>
              <w:right w:type="dxa" w:w="80"/>
            </w:tcMar>
            <w:vAlign w:val="top"/>
          </w:tcPr>
          <w:p>
            <w:pPr>
              <w:spacing w:after="20"/>
            </w:pPr>
            <w:r>
              <w:rPr>
                <w:sz w:val="18"/>
                <w:szCs w:val="18"/>
              </w:rPr>
              <w:t xml:space="preserve">Evaluation rigour</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3300"/>
            <w:tcMar>
              <w:top w:type="dxa" w:w="60"/>
              <w:left w:type="dxa" w:w="80"/>
              <w:bottom w:type="dxa" w:w="60"/>
              <w:right w:type="dxa" w:w="80"/>
            </w:tcMar>
            <w:vAlign w:val="top"/>
          </w:tcPr>
          <w:p>
            <w:pPr>
              <w:spacing w:after="20"/>
            </w:pPr>
            <w:r>
              <w:rPr>
                <w:sz w:val="18"/>
                <w:szCs w:val="18"/>
              </w:rPr>
              <w:t xml:space="preserve">15 checkpoints, 55,152 out-of-fold predictions, paired cluster bootstrap (B = 25,000), Holm in 3 declared families, McNemar as supplement, fold-level table.</w:t>
            </w:r>
          </w:p>
        </w:tc>
        <w:tc>
          <w:tcPr>
            <w:tcW w:type="dxa" w:w="2700"/>
            <w:tcMar>
              <w:top w:type="dxa" w:w="60"/>
              <w:left w:type="dxa" w:w="80"/>
              <w:bottom w:type="dxa" w:w="60"/>
              <w:right w:type="dxa" w:w="80"/>
            </w:tcMar>
            <w:vAlign w:val="top"/>
          </w:tcPr>
          <w:p>
            <w:pPr>
              <w:spacing w:after="20"/>
            </w:pPr>
            <w:r>
              <w:rPr>
                <w:sz w:val="18"/>
                <w:szCs w:val="18"/>
              </w:rPr>
              <w:t xml:space="preserve">Single seed per fold (disclosed).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C4</w:t>
            </w:r>
          </w:p>
        </w:tc>
        <w:tc>
          <w:tcPr>
            <w:tcW w:type="dxa" w:w="1700"/>
            <w:tcMar>
              <w:top w:type="dxa" w:w="60"/>
              <w:left w:type="dxa" w:w="80"/>
              <w:bottom w:type="dxa" w:w="60"/>
              <w:right w:type="dxa" w:w="80"/>
            </w:tcMar>
            <w:vAlign w:val="top"/>
          </w:tcPr>
          <w:p>
            <w:pPr>
              <w:spacing w:after="20"/>
            </w:pPr>
            <w:r>
              <w:rPr>
                <w:sz w:val="18"/>
                <w:szCs w:val="18"/>
              </w:rPr>
              <w:t xml:space="preserve">Results believable</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3300"/>
            <w:tcMar>
              <w:top w:type="dxa" w:w="60"/>
              <w:left w:type="dxa" w:w="80"/>
              <w:bottom w:type="dxa" w:w="60"/>
              <w:right w:type="dxa" w:w="80"/>
            </w:tcMar>
            <w:vAlign w:val="top"/>
          </w:tcPr>
          <w:p>
            <w:pPr>
              <w:spacing w:after="20"/>
            </w:pPr>
            <w:r>
              <w:rPr>
                <w:sz w:val="18"/>
                <w:szCs w:val="18"/>
              </w:rPr>
              <w:t xml:space="preserve">I recomputed all 18 Macro-F1 and balanced-accuracy values in Table 6 from the confusion matrices in Table A2: exact match. Tables 5, 7 (deltas, Holm values) and 8, and Figs 5, 6, 10, are consistent.</w:t>
            </w:r>
          </w:p>
        </w:tc>
        <w:tc>
          <w:tcPr>
            <w:tcW w:type="dxa" w:w="2700"/>
            <w:tcMar>
              <w:top w:type="dxa" w:w="60"/>
              <w:left w:type="dxa" w:w="80"/>
              <w:bottom w:type="dxa" w:w="60"/>
              <w:right w:type="dxa" w:w="80"/>
            </w:tcMar>
            <w:vAlign w:val="top"/>
          </w:tcPr>
          <w:p>
            <w:pPr>
              <w:spacing w:after="20"/>
            </w:pPr>
            <w:r>
              <w:rPr>
                <w:sz w:val="18"/>
                <w:szCs w:val="18"/>
              </w:rPr>
              <w:t xml:space="preserve">None. (Checked for internal consistency only, not against raw outputs.)</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C5</w:t>
            </w:r>
          </w:p>
        </w:tc>
        <w:tc>
          <w:tcPr>
            <w:tcW w:type="dxa" w:w="1700"/>
            <w:tcMar>
              <w:top w:type="dxa" w:w="60"/>
              <w:left w:type="dxa" w:w="80"/>
              <w:bottom w:type="dxa" w:w="60"/>
              <w:right w:type="dxa" w:w="80"/>
            </w:tcMar>
            <w:vAlign w:val="top"/>
          </w:tcPr>
          <w:p>
            <w:pPr>
              <w:spacing w:after="20"/>
            </w:pPr>
            <w:r>
              <w:rPr>
                <w:sz w:val="18"/>
                <w:szCs w:val="18"/>
              </w:rPr>
              <w:t xml:space="preserve">Dataset provenance</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3300"/>
            <w:tcMar>
              <w:top w:type="dxa" w:w="60"/>
              <w:left w:type="dxa" w:w="80"/>
              <w:bottom w:type="dxa" w:w="60"/>
              <w:right w:type="dxa" w:w="80"/>
            </w:tcMar>
            <w:vAlign w:val="top"/>
          </w:tcPr>
          <w:p>
            <w:pPr>
              <w:spacing w:after="20"/>
            </w:pPr>
            <w:r>
              <w:rPr>
                <w:sz w:val="18"/>
                <w:szCs w:val="18"/>
              </w:rPr>
              <w:t xml:space="preserve">Figshare DOI, hospitals and years, 3,064 slices / 233 patients, class counts, slice-level label, no plane metadata stated.</w:t>
            </w:r>
          </w:p>
        </w:tc>
        <w:tc>
          <w:tcPr>
            <w:tcW w:type="dxa" w:w="2700"/>
            <w:tcMar>
              <w:top w:type="dxa" w:w="60"/>
              <w:left w:type="dxa" w:w="80"/>
              <w:bottom w:type="dxa" w:w="60"/>
              <w:right w:type="dxa" w:w="80"/>
            </w:tcMar>
            <w:vAlign w:val="top"/>
          </w:tcPr>
          <w:p>
            <w:pPr>
              <w:spacing w:after="20"/>
            </w:pPr>
            <w:r>
              <w:rPr>
                <w:sz w:val="18"/>
                <w:szCs w:val="18"/>
              </w:rPr>
              <w:t xml:space="preserve">Name the dataset licence explicitly (N18).</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C6</w:t>
            </w:r>
          </w:p>
        </w:tc>
        <w:tc>
          <w:tcPr>
            <w:tcW w:type="dxa" w:w="1700"/>
            <w:tcMar>
              <w:top w:type="dxa" w:w="60"/>
              <w:left w:type="dxa" w:w="80"/>
              <w:bottom w:type="dxa" w:w="60"/>
              <w:right w:type="dxa" w:w="80"/>
            </w:tcMar>
            <w:vAlign w:val="top"/>
          </w:tcPr>
          <w:p>
            <w:pPr>
              <w:spacing w:after="20"/>
            </w:pPr>
            <w:r>
              <w:rPr>
                <w:sz w:val="18"/>
                <w:szCs w:val="18"/>
              </w:rPr>
              <w:t xml:space="preserve">Complex pipeline without ablation</w:t>
            </w:r>
          </w:p>
        </w:tc>
        <w:tc>
          <w:tcPr>
            <w:tcW w:type="dxa" w:w="1300"/>
            <w:shd w:fill="D9D9D9" w:val="clear"/>
            <w:tcMar>
              <w:top w:type="dxa" w:w="60"/>
              <w:left w:type="dxa" w:w="80"/>
              <w:bottom w:type="dxa" w:w="60"/>
              <w:right w:type="dxa" w:w="80"/>
            </w:tcMar>
            <w:vAlign w:val="top"/>
          </w:tcPr>
          <w:p>
            <w:pPr>
              <w:spacing w:after="20"/>
            </w:pPr>
            <w:r>
              <w:rPr>
                <w:b/>
                <w:bCs/>
                <w:sz w:val="18"/>
                <w:szCs w:val="18"/>
              </w:rPr>
              <w:t xml:space="preserve">N/A</w:t>
            </w:r>
          </w:p>
        </w:tc>
        <w:tc>
          <w:tcPr>
            <w:tcW w:type="dxa" w:w="3300"/>
            <w:tcMar>
              <w:top w:type="dxa" w:w="60"/>
              <w:left w:type="dxa" w:w="80"/>
              <w:bottom w:type="dxa" w:w="60"/>
              <w:right w:type="dxa" w:w="80"/>
            </w:tcMar>
            <w:vAlign w:val="top"/>
          </w:tcPr>
          <w:p>
            <w:pPr>
              <w:spacing w:after="20"/>
            </w:pPr>
            <w:r>
              <w:rPr>
                <w:sz w:val="18"/>
                <w:szCs w:val="18"/>
              </w:rPr>
              <w:t xml:space="preserve">This is a control study; each condition has a stated purpose.</w:t>
            </w:r>
          </w:p>
        </w:tc>
        <w:tc>
          <w:tcPr>
            <w:tcW w:type="dxa" w:w="2700"/>
            <w:tcMar>
              <w:top w:type="dxa" w:w="60"/>
              <w:left w:type="dxa" w:w="80"/>
              <w:bottom w:type="dxa" w:w="60"/>
              <w:right w:type="dxa" w:w="80"/>
            </w:tcMar>
            <w:vAlign w:val="top"/>
          </w:tcPr>
          <w:p>
            <w:pPr>
              <w:spacing w:after="20"/>
            </w:pPr>
            <w:r>
              <w:rPr>
                <w:sz w:val="18"/>
                <w:szCs w:val="18"/>
              </w:rPr>
              <w:t xml:space="preserve">None.</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C7</w:t>
            </w:r>
          </w:p>
        </w:tc>
        <w:tc>
          <w:tcPr>
            <w:tcW w:type="dxa" w:w="1700"/>
            <w:tcMar>
              <w:top w:type="dxa" w:w="60"/>
              <w:left w:type="dxa" w:w="80"/>
              <w:bottom w:type="dxa" w:w="60"/>
              <w:right w:type="dxa" w:w="80"/>
            </w:tcMar>
            <w:vAlign w:val="top"/>
          </w:tcPr>
          <w:p>
            <w:pPr>
              <w:spacing w:after="20"/>
            </w:pPr>
            <w:r>
              <w:rPr>
                <w:sz w:val="18"/>
                <w:szCs w:val="18"/>
              </w:rPr>
              <w:t xml:space="preserve">Claims bigger than evidence</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3300"/>
            <w:tcMar>
              <w:top w:type="dxa" w:w="60"/>
              <w:left w:type="dxa" w:w="80"/>
              <w:bottom w:type="dxa" w:w="60"/>
              <w:right w:type="dxa" w:w="80"/>
            </w:tcMar>
            <w:vAlign w:val="top"/>
          </w:tcPr>
          <w:p>
            <w:pPr>
              <w:spacing w:after="20"/>
            </w:pPr>
            <w:r>
              <w:rPr>
                <w:sz w:val="18"/>
                <w:szCs w:val="18"/>
              </w:rPr>
              <w:t xml:space="preserve">Wording is mostly careful ('consistent with', 'do not apportion', 'post hoc').</w:t>
            </w:r>
          </w:p>
        </w:tc>
        <w:tc>
          <w:tcPr>
            <w:tcW w:type="dxa" w:w="2700"/>
            <w:tcMar>
              <w:top w:type="dxa" w:w="60"/>
              <w:left w:type="dxa" w:w="80"/>
              <w:bottom w:type="dxa" w:w="60"/>
              <w:right w:type="dxa" w:w="80"/>
            </w:tcMar>
            <w:vAlign w:val="top"/>
          </w:tcPr>
          <w:p>
            <w:pPr>
              <w:spacing w:after="20"/>
            </w:pPr>
            <w:r>
              <w:rPr>
                <w:sz w:val="18"/>
                <w:szCs w:val="18"/>
              </w:rPr>
              <w:t xml:space="preserve">Abstract says seam suppression 'did not recover performance', yet C2 seam removal is unquantified (N1, N10). Title (N9).</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C8</w:t>
            </w:r>
          </w:p>
        </w:tc>
        <w:tc>
          <w:tcPr>
            <w:tcW w:type="dxa" w:w="1700"/>
            <w:tcMar>
              <w:top w:type="dxa" w:w="60"/>
              <w:left w:type="dxa" w:w="80"/>
              <w:bottom w:type="dxa" w:w="60"/>
              <w:right w:type="dxa" w:w="80"/>
            </w:tcMar>
            <w:vAlign w:val="top"/>
          </w:tcPr>
          <w:p>
            <w:pPr>
              <w:spacing w:after="20"/>
            </w:pPr>
            <w:r>
              <w:rPr>
                <w:sz w:val="18"/>
                <w:szCs w:val="18"/>
              </w:rPr>
              <w:t xml:space="preserve">Simulated / unsupported figures</w:t>
            </w:r>
          </w:p>
        </w:tc>
        <w:tc>
          <w:tcPr>
            <w:tcW w:type="dxa" w:w="1300"/>
            <w:shd w:fill="C6E0B4" w:val="clear"/>
            <w:tcMar>
              <w:top w:type="dxa" w:w="60"/>
              <w:left w:type="dxa" w:w="80"/>
              <w:bottom w:type="dxa" w:w="60"/>
              <w:right w:type="dxa" w:w="80"/>
            </w:tcMar>
            <w:vAlign w:val="top"/>
          </w:tcPr>
          <w:p>
            <w:pPr>
              <w:spacing w:after="20"/>
            </w:pPr>
            <w:r>
              <w:rPr>
                <w:b/>
                <w:bCs/>
                <w:sz w:val="18"/>
                <w:szCs w:val="18"/>
              </w:rPr>
              <w:t xml:space="preserve">ADDRESSED</w:t>
            </w:r>
          </w:p>
        </w:tc>
        <w:tc>
          <w:tcPr>
            <w:tcW w:type="dxa" w:w="3300"/>
            <w:tcMar>
              <w:top w:type="dxa" w:w="60"/>
              <w:left w:type="dxa" w:w="80"/>
              <w:bottom w:type="dxa" w:w="60"/>
              <w:right w:type="dxa" w:w="80"/>
            </w:tcMar>
            <w:vAlign w:val="top"/>
          </w:tcPr>
          <w:p>
            <w:pPr>
              <w:spacing w:after="20"/>
            </w:pPr>
            <w:r>
              <w:rPr>
                <w:sz w:val="18"/>
                <w:szCs w:val="18"/>
              </w:rPr>
              <w:t xml:space="preserve">No simulated output; attribution maps are listed as future work.</w:t>
            </w:r>
          </w:p>
        </w:tc>
        <w:tc>
          <w:tcPr>
            <w:tcW w:type="dxa" w:w="2700"/>
            <w:tcMar>
              <w:top w:type="dxa" w:w="60"/>
              <w:left w:type="dxa" w:w="80"/>
              <w:bottom w:type="dxa" w:w="60"/>
              <w:right w:type="dxa" w:w="80"/>
            </w:tcMar>
            <w:vAlign w:val="top"/>
          </w:tcPr>
          <w:p>
            <w:pPr>
              <w:spacing w:after="20"/>
            </w:pPr>
            <w:r>
              <w:rPr>
                <w:sz w:val="18"/>
                <w:szCs w:val="18"/>
              </w:rPr>
              <w:t xml:space="preserve">Fig. 9 is missing (N1).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C9</w:t>
            </w:r>
          </w:p>
        </w:tc>
        <w:tc>
          <w:tcPr>
            <w:tcW w:type="dxa" w:w="1700"/>
            <w:tcMar>
              <w:top w:type="dxa" w:w="60"/>
              <w:left w:type="dxa" w:w="80"/>
              <w:bottom w:type="dxa" w:w="60"/>
              <w:right w:type="dxa" w:w="80"/>
            </w:tcMar>
            <w:vAlign w:val="top"/>
          </w:tcPr>
          <w:p>
            <w:pPr>
              <w:spacing w:after="20"/>
            </w:pPr>
            <w:r>
              <w:rPr>
                <w:sz w:val="18"/>
                <w:szCs w:val="18"/>
              </w:rPr>
              <w:t xml:space="preserve">Unfinished manuscript</w:t>
            </w:r>
          </w:p>
        </w:tc>
        <w:tc>
          <w:tcPr>
            <w:tcW w:type="dxa" w:w="1300"/>
            <w:shd w:fill="F4B183" w:val="clear"/>
            <w:tcMar>
              <w:top w:type="dxa" w:w="60"/>
              <w:left w:type="dxa" w:w="80"/>
              <w:bottom w:type="dxa" w:w="60"/>
              <w:right w:type="dxa" w:w="80"/>
            </w:tcMar>
            <w:vAlign w:val="top"/>
          </w:tcPr>
          <w:p>
            <w:pPr>
              <w:spacing w:after="20"/>
            </w:pPr>
            <w:r>
              <w:rPr>
                <w:b/>
                <w:bCs/>
                <w:sz w:val="18"/>
                <w:szCs w:val="18"/>
              </w:rPr>
              <w:t xml:space="preserve">NOT ADDRESSED</w:t>
            </w:r>
          </w:p>
        </w:tc>
        <w:tc>
          <w:tcPr>
            <w:tcW w:type="dxa" w:w="3300"/>
            <w:tcMar>
              <w:top w:type="dxa" w:w="60"/>
              <w:left w:type="dxa" w:w="80"/>
              <w:bottom w:type="dxa" w:w="60"/>
              <w:right w:type="dxa" w:w="80"/>
            </w:tcMar>
            <w:vAlign w:val="top"/>
          </w:tcPr>
          <w:p>
            <w:pPr>
              <w:spacing w:after="20"/>
            </w:pPr>
            <w:r>
              <w:rPr>
                <w:sz w:val="18"/>
                <w:szCs w:val="18"/>
              </w:rPr>
              <w:t xml:space="preserve">Still present: Table 9 row 'Pending', Fig. 9 'withheld', 'in this corrected draft', 'in this editing session', Appendix B internal checklist, 'Open items', bracketed author-contribution and acknowledgement placeholders.</w:t>
            </w:r>
          </w:p>
        </w:tc>
        <w:tc>
          <w:tcPr>
            <w:tcW w:type="dxa" w:w="2700"/>
            <w:tcMar>
              <w:top w:type="dxa" w:w="60"/>
              <w:left w:type="dxa" w:w="80"/>
              <w:bottom w:type="dxa" w:w="60"/>
              <w:right w:type="dxa" w:w="80"/>
            </w:tcMar>
            <w:vAlign w:val="top"/>
          </w:tcPr>
          <w:p>
            <w:pPr>
              <w:spacing w:after="20"/>
            </w:pPr>
            <w:r>
              <w:rPr>
                <w:sz w:val="18"/>
                <w:szCs w:val="18"/>
              </w:rPr>
              <w:t xml:space="preserve">See N1-N7. This is the same type of defect that caused the earlier rejection.</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C10</w:t>
            </w:r>
          </w:p>
        </w:tc>
        <w:tc>
          <w:tcPr>
            <w:tcW w:type="dxa" w:w="1700"/>
            <w:tcMar>
              <w:top w:type="dxa" w:w="60"/>
              <w:left w:type="dxa" w:w="80"/>
              <w:bottom w:type="dxa" w:w="60"/>
              <w:right w:type="dxa" w:w="80"/>
            </w:tcMar>
            <w:vAlign w:val="top"/>
          </w:tcPr>
          <w:p>
            <w:pPr>
              <w:spacing w:after="20"/>
            </w:pPr>
            <w:r>
              <w:rPr>
                <w:sz w:val="18"/>
                <w:szCs w:val="18"/>
              </w:rPr>
              <w:t xml:space="preserve">Reproducibility</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3300"/>
            <w:tcMar>
              <w:top w:type="dxa" w:w="60"/>
              <w:left w:type="dxa" w:w="80"/>
              <w:bottom w:type="dxa" w:w="60"/>
              <w:right w:type="dxa" w:w="80"/>
            </w:tcMar>
            <w:vAlign w:val="top"/>
          </w:tcPr>
          <w:p>
            <w:pPr>
              <w:spacing w:after="20"/>
            </w:pPr>
            <w:r>
              <w:rPr>
                <w:sz w:val="18"/>
                <w:szCs w:val="18"/>
              </w:rPr>
              <w:t xml:space="preserve">GitHub + Zenodo DOI, SHA-256 manifests, seeds, hardware and run time, 178-test suite.</w:t>
            </w:r>
          </w:p>
        </w:tc>
        <w:tc>
          <w:tcPr>
            <w:tcW w:type="dxa" w:w="2700"/>
            <w:tcMar>
              <w:top w:type="dxa" w:w="60"/>
              <w:left w:type="dxa" w:w="80"/>
              <w:bottom w:type="dxa" w:w="60"/>
              <w:right w:type="dxa" w:w="80"/>
            </w:tcMar>
            <w:vAlign w:val="top"/>
          </w:tcPr>
          <w:p>
            <w:pPr>
              <w:spacing w:after="20"/>
            </w:pPr>
            <w:r>
              <w:rPr>
                <w:sz w:val="18"/>
                <w:szCs w:val="18"/>
              </w:rPr>
              <w:t xml:space="preserve">PyTorch dev build 'cannot be reinstalled' (N16); Zenodo release must match corrected artifacts; test-count note (N7).</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C11</w:t>
            </w:r>
          </w:p>
        </w:tc>
        <w:tc>
          <w:tcPr>
            <w:tcW w:type="dxa" w:w="1700"/>
            <w:tcMar>
              <w:top w:type="dxa" w:w="60"/>
              <w:left w:type="dxa" w:w="80"/>
              <w:bottom w:type="dxa" w:w="60"/>
              <w:right w:type="dxa" w:w="80"/>
            </w:tcMar>
            <w:vAlign w:val="top"/>
          </w:tcPr>
          <w:p>
            <w:pPr>
              <w:spacing w:after="20"/>
            </w:pPr>
            <w:r>
              <w:rPr>
                <w:sz w:val="18"/>
                <w:szCs w:val="18"/>
              </w:rPr>
              <w:t xml:space="preserve">External validation</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3300"/>
            <w:tcMar>
              <w:top w:type="dxa" w:w="60"/>
              <w:left w:type="dxa" w:w="80"/>
              <w:bottom w:type="dxa" w:w="60"/>
              <w:right w:type="dxa" w:w="80"/>
            </w:tcMar>
            <w:vAlign w:val="top"/>
          </w:tcPr>
          <w:p>
            <w:pPr>
              <w:spacing w:after="20"/>
            </w:pPr>
            <w:r>
              <w:rPr>
                <w:sz w:val="18"/>
                <w:szCs w:val="18"/>
              </w:rPr>
              <w:t xml:space="preserve">Single dataset and one architecture are acknowledged in Limitations.</w:t>
            </w:r>
          </w:p>
        </w:tc>
        <w:tc>
          <w:tcPr>
            <w:tcW w:type="dxa" w:w="2700"/>
            <w:tcMar>
              <w:top w:type="dxa" w:w="60"/>
              <w:left w:type="dxa" w:w="80"/>
              <w:bottom w:type="dxa" w:w="60"/>
              <w:right w:type="dxa" w:w="80"/>
            </w:tcMar>
            <w:vAlign w:val="top"/>
          </w:tcPr>
          <w:p>
            <w:pPr>
              <w:spacing w:after="20"/>
            </w:pPr>
            <w:r>
              <w:rPr>
                <w:sz w:val="18"/>
                <w:szCs w:val="18"/>
              </w:rPr>
              <w:t xml:space="preserve">Expect a reviewer to ask for one more backbone or dataset; otherwise justify the scope in the Introduction.</w:t>
            </w:r>
          </w:p>
        </w:tc>
      </w:tr>
      <w:tr>
        <w:trPr>
          <w:cantSplit/>
        </w:trPr>
        <w:tc>
          <w:tcPr>
            <w:tcW w:type="dxa" w:w="600"/>
            <w:tcMar>
              <w:top w:type="dxa" w:w="60"/>
              <w:left w:type="dxa" w:w="80"/>
              <w:bottom w:type="dxa" w:w="60"/>
              <w:right w:type="dxa" w:w="80"/>
            </w:tcMar>
            <w:vAlign w:val="top"/>
          </w:tcPr>
          <w:p>
            <w:pPr>
              <w:spacing w:after="20"/>
            </w:pPr>
            <w:r>
              <w:rPr>
                <w:sz w:val="18"/>
                <w:szCs w:val="18"/>
              </w:rPr>
              <w:t xml:space="preserve">C12</w:t>
            </w:r>
          </w:p>
        </w:tc>
        <w:tc>
          <w:tcPr>
            <w:tcW w:type="dxa" w:w="1700"/>
            <w:tcMar>
              <w:top w:type="dxa" w:w="60"/>
              <w:left w:type="dxa" w:w="80"/>
              <w:bottom w:type="dxa" w:w="60"/>
              <w:right w:type="dxa" w:w="80"/>
            </w:tcMar>
            <w:vAlign w:val="top"/>
          </w:tcPr>
          <w:p>
            <w:pPr>
              <w:spacing w:after="20"/>
            </w:pPr>
            <w:r>
              <w:rPr>
                <w:sz w:val="18"/>
                <w:szCs w:val="18"/>
              </w:rPr>
              <w:t xml:space="preserve">References, declarations, AI statement</w:t>
            </w:r>
          </w:p>
        </w:tc>
        <w:tc>
          <w:tcPr>
            <w:tcW w:type="dxa" w:w="13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3300"/>
            <w:tcMar>
              <w:top w:type="dxa" w:w="60"/>
              <w:left w:type="dxa" w:w="80"/>
              <w:bottom w:type="dxa" w:w="60"/>
              <w:right w:type="dxa" w:w="80"/>
            </w:tcMar>
            <w:vAlign w:val="top"/>
          </w:tcPr>
          <w:p>
            <w:pPr>
              <w:spacing w:after="20"/>
            </w:pPr>
            <w:r>
              <w:rPr>
                <w:sz w:val="18"/>
                <w:szCs w:val="18"/>
              </w:rPr>
              <w:t xml:space="preserve">31 references, all cited; [12] exists (arXiv:2610.00421, title and ID checked).</w:t>
            </w:r>
          </w:p>
        </w:tc>
        <w:tc>
          <w:tcPr>
            <w:tcW w:type="dxa" w:w="2700"/>
            <w:tcMar>
              <w:top w:type="dxa" w:w="60"/>
              <w:left w:type="dxa" w:w="80"/>
              <w:bottom w:type="dxa" w:w="60"/>
              <w:right w:type="dxa" w:w="80"/>
            </w:tcMar>
            <w:vAlign w:val="top"/>
          </w:tcPr>
          <w:p>
            <w:pPr>
              <w:spacing w:after="20"/>
            </w:pPr>
            <w:r>
              <w:rPr>
                <w:sz w:val="18"/>
                <w:szCs w:val="18"/>
              </w:rPr>
              <w:t xml:space="preserve">Author contributions placeholder (N5); no Generative-AI statement (N6); ORCID/affiliations open; [25] credits a GitHub username (N15).</w:t>
            </w:r>
          </w:p>
        </w:tc>
      </w:tr>
    </w:tbl>
    <w:p>
      <w:pPr>
        <w:pStyle w:val="Heading1"/>
        <w:spacing w:after="120" w:before="280"/>
      </w:pPr>
      <w:r>
        <w:t xml:space="preserve">B. New findings in this paper (P1 = must fix before submission, P2 = should fix, P3 = polish)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000"/>
        <w:gridCol w:w="3700"/>
        <w:gridCol w:w="800"/>
      </w:tblGrid>
      <w:tr>
        <w:trPr>
          <w:tblHeader/>
        </w:trPr>
        <w:tc>
          <w:tcPr>
            <w:tcW w:type="dxa" w:w="6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1500"/>
            <w:shd w:fill="1F3864" w:val="clear"/>
            <w:tcMar>
              <w:top w:type="dxa" w:w="60"/>
              <w:left w:type="dxa" w:w="80"/>
              <w:bottom w:type="dxa" w:w="60"/>
              <w:right w:type="dxa" w:w="80"/>
            </w:tcMar>
            <w:vAlign w:val="top"/>
          </w:tcPr>
          <w:p>
            <w:pPr>
              <w:spacing w:after="20"/>
            </w:pPr>
            <w:r>
              <w:rPr>
                <w:b/>
                <w:bCs/>
                <w:color w:val="FFFFFF"/>
                <w:sz w:val="18"/>
                <w:szCs w:val="18"/>
              </w:rPr>
              <w:t xml:space="preserve">Where</w:t>
            </w:r>
          </w:p>
        </w:tc>
        <w:tc>
          <w:tcPr>
            <w:tcW w:type="dxa" w:w="3000"/>
            <w:shd w:fill="1F3864" w:val="clear"/>
            <w:tcMar>
              <w:top w:type="dxa" w:w="60"/>
              <w:left w:type="dxa" w:w="80"/>
              <w:bottom w:type="dxa" w:w="60"/>
              <w:right w:type="dxa" w:w="80"/>
            </w:tcMar>
            <w:vAlign w:val="top"/>
          </w:tcPr>
          <w:p>
            <w:pPr>
              <w:spacing w:after="20"/>
            </w:pPr>
            <w:r>
              <w:rPr>
                <w:b/>
                <w:bCs/>
                <w:color w:val="FFFFFF"/>
                <w:sz w:val="18"/>
                <w:szCs w:val="18"/>
              </w:rPr>
              <w:t xml:space="preserve">Finding</w:t>
            </w:r>
          </w:p>
        </w:tc>
        <w:tc>
          <w:tcPr>
            <w:tcW w:type="dxa" w:w="3700"/>
            <w:shd w:fill="1F3864" w:val="clear"/>
            <w:tcMar>
              <w:top w:type="dxa" w:w="60"/>
              <w:left w:type="dxa" w:w="80"/>
              <w:bottom w:type="dxa" w:w="60"/>
              <w:right w:type="dxa" w:w="80"/>
            </w:tcMar>
            <w:vAlign w:val="top"/>
          </w:tcPr>
          <w:p>
            <w:pPr>
              <w:spacing w:after="20"/>
            </w:pPr>
            <w:r>
              <w:rPr>
                <w:b/>
                <w:bCs/>
                <w:color w:val="FFFFFF"/>
                <w:sz w:val="18"/>
                <w:szCs w:val="18"/>
              </w:rPr>
              <w:t xml:space="preserve">Fix</w:t>
            </w:r>
          </w:p>
        </w:tc>
        <w:tc>
          <w:tcPr>
            <w:tcW w:type="dxa" w:w="800"/>
            <w:shd w:fill="1F3864" w:val="clear"/>
            <w:tcMar>
              <w:top w:type="dxa" w:w="60"/>
              <w:left w:type="dxa" w:w="80"/>
              <w:bottom w:type="dxa" w:w="60"/>
              <w:right w:type="dxa" w:w="80"/>
            </w:tcMar>
            <w:vAlign w:val="top"/>
          </w:tcPr>
          <w:p>
            <w:pPr>
              <w:spacing w:after="20"/>
            </w:pPr>
            <w:r>
              <w:rPr>
                <w:b/>
                <w:bCs/>
                <w:color w:val="FFFFFF"/>
                <w:sz w:val="18"/>
                <w:szCs w:val="18"/>
              </w:rPr>
              <w:t xml:space="preserve">Prio</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w:t>
            </w:r>
          </w:p>
        </w:tc>
        <w:tc>
          <w:tcPr>
            <w:tcW w:type="dxa" w:w="1500"/>
            <w:tcMar>
              <w:top w:type="dxa" w:w="60"/>
              <w:left w:type="dxa" w:w="80"/>
              <w:bottom w:type="dxa" w:w="60"/>
              <w:right w:type="dxa" w:w="80"/>
            </w:tcMar>
            <w:vAlign w:val="top"/>
          </w:tcPr>
          <w:p>
            <w:pPr>
              <w:spacing w:after="20"/>
            </w:pPr>
            <w:r>
              <w:rPr>
                <w:sz w:val="18"/>
                <w:szCs w:val="18"/>
              </w:rPr>
              <w:t xml:space="preserve">4.6, Table 9, Fig. 9, 5.2, 6</w:t>
            </w:r>
          </w:p>
        </w:tc>
        <w:tc>
          <w:tcPr>
            <w:tcW w:type="dxa" w:w="3000"/>
            <w:tcMar>
              <w:top w:type="dxa" w:w="60"/>
              <w:left w:type="dxa" w:w="80"/>
              <w:bottom w:type="dxa" w:w="60"/>
              <w:right w:type="dxa" w:w="80"/>
            </w:tcMar>
            <w:vAlign w:val="top"/>
          </w:tcPr>
          <w:p>
            <w:pPr>
              <w:spacing w:after="20"/>
            </w:pPr>
            <w:r>
              <w:rPr>
                <w:sz w:val="18"/>
                <w:szCs w:val="18"/>
              </w:rPr>
              <w:t xml:space="preserve">The C2 diagnostics were produced with a different operator from the one used for the evaluated predictions; the C2 row is 'Pending' and Fig. 9 is withheld. The key control is therefore unquantified.</w:t>
            </w:r>
          </w:p>
        </w:tc>
        <w:tc>
          <w:tcPr>
            <w:tcW w:type="dxa" w:w="3700"/>
            <w:tcMar>
              <w:top w:type="dxa" w:w="60"/>
              <w:left w:type="dxa" w:w="80"/>
              <w:bottom w:type="dxa" w:w="60"/>
              <w:right w:type="dxa" w:w="80"/>
            </w:tcMar>
            <w:vAlign w:val="top"/>
          </w:tcPr>
          <w:p>
            <w:pPr>
              <w:spacing w:after="20"/>
            </w:pPr>
            <w:r>
              <w:rPr>
                <w:sz w:val="18"/>
                <w:szCs w:val="18"/>
              </w:rPr>
              <w:t xml:space="preserve">Rerun the corrected diagnostic script on all 3,064 slices; fill Table 9 and Fig. 9; compute C2 seam attenuation (Eq. 9); then rewrite the 4.6 caveat, 5.2 and the Limitations. If this cannot be done, call C2 a 'locally blended permutation' everywhere (abstract, legends, headings).</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N2</w:t>
            </w:r>
          </w:p>
        </w:tc>
        <w:tc>
          <w:tcPr>
            <w:tcW w:type="dxa" w:w="1500"/>
            <w:tcMar>
              <w:top w:type="dxa" w:w="60"/>
              <w:left w:type="dxa" w:w="80"/>
              <w:bottom w:type="dxa" w:w="60"/>
              <w:right w:type="dxa" w:w="80"/>
            </w:tcMar>
            <w:vAlign w:val="top"/>
          </w:tcPr>
          <w:p>
            <w:pPr>
              <w:spacing w:after="20"/>
            </w:pPr>
            <w:r>
              <w:rPr>
                <w:sz w:val="18"/>
                <w:szCs w:val="18"/>
              </w:rPr>
              <w:t xml:space="preserve">4.6 (two paragraphs), Table 9 caption, Fig. 9 caption</w:t>
            </w:r>
          </w:p>
        </w:tc>
        <w:tc>
          <w:tcPr>
            <w:tcW w:type="dxa" w:w="3000"/>
            <w:tcMar>
              <w:top w:type="dxa" w:w="60"/>
              <w:left w:type="dxa" w:w="80"/>
              <w:bottom w:type="dxa" w:w="60"/>
              <w:right w:type="dxa" w:w="80"/>
            </w:tcMar>
            <w:vAlign w:val="top"/>
          </w:tcPr>
          <w:p>
            <w:pPr>
              <w:spacing w:after="20"/>
            </w:pPr>
            <w:r>
              <w:rPr>
                <w:sz w:val="18"/>
                <w:szCs w:val="18"/>
              </w:rPr>
              <w:t xml:space="preserve">Process language: 'corrected draft', 'editing session', 'provisionally', 'withheld in this correction draft', 'must be regenerated before submission'.</w:t>
            </w:r>
          </w:p>
        </w:tc>
        <w:tc>
          <w:tcPr>
            <w:tcW w:type="dxa" w:w="3700"/>
            <w:tcMar>
              <w:top w:type="dxa" w:w="60"/>
              <w:left w:type="dxa" w:w="80"/>
              <w:bottom w:type="dxa" w:w="60"/>
              <w:right w:type="dxa" w:w="80"/>
            </w:tcMar>
            <w:vAlign w:val="top"/>
          </w:tcPr>
          <w:p>
            <w:pPr>
              <w:spacing w:after="20"/>
            </w:pPr>
            <w:r>
              <w:rPr>
                <w:sz w:val="18"/>
                <w:szCs w:val="18"/>
              </w:rPr>
              <w:t xml:space="preserve">Replace with final text after N1; delete all process wording.</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N3</w:t>
            </w:r>
          </w:p>
        </w:tc>
        <w:tc>
          <w:tcPr>
            <w:tcW w:type="dxa" w:w="1500"/>
            <w:tcMar>
              <w:top w:type="dxa" w:w="60"/>
              <w:left w:type="dxa" w:w="80"/>
              <w:bottom w:type="dxa" w:w="60"/>
              <w:right w:type="dxa" w:w="80"/>
            </w:tcMar>
            <w:vAlign w:val="top"/>
          </w:tcPr>
          <w:p>
            <w:pPr>
              <w:spacing w:after="20"/>
            </w:pPr>
            <w:r>
              <w:rPr>
                <w:sz w:val="18"/>
                <w:szCs w:val="18"/>
              </w:rPr>
              <w:t xml:space="preserve">Appendix B</w:t>
            </w:r>
          </w:p>
        </w:tc>
        <w:tc>
          <w:tcPr>
            <w:tcW w:type="dxa" w:w="3000"/>
            <w:tcMar>
              <w:top w:type="dxa" w:w="60"/>
              <w:left w:type="dxa" w:w="80"/>
              <w:bottom w:type="dxa" w:w="60"/>
              <w:right w:type="dxa" w:w="80"/>
            </w:tcMar>
            <w:vAlign w:val="top"/>
          </w:tcPr>
          <w:p>
            <w:pPr>
              <w:spacing w:after="20"/>
            </w:pPr>
            <w:r>
              <w:rPr>
                <w:sz w:val="18"/>
                <w:szCs w:val="18"/>
              </w:rPr>
              <w:t xml:space="preserve">A 15-item internal checklist, labelled 'remove from the submitted manuscript', is inside the paper.</w:t>
            </w:r>
          </w:p>
        </w:tc>
        <w:tc>
          <w:tcPr>
            <w:tcW w:type="dxa" w:w="3700"/>
            <w:tcMar>
              <w:top w:type="dxa" w:w="60"/>
              <w:left w:type="dxa" w:w="80"/>
              <w:bottom w:type="dxa" w:w="60"/>
              <w:right w:type="dxa" w:w="80"/>
            </w:tcMar>
            <w:vAlign w:val="top"/>
          </w:tcPr>
          <w:p>
            <w:pPr>
              <w:spacing w:after="20"/>
            </w:pPr>
            <w:r>
              <w:rPr>
                <w:sz w:val="18"/>
                <w:szCs w:val="18"/>
              </w:rPr>
              <w:t xml:space="preserve">Delete the whole appendix; keep it as a private file.</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N4</w:t>
            </w:r>
          </w:p>
        </w:tc>
        <w:tc>
          <w:tcPr>
            <w:tcW w:type="dxa" w:w="1500"/>
            <w:tcMar>
              <w:top w:type="dxa" w:w="60"/>
              <w:left w:type="dxa" w:w="80"/>
              <w:bottom w:type="dxa" w:w="60"/>
              <w:right w:type="dxa" w:w="80"/>
            </w:tcMar>
            <w:vAlign w:val="top"/>
          </w:tcPr>
          <w:p>
            <w:pPr>
              <w:spacing w:after="20"/>
            </w:pPr>
            <w:r>
              <w:rPr>
                <w:sz w:val="18"/>
                <w:szCs w:val="18"/>
              </w:rPr>
              <w:t xml:space="preserve">Section 6, last bullet</w:t>
            </w:r>
          </w:p>
        </w:tc>
        <w:tc>
          <w:tcPr>
            <w:tcW w:type="dxa" w:w="3000"/>
            <w:tcMar>
              <w:top w:type="dxa" w:w="60"/>
              <w:left w:type="dxa" w:w="80"/>
              <w:bottom w:type="dxa" w:w="60"/>
              <w:right w:type="dxa" w:w="80"/>
            </w:tcMar>
            <w:vAlign w:val="top"/>
          </w:tcPr>
          <w:p>
            <w:pPr>
              <w:spacing w:after="20"/>
            </w:pPr>
            <w:r>
              <w:rPr>
                <w:sz w:val="18"/>
                <w:szCs w:val="18"/>
              </w:rPr>
              <w:t xml:space="preserve">'Open items' bullet lists unfinished work and points to Appendix B.</w:t>
            </w:r>
          </w:p>
        </w:tc>
        <w:tc>
          <w:tcPr>
            <w:tcW w:type="dxa" w:w="3700"/>
            <w:tcMar>
              <w:top w:type="dxa" w:w="60"/>
              <w:left w:type="dxa" w:w="80"/>
              <w:bottom w:type="dxa" w:w="60"/>
              <w:right w:type="dxa" w:w="80"/>
            </w:tcMar>
            <w:vAlign w:val="top"/>
          </w:tcPr>
          <w:p>
            <w:pPr>
              <w:spacing w:after="20"/>
            </w:pPr>
            <w:r>
              <w:rPr>
                <w:sz w:val="18"/>
                <w:szCs w:val="18"/>
              </w:rPr>
              <w:t xml:space="preserve">Delete; keep real limitations only.</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N5</w:t>
            </w:r>
          </w:p>
        </w:tc>
        <w:tc>
          <w:tcPr>
            <w:tcW w:type="dxa" w:w="1500"/>
            <w:tcMar>
              <w:top w:type="dxa" w:w="60"/>
              <w:left w:type="dxa" w:w="80"/>
              <w:bottom w:type="dxa" w:w="60"/>
              <w:right w:type="dxa" w:w="80"/>
            </w:tcMar>
            <w:vAlign w:val="top"/>
          </w:tcPr>
          <w:p>
            <w:pPr>
              <w:spacing w:after="20"/>
            </w:pPr>
            <w:r>
              <w:rPr>
                <w:sz w:val="18"/>
                <w:szCs w:val="18"/>
              </w:rPr>
              <w:t xml:space="preserve">Declarations</w:t>
            </w:r>
          </w:p>
        </w:tc>
        <w:tc>
          <w:tcPr>
            <w:tcW w:type="dxa" w:w="3000"/>
            <w:tcMar>
              <w:top w:type="dxa" w:w="60"/>
              <w:left w:type="dxa" w:w="80"/>
              <w:bottom w:type="dxa" w:w="60"/>
              <w:right w:type="dxa" w:w="80"/>
            </w:tcMar>
            <w:vAlign w:val="top"/>
          </w:tcPr>
          <w:p>
            <w:pPr>
              <w:spacing w:after="20"/>
            </w:pPr>
            <w:r>
              <w:rPr>
                <w:sz w:val="18"/>
                <w:szCs w:val="18"/>
              </w:rPr>
              <w:t xml:space="preserve">'[Exact contribution statement to be confirmed]', 'Both authors should review and approve', '[Further acknowledgements to be added]'.</w:t>
            </w:r>
          </w:p>
        </w:tc>
        <w:tc>
          <w:tcPr>
            <w:tcW w:type="dxa" w:w="3700"/>
            <w:tcMar>
              <w:top w:type="dxa" w:w="60"/>
              <w:left w:type="dxa" w:w="80"/>
              <w:bottom w:type="dxa" w:w="60"/>
              <w:right w:type="dxa" w:w="80"/>
            </w:tcMar>
            <w:vAlign w:val="top"/>
          </w:tcPr>
          <w:p>
            <w:pPr>
              <w:spacing w:after="20"/>
            </w:pPr>
            <w:r>
              <w:rPr>
                <w:sz w:val="18"/>
                <w:szCs w:val="18"/>
              </w:rPr>
              <w:t xml:space="preserve">Write final CRediT-style statements for both authors; remove brackets.</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N6</w:t>
            </w:r>
          </w:p>
        </w:tc>
        <w:tc>
          <w:tcPr>
            <w:tcW w:type="dxa" w:w="1500"/>
            <w:tcMar>
              <w:top w:type="dxa" w:w="60"/>
              <w:left w:type="dxa" w:w="80"/>
              <w:bottom w:type="dxa" w:w="60"/>
              <w:right w:type="dxa" w:w="80"/>
            </w:tcMar>
            <w:vAlign w:val="top"/>
          </w:tcPr>
          <w:p>
            <w:pPr>
              <w:spacing w:after="20"/>
            </w:pPr>
            <w:r>
              <w:rPr>
                <w:sz w:val="18"/>
                <w:szCs w:val="18"/>
              </w:rPr>
              <w:t xml:space="preserve">Declarations</w:t>
            </w:r>
          </w:p>
        </w:tc>
        <w:tc>
          <w:tcPr>
            <w:tcW w:type="dxa" w:w="3000"/>
            <w:tcMar>
              <w:top w:type="dxa" w:w="60"/>
              <w:left w:type="dxa" w:w="80"/>
              <w:bottom w:type="dxa" w:w="60"/>
              <w:right w:type="dxa" w:w="80"/>
            </w:tcMar>
            <w:vAlign w:val="top"/>
          </w:tcPr>
          <w:p>
            <w:pPr>
              <w:spacing w:after="20"/>
            </w:pPr>
            <w:r>
              <w:rPr>
                <w:sz w:val="18"/>
                <w:szCs w:val="18"/>
              </w:rPr>
              <w:t xml:space="preserve">No Generative-AI use statement.</w:t>
            </w:r>
          </w:p>
        </w:tc>
        <w:tc>
          <w:tcPr>
            <w:tcW w:type="dxa" w:w="3700"/>
            <w:tcMar>
              <w:top w:type="dxa" w:w="60"/>
              <w:left w:type="dxa" w:w="80"/>
              <w:bottom w:type="dxa" w:w="60"/>
              <w:right w:type="dxa" w:w="80"/>
            </w:tcMar>
            <w:vAlign w:val="top"/>
          </w:tcPr>
          <w:p>
            <w:pPr>
              <w:spacing w:after="20"/>
            </w:pPr>
            <w:r>
              <w:rPr>
                <w:sz w:val="18"/>
                <w:szCs w:val="18"/>
              </w:rPr>
              <w:t xml:space="preserve">Add a truthful statement per the journal policy, agreed by both authors.</w:t>
            </w:r>
          </w:p>
        </w:tc>
        <w:tc>
          <w:tcPr>
            <w:tcW w:type="dxa" w:w="8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N7</w:t>
            </w:r>
          </w:p>
        </w:tc>
        <w:tc>
          <w:tcPr>
            <w:tcW w:type="dxa" w:w="1500"/>
            <w:tcMar>
              <w:top w:type="dxa" w:w="60"/>
              <w:left w:type="dxa" w:w="80"/>
              <w:bottom w:type="dxa" w:w="60"/>
              <w:right w:type="dxa" w:w="80"/>
            </w:tcMar>
            <w:vAlign w:val="top"/>
          </w:tcPr>
          <w:p>
            <w:pPr>
              <w:spacing w:after="20"/>
            </w:pPr>
            <w:r>
              <w:rPr>
                <w:sz w:val="18"/>
                <w:szCs w:val="18"/>
              </w:rPr>
              <w:t xml:space="preserve">3.11, App. B item 7</w:t>
            </w:r>
          </w:p>
        </w:tc>
        <w:tc>
          <w:tcPr>
            <w:tcW w:type="dxa" w:w="3000"/>
            <w:tcMar>
              <w:top w:type="dxa" w:w="60"/>
              <w:left w:type="dxa" w:w="80"/>
              <w:bottom w:type="dxa" w:w="60"/>
              <w:right w:type="dxa" w:w="80"/>
            </w:tcMar>
            <w:vAlign w:val="top"/>
          </w:tcPr>
          <w:p>
            <w:pPr>
              <w:spacing w:after="20"/>
            </w:pPr>
            <w:r>
              <w:rPr>
                <w:sz w:val="18"/>
                <w:szCs w:val="18"/>
              </w:rPr>
              <w:t xml:space="preserve">Test count 178 vs earlier 167/172; 'Section 3.11 to be updated after confirmation'.</w:t>
            </w:r>
          </w:p>
        </w:tc>
        <w:tc>
          <w:tcPr>
            <w:tcW w:type="dxa" w:w="3700"/>
            <w:tcMar>
              <w:top w:type="dxa" w:w="60"/>
              <w:left w:type="dxa" w:w="80"/>
              <w:bottom w:type="dxa" w:w="60"/>
              <w:right w:type="dxa" w:w="80"/>
            </w:tcMar>
            <w:vAlign w:val="top"/>
          </w:tcPr>
          <w:p>
            <w:pPr>
              <w:spacing w:after="20"/>
            </w:pPr>
            <w:r>
              <w:rPr>
                <w:sz w:val="18"/>
                <w:szCs w:val="18"/>
              </w:rPr>
              <w:t xml:space="preserve">Confirm the count from the final log and update the text.</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N8</w:t>
            </w:r>
          </w:p>
        </w:tc>
        <w:tc>
          <w:tcPr>
            <w:tcW w:type="dxa" w:w="1500"/>
            <w:tcMar>
              <w:top w:type="dxa" w:w="60"/>
              <w:left w:type="dxa" w:w="80"/>
              <w:bottom w:type="dxa" w:w="60"/>
              <w:right w:type="dxa" w:w="80"/>
            </w:tcMar>
            <w:vAlign w:val="top"/>
          </w:tcPr>
          <w:p>
            <w:pPr>
              <w:spacing w:after="20"/>
            </w:pPr>
            <w:r>
              <w:rPr>
                <w:sz w:val="18"/>
                <w:szCs w:val="18"/>
              </w:rPr>
              <w:t xml:space="preserve">Eq. (13)</w:t>
            </w:r>
          </w:p>
        </w:tc>
        <w:tc>
          <w:tcPr>
            <w:tcW w:type="dxa" w:w="3000"/>
            <w:tcMar>
              <w:top w:type="dxa" w:w="60"/>
              <w:left w:type="dxa" w:w="80"/>
              <w:bottom w:type="dxa" w:w="60"/>
              <w:right w:type="dxa" w:w="80"/>
            </w:tcMar>
            <w:vAlign w:val="top"/>
          </w:tcPr>
          <w:p>
            <w:pPr>
              <w:spacing w:after="20"/>
            </w:pPr>
            <w:r>
              <w:rPr>
                <w:sz w:val="18"/>
                <w:szCs w:val="18"/>
              </w:rPr>
              <w:t xml:space="preserve">Literal '&lt;sub&gt;1&lt;/sub&gt;' characters appear inside the formula.</w:t>
            </w:r>
          </w:p>
        </w:tc>
        <w:tc>
          <w:tcPr>
            <w:tcW w:type="dxa" w:w="3700"/>
            <w:tcMar>
              <w:top w:type="dxa" w:w="60"/>
              <w:left w:type="dxa" w:w="80"/>
              <w:bottom w:type="dxa" w:w="60"/>
              <w:right w:type="dxa" w:w="80"/>
            </w:tcMar>
            <w:vAlign w:val="top"/>
          </w:tcPr>
          <w:p>
            <w:pPr>
              <w:spacing w:after="20"/>
            </w:pPr>
            <w:r>
              <w:rPr>
                <w:sz w:val="18"/>
                <w:szCs w:val="18"/>
              </w:rPr>
              <w:t xml:space="preserve">Write F of the chi-square distribution with 1 degree of freedom, properly subscripted.</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N9</w:t>
            </w:r>
          </w:p>
        </w:tc>
        <w:tc>
          <w:tcPr>
            <w:tcW w:type="dxa" w:w="1500"/>
            <w:tcMar>
              <w:top w:type="dxa" w:w="60"/>
              <w:left w:type="dxa" w:w="80"/>
              <w:bottom w:type="dxa" w:w="60"/>
              <w:right w:type="dxa" w:w="80"/>
            </w:tcMar>
            <w:vAlign w:val="top"/>
          </w:tcPr>
          <w:p>
            <w:pPr>
              <w:spacing w:after="20"/>
            </w:pPr>
            <w:r>
              <w:rPr>
                <w:sz w:val="18"/>
                <w:szCs w:val="18"/>
              </w:rPr>
              <w:t xml:space="preserve">Title</w:t>
            </w:r>
          </w:p>
        </w:tc>
        <w:tc>
          <w:tcPr>
            <w:tcW w:type="dxa" w:w="3000"/>
            <w:tcMar>
              <w:top w:type="dxa" w:w="60"/>
              <w:left w:type="dxa" w:w="80"/>
              <w:bottom w:type="dxa" w:w="60"/>
              <w:right w:type="dxa" w:w="80"/>
            </w:tcMar>
            <w:vAlign w:val="top"/>
          </w:tcPr>
          <w:p>
            <w:pPr>
              <w:spacing w:after="20"/>
            </w:pPr>
            <w:r>
              <w:rPr>
                <w:sz w:val="18"/>
                <w:szCs w:val="18"/>
              </w:rPr>
              <w:t xml:space="preserve">'Disentangling' promises more than the results give (abstract: 'do not apportion the effect').</w:t>
            </w:r>
          </w:p>
        </w:tc>
        <w:tc>
          <w:tcPr>
            <w:tcW w:type="dxa" w:w="3700"/>
            <w:tcMar>
              <w:top w:type="dxa" w:w="60"/>
              <w:left w:type="dxa" w:w="80"/>
              <w:bottom w:type="dxa" w:w="60"/>
              <w:right w:type="dxa" w:w="80"/>
            </w:tcMar>
            <w:vAlign w:val="top"/>
          </w:tcPr>
          <w:p>
            <w:pPr>
              <w:spacing w:after="20"/>
            </w:pPr>
            <w:r>
              <w:rPr>
                <w:sz w:val="18"/>
                <w:szCs w:val="18"/>
              </w:rPr>
              <w:t xml:space="preserve">e.g. 'Seam Artefacts and Spatial-Context Sensitivity in Brain MRI Tumour Classification: A Multi-Control Spatial Intervention Study'.</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N10</w:t>
            </w:r>
          </w:p>
        </w:tc>
        <w:tc>
          <w:tcPr>
            <w:tcW w:type="dxa" w:w="1500"/>
            <w:tcMar>
              <w:top w:type="dxa" w:w="60"/>
              <w:left w:type="dxa" w:w="80"/>
              <w:bottom w:type="dxa" w:w="60"/>
              <w:right w:type="dxa" w:w="80"/>
            </w:tcMar>
            <w:vAlign w:val="top"/>
          </w:tcPr>
          <w:p>
            <w:pPr>
              <w:spacing w:after="20"/>
            </w:pPr>
            <w:r>
              <w:rPr>
                <w:sz w:val="18"/>
                <w:szCs w:val="18"/>
              </w:rPr>
              <w:t xml:space="preserve">Abstract</w:t>
            </w:r>
          </w:p>
        </w:tc>
        <w:tc>
          <w:tcPr>
            <w:tcW w:type="dxa" w:w="3000"/>
            <w:tcMar>
              <w:top w:type="dxa" w:w="60"/>
              <w:left w:type="dxa" w:w="80"/>
              <w:bottom w:type="dxa" w:w="60"/>
              <w:right w:type="dxa" w:w="80"/>
            </w:tcMar>
            <w:vAlign w:val="top"/>
          </w:tcPr>
          <w:p>
            <w:pPr>
              <w:spacing w:after="20"/>
            </w:pPr>
            <w:r>
              <w:rPr>
                <w:sz w:val="18"/>
                <w:szCs w:val="18"/>
              </w:rPr>
              <w:t xml:space="preserve">'seam suppression did not recover performance' presumes suppression that is unquantified.</w:t>
            </w:r>
          </w:p>
        </w:tc>
        <w:tc>
          <w:tcPr>
            <w:tcW w:type="dxa" w:w="3700"/>
            <w:tcMar>
              <w:top w:type="dxa" w:w="60"/>
              <w:left w:type="dxa" w:w="80"/>
              <w:bottom w:type="dxa" w:w="60"/>
              <w:right w:type="dxa" w:w="80"/>
            </w:tcMar>
            <w:vAlign w:val="top"/>
          </w:tcPr>
          <w:p>
            <w:pPr>
              <w:spacing w:after="20"/>
            </w:pPr>
            <w:r>
              <w:rPr>
                <w:sz w:val="18"/>
                <w:szCs w:val="18"/>
              </w:rPr>
              <w:t xml:space="preserve">After N1 quantify it, or write 'locally blending the seams (residual seam energy not quantified) did not recover performance'.</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N11</w:t>
            </w:r>
          </w:p>
        </w:tc>
        <w:tc>
          <w:tcPr>
            <w:tcW w:type="dxa" w:w="1500"/>
            <w:tcMar>
              <w:top w:type="dxa" w:w="60"/>
              <w:left w:type="dxa" w:w="80"/>
              <w:bottom w:type="dxa" w:w="60"/>
              <w:right w:type="dxa" w:w="80"/>
            </w:tcMar>
            <w:vAlign w:val="top"/>
          </w:tcPr>
          <w:p>
            <w:pPr>
              <w:spacing w:after="20"/>
            </w:pPr>
            <w:r>
              <w:rPr>
                <w:sz w:val="18"/>
                <w:szCs w:val="18"/>
              </w:rPr>
              <w:t xml:space="preserve">Introduction, para 1</w:t>
            </w:r>
          </w:p>
        </w:tc>
        <w:tc>
          <w:tcPr>
            <w:tcW w:type="dxa" w:w="3000"/>
            <w:tcMar>
              <w:top w:type="dxa" w:w="60"/>
              <w:left w:type="dxa" w:w="80"/>
              <w:bottom w:type="dxa" w:w="60"/>
              <w:right w:type="dxa" w:w="80"/>
            </w:tcMar>
            <w:vAlign w:val="top"/>
          </w:tcPr>
          <w:p>
            <w:pPr>
              <w:spacing w:after="20"/>
            </w:pPr>
            <w:r>
              <w:rPr>
                <w:sz w:val="18"/>
                <w:szCs w:val="18"/>
              </w:rPr>
              <w:t xml:space="preserve">'&gt;94% [3, 4, 12]' and expert-level diagnosis '[3, 4]': [3, 4] are the dataset papers (I believe [3] reports about 91%); the abstract of [12] says reported accuracies 'routinely exceed 98%'.</w:t>
            </w:r>
          </w:p>
        </w:tc>
        <w:tc>
          <w:tcPr>
            <w:tcW w:type="dxa" w:w="3700"/>
            <w:tcMar>
              <w:top w:type="dxa" w:w="60"/>
              <w:left w:type="dxa" w:w="80"/>
              <w:bottom w:type="dxa" w:w="60"/>
              <w:right w:type="dxa" w:w="80"/>
            </w:tcMar>
            <w:vAlign w:val="top"/>
          </w:tcPr>
          <w:p>
            <w:pPr>
              <w:spacing w:after="20"/>
            </w:pPr>
            <w:r>
              <w:rPr>
                <w:sz w:val="18"/>
                <w:szCs w:val="18"/>
              </w:rPr>
              <w:t xml:space="preserve">Check the figures in [3]; cite a source that actually reports the number you quote, or reword.</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N12</w:t>
            </w:r>
          </w:p>
        </w:tc>
        <w:tc>
          <w:tcPr>
            <w:tcW w:type="dxa" w:w="1500"/>
            <w:tcMar>
              <w:top w:type="dxa" w:w="60"/>
              <w:left w:type="dxa" w:w="80"/>
              <w:bottom w:type="dxa" w:w="60"/>
              <w:right w:type="dxa" w:w="80"/>
            </w:tcMar>
            <w:vAlign w:val="top"/>
          </w:tcPr>
          <w:p>
            <w:pPr>
              <w:spacing w:after="20"/>
            </w:pPr>
            <w:r>
              <w:rPr>
                <w:sz w:val="18"/>
                <w:szCs w:val="18"/>
              </w:rPr>
              <w:t xml:space="preserve">4.3 vs 5.2</w:t>
            </w:r>
          </w:p>
        </w:tc>
        <w:tc>
          <w:tcPr>
            <w:tcW w:type="dxa" w:w="3000"/>
            <w:tcMar>
              <w:top w:type="dxa" w:w="60"/>
              <w:left w:type="dxa" w:w="80"/>
              <w:bottom w:type="dxa" w:w="60"/>
              <w:right w:type="dxa" w:w="80"/>
            </w:tcMar>
            <w:vAlign w:val="top"/>
          </w:tcPr>
          <w:p>
            <w:pPr>
              <w:spacing w:after="20"/>
            </w:pPr>
            <w:r>
              <w:rPr>
                <w:sz w:val="18"/>
                <w:szCs w:val="18"/>
              </w:rPr>
              <w:t xml:space="preserve">C4b/C3 ratio in S2 is written 0.17 in 4.3 and 0.18 in 5.2; exact value 0.1746.</w:t>
            </w:r>
          </w:p>
        </w:tc>
        <w:tc>
          <w:tcPr>
            <w:tcW w:type="dxa" w:w="3700"/>
            <w:tcMar>
              <w:top w:type="dxa" w:w="60"/>
              <w:left w:type="dxa" w:w="80"/>
              <w:bottom w:type="dxa" w:w="60"/>
              <w:right w:type="dxa" w:w="80"/>
            </w:tcMar>
            <w:vAlign w:val="top"/>
          </w:tcPr>
          <w:p>
            <w:pPr>
              <w:spacing w:after="20"/>
            </w:pPr>
            <w:r>
              <w:rPr>
                <w:sz w:val="18"/>
                <w:szCs w:val="18"/>
              </w:rPr>
              <w:t xml:space="preserve">Use 0.17 in both.</w:t>
            </w:r>
          </w:p>
        </w:tc>
        <w:tc>
          <w:tcPr>
            <w:tcW w:type="dxa" w:w="8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N13</w:t>
            </w:r>
          </w:p>
        </w:tc>
        <w:tc>
          <w:tcPr>
            <w:tcW w:type="dxa" w:w="1500"/>
            <w:tcMar>
              <w:top w:type="dxa" w:w="60"/>
              <w:left w:type="dxa" w:w="80"/>
              <w:bottom w:type="dxa" w:w="60"/>
              <w:right w:type="dxa" w:w="80"/>
            </w:tcMar>
            <w:vAlign w:val="top"/>
          </w:tcPr>
          <w:p>
            <w:pPr>
              <w:spacing w:after="20"/>
            </w:pPr>
            <w:r>
              <w:rPr>
                <w:sz w:val="18"/>
                <w:szCs w:val="18"/>
              </w:rPr>
              <w:t xml:space="preserve">Figs 5, 6 vs text</w:t>
            </w:r>
          </w:p>
        </w:tc>
        <w:tc>
          <w:tcPr>
            <w:tcW w:type="dxa" w:w="3000"/>
            <w:tcMar>
              <w:top w:type="dxa" w:w="60"/>
              <w:left w:type="dxa" w:w="80"/>
              <w:bottom w:type="dxa" w:w="60"/>
              <w:right w:type="dxa" w:w="80"/>
            </w:tcMar>
            <w:vAlign w:val="top"/>
          </w:tcPr>
          <w:p>
            <w:pPr>
              <w:spacing w:after="20"/>
            </w:pPr>
            <w:r>
              <w:rPr>
                <w:sz w:val="18"/>
                <w:szCs w:val="18"/>
              </w:rPr>
              <w:t xml:space="preserve">Legends use alpha = 1.0 / 1.8; text and equations use gamma.</w:t>
            </w:r>
          </w:p>
        </w:tc>
        <w:tc>
          <w:tcPr>
            <w:tcW w:type="dxa" w:w="3700"/>
            <w:tcMar>
              <w:top w:type="dxa" w:w="60"/>
              <w:left w:type="dxa" w:w="80"/>
              <w:bottom w:type="dxa" w:w="60"/>
              <w:right w:type="dxa" w:w="80"/>
            </w:tcMar>
            <w:vAlign w:val="top"/>
          </w:tcPr>
          <w:p>
            <w:pPr>
              <w:spacing w:after="20"/>
            </w:pPr>
            <w:r>
              <w:rPr>
                <w:sz w:val="18"/>
                <w:szCs w:val="18"/>
              </w:rPr>
              <w:t xml:space="preserve">Use gamma everywhere.</w:t>
            </w:r>
          </w:p>
        </w:tc>
        <w:tc>
          <w:tcPr>
            <w:tcW w:type="dxa" w:w="8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N14</w:t>
            </w:r>
          </w:p>
        </w:tc>
        <w:tc>
          <w:tcPr>
            <w:tcW w:type="dxa" w:w="1500"/>
            <w:tcMar>
              <w:top w:type="dxa" w:w="60"/>
              <w:left w:type="dxa" w:w="80"/>
              <w:bottom w:type="dxa" w:w="60"/>
              <w:right w:type="dxa" w:w="80"/>
            </w:tcMar>
            <w:vAlign w:val="top"/>
          </w:tcPr>
          <w:p>
            <w:pPr>
              <w:spacing w:after="20"/>
            </w:pPr>
            <w:r>
              <w:rPr>
                <w:sz w:val="18"/>
                <w:szCs w:val="18"/>
              </w:rPr>
              <w:t xml:space="preserve">Algorithm 1</w:t>
            </w:r>
          </w:p>
        </w:tc>
        <w:tc>
          <w:tcPr>
            <w:tcW w:type="dxa" w:w="3000"/>
            <w:tcMar>
              <w:top w:type="dxa" w:w="60"/>
              <w:left w:type="dxa" w:w="80"/>
              <w:bottom w:type="dxa" w:w="60"/>
              <w:right w:type="dxa" w:w="80"/>
            </w:tcMar>
            <w:vAlign w:val="top"/>
          </w:tcPr>
          <w:p>
            <w:pPr>
              <w:spacing w:after="20"/>
            </w:pPr>
            <w:r>
              <w:rPr>
                <w:sz w:val="18"/>
                <w:szCs w:val="18"/>
              </w:rPr>
              <w:t xml:space="preserve">Line numbering starts at 2.</w:t>
            </w:r>
          </w:p>
        </w:tc>
        <w:tc>
          <w:tcPr>
            <w:tcW w:type="dxa" w:w="3700"/>
            <w:tcMar>
              <w:top w:type="dxa" w:w="60"/>
              <w:left w:type="dxa" w:w="80"/>
              <w:bottom w:type="dxa" w:w="60"/>
              <w:right w:type="dxa" w:w="80"/>
            </w:tcMar>
            <w:vAlign w:val="top"/>
          </w:tcPr>
          <w:p>
            <w:pPr>
              <w:spacing w:after="20"/>
            </w:pPr>
            <w:r>
              <w:rPr>
                <w:sz w:val="18"/>
                <w:szCs w:val="18"/>
              </w:rPr>
              <w:t xml:space="preserve">Renumber (cosmetic).</w:t>
            </w:r>
          </w:p>
        </w:tc>
        <w:tc>
          <w:tcPr>
            <w:tcW w:type="dxa" w:w="8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N15</w:t>
            </w:r>
          </w:p>
        </w:tc>
        <w:tc>
          <w:tcPr>
            <w:tcW w:type="dxa" w:w="1500"/>
            <w:tcMar>
              <w:top w:type="dxa" w:w="60"/>
              <w:left w:type="dxa" w:w="80"/>
              <w:bottom w:type="dxa" w:w="60"/>
              <w:right w:type="dxa" w:w="80"/>
            </w:tcMar>
            <w:vAlign w:val="top"/>
          </w:tcPr>
          <w:p>
            <w:pPr>
              <w:spacing w:after="20"/>
            </w:pPr>
            <w:r>
              <w:rPr>
                <w:sz w:val="18"/>
                <w:szCs w:val="18"/>
              </w:rPr>
              <w:t xml:space="preserve">Author block, ref. [25]</w:t>
            </w:r>
          </w:p>
        </w:tc>
        <w:tc>
          <w:tcPr>
            <w:tcW w:type="dxa" w:w="3000"/>
            <w:tcMar>
              <w:top w:type="dxa" w:w="60"/>
              <w:left w:type="dxa" w:w="80"/>
              <w:bottom w:type="dxa" w:w="60"/>
              <w:right w:type="dxa" w:w="80"/>
            </w:tcMar>
            <w:vAlign w:val="top"/>
          </w:tcPr>
          <w:p>
            <w:pPr>
              <w:spacing w:after="20"/>
            </w:pPr>
            <w:r>
              <w:rPr>
                <w:sz w:val="18"/>
                <w:szCs w:val="18"/>
              </w:rPr>
              <w:t xml:space="preserve">[25] credits a GitHub username as author; first author is a single name; two e-mail addresses.</w:t>
            </w:r>
          </w:p>
        </w:tc>
        <w:tc>
          <w:tcPr>
            <w:tcW w:type="dxa" w:w="3700"/>
            <w:tcMar>
              <w:top w:type="dxa" w:w="60"/>
              <w:left w:type="dxa" w:w="80"/>
              <w:bottom w:type="dxa" w:w="60"/>
              <w:right w:type="dxa" w:w="80"/>
            </w:tcMar>
            <w:vAlign w:val="top"/>
          </w:tcPr>
          <w:p>
            <w:pPr>
              <w:spacing w:after="20"/>
            </w:pPr>
            <w:r>
              <w:rPr>
                <w:sz w:val="18"/>
                <w:szCs w:val="18"/>
              </w:rPr>
              <w:t xml:space="preserve">Cite the Zenodo release with the authors' real names; give full given and family names; one corresponding e-mail.</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N16</w:t>
            </w:r>
          </w:p>
        </w:tc>
        <w:tc>
          <w:tcPr>
            <w:tcW w:type="dxa" w:w="1500"/>
            <w:tcMar>
              <w:top w:type="dxa" w:w="60"/>
              <w:left w:type="dxa" w:w="80"/>
              <w:bottom w:type="dxa" w:w="60"/>
              <w:right w:type="dxa" w:w="80"/>
            </w:tcMar>
            <w:vAlign w:val="top"/>
          </w:tcPr>
          <w:p>
            <w:pPr>
              <w:spacing w:after="20"/>
            </w:pPr>
            <w:r>
              <w:rPr>
                <w:sz w:val="18"/>
                <w:szCs w:val="18"/>
              </w:rPr>
              <w:t xml:space="preserve">3.11, Limitations</w:t>
            </w:r>
          </w:p>
        </w:tc>
        <w:tc>
          <w:tcPr>
            <w:tcW w:type="dxa" w:w="3000"/>
            <w:tcMar>
              <w:top w:type="dxa" w:w="60"/>
              <w:left w:type="dxa" w:w="80"/>
              <w:bottom w:type="dxa" w:w="60"/>
              <w:right w:type="dxa" w:w="80"/>
            </w:tcMar>
            <w:vAlign w:val="top"/>
          </w:tcPr>
          <w:p>
            <w:pPr>
              <w:spacing w:after="20"/>
            </w:pPr>
            <w:r>
              <w:rPr>
                <w:sz w:val="18"/>
                <w:szCs w:val="18"/>
              </w:rPr>
              <w:t xml:space="preserve">Results come from a PyTorch development build that cannot be reinstalled.</w:t>
            </w:r>
          </w:p>
        </w:tc>
        <w:tc>
          <w:tcPr>
            <w:tcW w:type="dxa" w:w="3700"/>
            <w:tcMar>
              <w:top w:type="dxa" w:w="60"/>
              <w:left w:type="dxa" w:w="80"/>
              <w:bottom w:type="dxa" w:w="60"/>
              <w:right w:type="dxa" w:w="80"/>
            </w:tcMar>
            <w:vAlign w:val="top"/>
          </w:tcPr>
          <w:p>
            <w:pPr>
              <w:spacing w:after="20"/>
            </w:pPr>
            <w:r>
              <w:rPr>
                <w:sz w:val="18"/>
                <w:szCs w:val="18"/>
              </w:rPr>
              <w:t xml:space="preserve">If time permits, rerun on a stable release with pinned requirements; otherwise keep the disclosure and publish checkpoints and predictions so the inference results can be checked.</w:t>
            </w:r>
          </w:p>
        </w:tc>
        <w:tc>
          <w:tcPr>
            <w:tcW w:type="dxa" w:w="8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N17</w:t>
            </w:r>
          </w:p>
        </w:tc>
        <w:tc>
          <w:tcPr>
            <w:tcW w:type="dxa" w:w="1500"/>
            <w:tcMar>
              <w:top w:type="dxa" w:w="60"/>
              <w:left w:type="dxa" w:w="80"/>
              <w:bottom w:type="dxa" w:w="60"/>
              <w:right w:type="dxa" w:w="80"/>
            </w:tcMar>
            <w:vAlign w:val="top"/>
          </w:tcPr>
          <w:p>
            <w:pPr>
              <w:spacing w:after="20"/>
            </w:pPr>
            <w:r>
              <w:rPr>
                <w:sz w:val="18"/>
                <w:szCs w:val="18"/>
              </w:rPr>
              <w:t xml:space="preserve">Related work</w:t>
            </w:r>
          </w:p>
        </w:tc>
        <w:tc>
          <w:tcPr>
            <w:tcW w:type="dxa" w:w="3000"/>
            <w:tcMar>
              <w:top w:type="dxa" w:w="60"/>
              <w:left w:type="dxa" w:w="80"/>
              <w:bottom w:type="dxa" w:w="60"/>
              <w:right w:type="dxa" w:w="80"/>
            </w:tcMar>
            <w:vAlign w:val="top"/>
          </w:tcPr>
          <w:p>
            <w:pPr>
              <w:spacing w:after="20"/>
            </w:pPr>
            <w:r>
              <w:rPr>
                <w:sz w:val="18"/>
                <w:szCs w:val="18"/>
              </w:rPr>
              <w:t xml:space="preserve">Close prior work on this very kind of bias is not cited: 'Clever Hans effect found in a widely used brain tumour MRI dataset' (bias from radiologist slice selection) and Yagis et al., 'Effect of data leakage in brain MRI classification using 2D CNNs'.</w:t>
            </w:r>
          </w:p>
        </w:tc>
        <w:tc>
          <w:tcPr>
            <w:tcW w:type="dxa" w:w="3700"/>
            <w:tcMar>
              <w:top w:type="dxa" w:w="60"/>
              <w:left w:type="dxa" w:w="80"/>
              <w:bottom w:type="dxa" w:w="60"/>
              <w:right w:type="dxa" w:w="80"/>
            </w:tcMar>
            <w:vAlign w:val="top"/>
          </w:tcPr>
          <w:p>
            <w:pPr>
              <w:spacing w:after="20"/>
            </w:pPr>
            <w:r>
              <w:rPr>
                <w:sz w:val="18"/>
                <w:szCs w:val="18"/>
              </w:rPr>
              <w:t xml:space="preserve">Read both; if they concern the Cheng data, cite them in 2.1, 2.3 and 5.4 (supports your plane/confound limitation).</w:t>
            </w:r>
          </w:p>
        </w:tc>
        <w:tc>
          <w:tcPr>
            <w:tcW w:type="dxa" w:w="8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N18</w:t>
            </w:r>
          </w:p>
        </w:tc>
        <w:tc>
          <w:tcPr>
            <w:tcW w:type="dxa" w:w="1500"/>
            <w:tcMar>
              <w:top w:type="dxa" w:w="60"/>
              <w:left w:type="dxa" w:w="80"/>
              <w:bottom w:type="dxa" w:w="60"/>
              <w:right w:type="dxa" w:w="80"/>
            </w:tcMar>
            <w:vAlign w:val="top"/>
          </w:tcPr>
          <w:p>
            <w:pPr>
              <w:spacing w:after="20"/>
            </w:pPr>
            <w:r>
              <w:rPr>
                <w:sz w:val="18"/>
                <w:szCs w:val="18"/>
              </w:rPr>
              <w:t xml:space="preserve">Data availability</w:t>
            </w:r>
          </w:p>
        </w:tc>
        <w:tc>
          <w:tcPr>
            <w:tcW w:type="dxa" w:w="3000"/>
            <w:tcMar>
              <w:top w:type="dxa" w:w="60"/>
              <w:left w:type="dxa" w:w="80"/>
              <w:bottom w:type="dxa" w:w="60"/>
              <w:right w:type="dxa" w:w="80"/>
            </w:tcMar>
            <w:vAlign w:val="top"/>
          </w:tcPr>
          <w:p>
            <w:pPr>
              <w:spacing w:after="20"/>
            </w:pPr>
            <w:r>
              <w:rPr>
                <w:sz w:val="18"/>
                <w:szCs w:val="18"/>
              </w:rPr>
              <w:t xml:space="preserve">'Used in accordance with its licensing conditions' without naming the licence.</w:t>
            </w:r>
          </w:p>
        </w:tc>
        <w:tc>
          <w:tcPr>
            <w:tcW w:type="dxa" w:w="3700"/>
            <w:tcMar>
              <w:top w:type="dxa" w:w="60"/>
              <w:left w:type="dxa" w:w="80"/>
              <w:bottom w:type="dxa" w:w="60"/>
              <w:right w:type="dxa" w:w="80"/>
            </w:tcMar>
            <w:vAlign w:val="top"/>
          </w:tcPr>
          <w:p>
            <w:pPr>
              <w:spacing w:after="20"/>
            </w:pPr>
            <w:r>
              <w:rPr>
                <w:sz w:val="18"/>
                <w:szCs w:val="18"/>
              </w:rPr>
              <w:t xml:space="preserve">State the Figshare licence.</w:t>
            </w:r>
          </w:p>
        </w:tc>
        <w:tc>
          <w:tcPr>
            <w:tcW w:type="dxa" w:w="800"/>
            <w:shd w:fill="DDEBF7" w:val="clear"/>
            <w:tcMar>
              <w:top w:type="dxa" w:w="60"/>
              <w:left w:type="dxa" w:w="80"/>
              <w:bottom w:type="dxa" w:w="60"/>
              <w:right w:type="dxa" w:w="80"/>
            </w:tcMar>
            <w:vAlign w:val="top"/>
          </w:tcPr>
          <w:p>
            <w:pPr>
              <w:spacing w:after="20"/>
            </w:pPr>
            <w:r>
              <w:rPr>
                <w:b/>
                <w:bCs/>
                <w:sz w:val="18"/>
                <w:szCs w:val="18"/>
              </w:rPr>
              <w:t xml:space="preserve">P3</w:t>
            </w:r>
          </w:p>
        </w:tc>
      </w:tr>
    </w:tbl>
    <w:p>
      <w:pPr>
        <w:pStyle w:val="Heading1"/>
        <w:spacing w:after="120" w:before="280"/>
      </w:pPr>
      <w:r>
        <w:t xml:space="preserve">C. What I verified, and what I could not</w:t>
      </w:r>
    </w:p>
    <w:p>
      <w:pPr>
        <w:pStyle w:val="ListParagraph"/>
        <w:numPr>
          <w:ilvl w:val="0"/>
          <w:numId w:val="1"/>
        </w:numPr>
        <w:spacing w:after="60"/>
      </w:pPr>
      <w:r>
        <w:rPr>
          <w:b/>
          <w:bCs/>
          <w:sz w:val="21"/>
          <w:szCs w:val="21"/>
        </w:rPr>
        <w:t xml:space="preserve">Verified:</w:t>
      </w:r>
      <w:r>
        <w:rPr>
          <w:sz w:val="21"/>
          <w:szCs w:val="21"/>
        </w:rPr>
        <w:t xml:space="preserve"> all 18 Macro-F1 and balanced-accuracy values (Table 6) and Table 5 (accuracy, class F1) recomputed from the Table A2 confusion matrices; Table 8 recalls and precisions; Table 7 deltas vs Table 6; the Holm-adjusted values (12 x 8.0e-5 = 9.6e-4; 3 x 8.0e-5 = 2.4e-4; 0.2656 = 2 x 0.1328); fold sizes sum to 3,064; fold-level ranges quoted in 4.7 vs Table A1; the majority-class Macro-F1 of 0.21 and kappa = 0.72; every reference cited and listed; tables 1-10 and figures 1-10 all defined; Figs 5, 6 and 10 against the tables; reference [12] exists (title and arXiv ID).</w:t>
      </w:r>
    </w:p>
    <w:p>
      <w:pPr>
        <w:pStyle w:val="ListParagraph"/>
        <w:numPr>
          <w:ilvl w:val="0"/>
          <w:numId w:val="1"/>
        </w:numPr>
        <w:spacing w:after="60"/>
      </w:pPr>
      <w:r>
        <w:rPr>
          <w:b/>
          <w:bCs/>
          <w:sz w:val="21"/>
          <w:szCs w:val="21"/>
        </w:rPr>
        <w:t xml:space="preserve">Not verified:</w:t>
      </w:r>
      <w:r>
        <w:rPr>
          <w:sz w:val="21"/>
          <w:szCs w:val="21"/>
        </w:rPr>
        <w:t xml:space="preserve"> the raw prediction files, the GitHub repository and Zenodo record, the 178-test result, the Python and PyTorch versions, the author list of [12], and the bibliographic details of references other than [12]. The numbers are therefore checked for internal consistency, not against the original outputs.</w:t>
      </w:r>
    </w:p>
    <w:p>
      <w:pPr>
        <w:pStyle w:val="Heading1"/>
        <w:spacing w:after="120" w:before="280"/>
      </w:pPr>
      <w:r>
        <w:t xml:space="preserve">D. Suggested order of work</w:t>
      </w:r>
    </w:p>
    <w:p>
      <w:pPr>
        <w:pStyle w:val="ListParagraph"/>
        <w:numPr>
          <w:ilvl w:val="0"/>
          <w:numId w:val="1"/>
        </w:numPr>
        <w:spacing w:after="60"/>
      </w:pPr>
      <w:r>
        <w:rPr>
          <w:sz w:val="21"/>
          <w:szCs w:val="21"/>
        </w:rPr>
        <w:t xml:space="preserve">Rerun the C2 diagnostics (N1) and rewrite 4.6, 5.2, Limitations and the abstract sentence accordingly.</w:t>
      </w:r>
    </w:p>
    <w:p>
      <w:pPr>
        <w:pStyle w:val="ListParagraph"/>
        <w:numPr>
          <w:ilvl w:val="0"/>
          <w:numId w:val="1"/>
        </w:numPr>
        <w:spacing w:after="60"/>
      </w:pPr>
      <w:r>
        <w:rPr>
          <w:sz w:val="21"/>
          <w:szCs w:val="21"/>
        </w:rPr>
        <w:t xml:space="preserve">Delete Appendix B, the 'Open items' bullet and every draft-state phrase (N2-N4); run a text search for: draft, pending, withheld, provisionally, to be, bracket characters.</w:t>
      </w:r>
    </w:p>
    <w:p>
      <w:pPr>
        <w:pStyle w:val="ListParagraph"/>
        <w:numPr>
          <w:ilvl w:val="0"/>
          <w:numId w:val="1"/>
        </w:numPr>
        <w:spacing w:after="60"/>
      </w:pPr>
      <w:r>
        <w:rPr>
          <w:sz w:val="21"/>
          <w:szCs w:val="21"/>
        </w:rPr>
        <w:t xml:space="preserve">Finish Declarations: contributions, acknowledgements, Generative-AI statement, ORCID, names, corresponding e-mail (N5, N6, N15).</w:t>
      </w:r>
    </w:p>
    <w:p>
      <w:pPr>
        <w:pStyle w:val="ListParagraph"/>
        <w:numPr>
          <w:ilvl w:val="0"/>
          <w:numId w:val="1"/>
        </w:numPr>
        <w:spacing w:after="60"/>
      </w:pPr>
      <w:r>
        <w:rPr>
          <w:sz w:val="21"/>
          <w:szCs w:val="21"/>
        </w:rPr>
        <w:t xml:space="preserve">Fix Eq. 13, title, abstract wording, the introduction citation, ratio and notation inconsistencies (N8-N13).</w:t>
      </w:r>
    </w:p>
    <w:p>
      <w:pPr>
        <w:pStyle w:val="ListParagraph"/>
        <w:numPr>
          <w:ilvl w:val="0"/>
          <w:numId w:val="1"/>
        </w:numPr>
        <w:spacing w:after="60"/>
      </w:pPr>
      <w:r>
        <w:rPr>
          <w:sz w:val="21"/>
          <w:szCs w:val="21"/>
        </w:rPr>
        <w:t xml:space="preserve">Reconcile the Zenodo release with the final artifacts, then choose the journal and its reference style.</w:t>
      </w:r>
    </w:p>
    <w:p>
      <w:pPr>
        <w:spacing w:after="100"/>
      </w:pPr>
      <w:r>
        <w:rPr>
          <w:sz w:val="21"/>
          <w:szCs w:val="21"/>
        </w:rPr>
        <w:t xml:space="preserve">After these steps, run the same numeric consistency check once more on the final file, and have both authors read the PDF end to end.</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2026-10-23T07:00:50.876Z</dcterms:created>
  <dcterms:modified xsi:type="dcterms:W3CDTF">2026-10-23T07:00:50.876Z</dcterms:modified>
</cp:coreProperties>
</file>

<file path=docProps/custom.xml><?xml version="1.0" encoding="utf-8"?>
<Properties xmlns="http://schemas.openxmlformats.org/officeDocument/2006/custom-properties" xmlns:vt="http://schemas.openxmlformats.org/officeDocument/2006/docPropsVTypes"/>
</file>