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Audit: Brain Tumour MRI Counterfactual Audit manuscript</w:t>
      </w:r>
    </w:p>
    <w:p>
      <w:pPr>
        <w:spacing w:after="100"/>
      </w:pPr>
      <w:r>
        <w:rPr>
          <w:sz w:val="21"/>
          <w:szCs w:val="21"/>
        </w:rPr>
        <w:t xml:space="preserve">File: Brain_Tumour_MRI_Counterfactual_Audit_Manuscript_Format.docx. This is a new paper (ResNet-50 and DeiT-Small, Cheng and BRISC, sham-controlled counterfactual edits), not a revision of the v3 manuscript. Checked against the 12-point checklist and the earlier rejections.</w:t>
      </w:r>
    </w:p>
    <w:p>
      <w:pPr>
        <w:pStyle w:val="Heading1"/>
        <w:spacing w:after="120" w:before="280"/>
      </w:pPr>
      <w:r>
        <w:t xml:space="preserve">Verdict</w:t>
      </w:r>
    </w:p>
    <w:p>
      <w:pPr>
        <w:spacing w:after="100"/>
      </w:pPr>
      <w:r>
        <w:rPr>
          <w:b/>
          <w:bCs/>
          <w:sz w:val="21"/>
          <w:szCs w:val="21"/>
        </w:rPr>
        <w:t xml:space="preserve">Not ready to submit.</w:t>
      </w:r>
      <w:r>
        <w:rPr>
          <w:sz w:val="21"/>
          <w:szCs w:val="21"/>
        </w:rPr>
        <w:t xml:space="preserve"> The design is good and the writing is careful: a sham control, patient-isolated folds, honest limitations, a duplicate audit, and Holm values that I recomputed and found correct. Of the 12 checks, 3 are addressed, 4 partly, 4 not addressed and 1 does not apply. Five items block submission (F1-F5): two sets of numbers that disagree with each other (the clean-subset results; Tables 3 and 4 against Table 2), placeholders and process wording still in the text, and no Generative-AI statement. Most of the remaining findings need re-analysis of existing outputs, not new data; the exception is F6 (weak baselines), which needs retraining.</w:t>
      </w:r>
    </w:p>
    <w:p>
      <w:pPr>
        <w:pStyle w:val="Heading1"/>
        <w:spacing w:after="120" w:before="280"/>
      </w:pPr>
      <w:r>
        <w:t xml:space="preserve">A. Checklist (C1-C12)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300"/>
        <w:gridCol w:w="5700"/>
      </w:tblGrid>
      <w:tr>
        <w:trPr>
          <w:tblHeader/>
        </w:trPr>
        <w:tc>
          <w:tcPr>
            <w:tcW w:type="dxa" w:w="600"/>
            <w:shd w:fill="1F3864" w:val="clear"/>
            <w:tcMar>
              <w:top w:type="dxa" w:w="60"/>
              <w:left w:type="dxa" w:w="80"/>
              <w:bottom w:type="dxa" w:w="60"/>
              <w:right w:type="dxa" w:w="80"/>
            </w:tcMar>
            <w:vAlign w:val="top"/>
          </w:tcPr>
          <w:p>
            <w:pPr>
              <w:spacing w:after="20"/>
            </w:pPr>
            <w:r>
              <w:rPr>
                <w:b/>
                <w:bCs/>
                <w:color w:val="FFFFFF"/>
                <w:sz w:val="18"/>
                <w:szCs w:val="18"/>
              </w:rPr>
              <w:t xml:space="preserve">ID</w:t>
            </w:r>
          </w:p>
        </w:tc>
        <w:tc>
          <w:tcPr>
            <w:tcW w:type="dxa" w:w="2000"/>
            <w:shd w:fill="1F3864" w:val="clear"/>
            <w:tcMar>
              <w:top w:type="dxa" w:w="60"/>
              <w:left w:type="dxa" w:w="80"/>
              <w:bottom w:type="dxa" w:w="60"/>
              <w:right w:type="dxa" w:w="80"/>
            </w:tcMar>
            <w:vAlign w:val="top"/>
          </w:tcPr>
          <w:p>
            <w:pPr>
              <w:spacing w:after="20"/>
            </w:pPr>
            <w:r>
              <w:rPr>
                <w:b/>
                <w:bCs/>
                <w:color w:val="FFFFFF"/>
                <w:sz w:val="18"/>
                <w:szCs w:val="18"/>
              </w:rPr>
              <w:t xml:space="preserve">Issue</w:t>
            </w:r>
          </w:p>
        </w:tc>
        <w:tc>
          <w:tcPr>
            <w:tcW w:type="dxa" w:w="1300"/>
            <w:shd w:fill="1F3864" w:val="clear"/>
            <w:tcMar>
              <w:top w:type="dxa" w:w="60"/>
              <w:left w:type="dxa" w:w="80"/>
              <w:bottom w:type="dxa" w:w="60"/>
              <w:right w:type="dxa" w:w="80"/>
            </w:tcMar>
            <w:vAlign w:val="top"/>
          </w:tcPr>
          <w:p>
            <w:pPr>
              <w:spacing w:after="20"/>
            </w:pPr>
            <w:r>
              <w:rPr>
                <w:b/>
                <w:bCs/>
                <w:color w:val="FFFFFF"/>
                <w:sz w:val="18"/>
                <w:szCs w:val="18"/>
              </w:rPr>
              <w:t xml:space="preserve">Status</w:t>
            </w:r>
          </w:p>
        </w:tc>
        <w:tc>
          <w:tcPr>
            <w:tcW w:type="dxa" w:w="5700"/>
            <w:shd w:fill="1F3864" w:val="clear"/>
            <w:tcMar>
              <w:top w:type="dxa" w:w="60"/>
              <w:left w:type="dxa" w:w="80"/>
              <w:bottom w:type="dxa" w:w="60"/>
              <w:right w:type="dxa" w:w="80"/>
            </w:tcMar>
            <w:vAlign w:val="top"/>
          </w:tcPr>
          <w:p>
            <w:pPr>
              <w:spacing w:after="20"/>
            </w:pPr>
            <w:r>
              <w:rPr>
                <w:b/>
                <w:bCs/>
                <w:color w:val="FFFFFF"/>
                <w:sz w:val="18"/>
                <w:szCs w:val="18"/>
              </w:rPr>
              <w:t xml:space="preserve">Evidence</w:t>
            </w:r>
          </w:p>
        </w:tc>
      </w:tr>
      <w:tr>
        <w:trPr>
          <w:cantSplit/>
        </w:trPr>
        <w:tc>
          <w:tcPr>
            <w:tcW w:type="dxa" w:w="600"/>
            <w:tcMar>
              <w:top w:type="dxa" w:w="60"/>
              <w:left w:type="dxa" w:w="80"/>
              <w:bottom w:type="dxa" w:w="60"/>
              <w:right w:type="dxa" w:w="80"/>
            </w:tcMar>
            <w:vAlign w:val="top"/>
          </w:tcPr>
          <w:p>
            <w:pPr>
              <w:spacing w:after="20"/>
            </w:pPr>
            <w:r>
              <w:rPr>
                <w:sz w:val="18"/>
                <w:szCs w:val="18"/>
              </w:rPr>
              <w:t xml:space="preserve">C1</w:t>
            </w:r>
          </w:p>
        </w:tc>
        <w:tc>
          <w:tcPr>
            <w:tcW w:type="dxa" w:w="2000"/>
            <w:tcMar>
              <w:top w:type="dxa" w:w="60"/>
              <w:left w:type="dxa" w:w="80"/>
              <w:bottom w:type="dxa" w:w="60"/>
              <w:right w:type="dxa" w:w="80"/>
            </w:tcMar>
            <w:vAlign w:val="top"/>
          </w:tcPr>
          <w:p>
            <w:pPr>
              <w:spacing w:after="20"/>
            </w:pPr>
            <w:r>
              <w:rPr>
                <w:sz w:val="18"/>
                <w:szCs w:val="18"/>
              </w:rPr>
              <w:t xml:space="preserve">Novelty overclaim</w:t>
            </w:r>
          </w:p>
        </w:tc>
        <w:tc>
          <w:tcPr>
            <w:tcW w:type="dxa" w:w="1300"/>
            <w:shd w:fill="FFE699" w:val="clear"/>
            <w:tcMar>
              <w:top w:type="dxa" w:w="60"/>
              <w:left w:type="dxa" w:w="80"/>
              <w:bottom w:type="dxa" w:w="60"/>
              <w:right w:type="dxa" w:w="80"/>
            </w:tcMar>
            <w:vAlign w:val="top"/>
          </w:tcPr>
          <w:p>
            <w:pPr>
              <w:spacing w:after="20"/>
            </w:pPr>
            <w:r>
              <w:rPr>
                <w:b/>
                <w:bCs/>
                <w:sz w:val="18"/>
                <w:szCs w:val="18"/>
              </w:rPr>
              <w:t xml:space="preserve">PARTLY</w:t>
            </w:r>
          </w:p>
        </w:tc>
        <w:tc>
          <w:tcPr>
            <w:tcW w:type="dxa" w:w="5700"/>
            <w:tcMar>
              <w:top w:type="dxa" w:w="60"/>
              <w:left w:type="dxa" w:w="80"/>
              <w:bottom w:type="dxa" w:w="60"/>
              <w:right w:type="dxa" w:w="80"/>
            </w:tcMar>
            <w:vAlign w:val="top"/>
          </w:tcPr>
          <w:p>
            <w:pPr>
              <w:spacing w:after="20"/>
            </w:pPr>
            <w:r>
              <w:rPr>
                <w:sz w:val="18"/>
                <w:szCs w:val="18"/>
              </w:rPr>
              <w:t xml:space="preserve">Framed as an audit; no new-method claim. But the Introduction says prior studies 'evaluated CNNs exclusively, omitting Vision Transformers' and 'lacked matched contralateral controls': a sweeping claim (F9d).</w:t>
            </w:r>
          </w:p>
        </w:tc>
      </w:tr>
      <w:tr>
        <w:trPr>
          <w:cantSplit/>
        </w:trPr>
        <w:tc>
          <w:tcPr>
            <w:tcW w:type="dxa" w:w="600"/>
            <w:tcMar>
              <w:top w:type="dxa" w:w="60"/>
              <w:left w:type="dxa" w:w="80"/>
              <w:bottom w:type="dxa" w:w="60"/>
              <w:right w:type="dxa" w:w="80"/>
            </w:tcMar>
            <w:vAlign w:val="top"/>
          </w:tcPr>
          <w:p>
            <w:pPr>
              <w:spacing w:after="20"/>
            </w:pPr>
            <w:r>
              <w:rPr>
                <w:sz w:val="18"/>
                <w:szCs w:val="18"/>
              </w:rPr>
              <w:t xml:space="preserve">C2</w:t>
            </w:r>
          </w:p>
        </w:tc>
        <w:tc>
          <w:tcPr>
            <w:tcW w:type="dxa" w:w="2000"/>
            <w:tcMar>
              <w:top w:type="dxa" w:w="60"/>
              <w:left w:type="dxa" w:w="80"/>
              <w:bottom w:type="dxa" w:w="60"/>
              <w:right w:type="dxa" w:w="80"/>
            </w:tcMar>
            <w:vAlign w:val="top"/>
          </w:tcPr>
          <w:p>
            <w:pPr>
              <w:spacing w:after="20"/>
            </w:pPr>
            <w:r>
              <w:rPr>
                <w:sz w:val="18"/>
                <w:szCs w:val="18"/>
              </w:rPr>
              <w:t xml:space="preserve">Data leakage</w:t>
            </w:r>
          </w:p>
        </w:tc>
        <w:tc>
          <w:tcPr>
            <w:tcW w:type="dxa" w:w="1300"/>
            <w:shd w:fill="C6E0B4" w:val="clear"/>
            <w:tcMar>
              <w:top w:type="dxa" w:w="60"/>
              <w:left w:type="dxa" w:w="80"/>
              <w:bottom w:type="dxa" w:w="60"/>
              <w:right w:type="dxa" w:w="80"/>
            </w:tcMar>
            <w:vAlign w:val="top"/>
          </w:tcPr>
          <w:p>
            <w:pPr>
              <w:spacing w:after="20"/>
            </w:pPr>
            <w:r>
              <w:rPr>
                <w:b/>
                <w:bCs/>
                <w:sz w:val="18"/>
                <w:szCs w:val="18"/>
              </w:rPr>
              <w:t xml:space="preserve">ADDRESSED</w:t>
            </w:r>
          </w:p>
        </w:tc>
        <w:tc>
          <w:tcPr>
            <w:tcW w:type="dxa" w:w="5700"/>
            <w:tcMar>
              <w:top w:type="dxa" w:w="60"/>
              <w:left w:type="dxa" w:w="80"/>
              <w:bottom w:type="dxa" w:w="60"/>
              <w:right w:type="dxa" w:w="80"/>
            </w:tcMar>
            <w:vAlign w:val="top"/>
          </w:tcPr>
          <w:p>
            <w:pPr>
              <w:spacing w:after="20"/>
            </w:pPr>
            <w:r>
              <w:rPr>
                <w:sz w:val="18"/>
                <w:szCs w:val="18"/>
              </w:rPr>
              <w:t xml:space="preserve">Patient-isolated Cheng folds; exact-duplicate audit of BRISC; both official and de-duplicated results reported. Weak point: the Cheng-BRISC independence claim (F10).</w:t>
            </w:r>
          </w:p>
        </w:tc>
      </w:tr>
      <w:tr>
        <w:trPr>
          <w:cantSplit/>
        </w:trPr>
        <w:tc>
          <w:tcPr>
            <w:tcW w:type="dxa" w:w="600"/>
            <w:tcMar>
              <w:top w:type="dxa" w:w="60"/>
              <w:left w:type="dxa" w:w="80"/>
              <w:bottom w:type="dxa" w:w="60"/>
              <w:right w:type="dxa" w:w="80"/>
            </w:tcMar>
            <w:vAlign w:val="top"/>
          </w:tcPr>
          <w:p>
            <w:pPr>
              <w:spacing w:after="20"/>
            </w:pPr>
            <w:r>
              <w:rPr>
                <w:sz w:val="18"/>
                <w:szCs w:val="18"/>
              </w:rPr>
              <w:t xml:space="preserve">C3</w:t>
            </w:r>
          </w:p>
        </w:tc>
        <w:tc>
          <w:tcPr>
            <w:tcW w:type="dxa" w:w="2000"/>
            <w:tcMar>
              <w:top w:type="dxa" w:w="60"/>
              <w:left w:type="dxa" w:w="80"/>
              <w:bottom w:type="dxa" w:w="60"/>
              <w:right w:type="dxa" w:w="80"/>
            </w:tcMar>
            <w:vAlign w:val="top"/>
          </w:tcPr>
          <w:p>
            <w:pPr>
              <w:spacing w:after="20"/>
            </w:pPr>
            <w:r>
              <w:rPr>
                <w:sz w:val="18"/>
                <w:szCs w:val="18"/>
              </w:rPr>
              <w:t xml:space="preserve">Evaluation rigour</w:t>
            </w:r>
          </w:p>
        </w:tc>
        <w:tc>
          <w:tcPr>
            <w:tcW w:type="dxa" w:w="1300"/>
            <w:shd w:fill="FFE699" w:val="clear"/>
            <w:tcMar>
              <w:top w:type="dxa" w:w="60"/>
              <w:left w:type="dxa" w:w="80"/>
              <w:bottom w:type="dxa" w:w="60"/>
              <w:right w:type="dxa" w:w="80"/>
            </w:tcMar>
            <w:vAlign w:val="top"/>
          </w:tcPr>
          <w:p>
            <w:pPr>
              <w:spacing w:after="20"/>
            </w:pPr>
            <w:r>
              <w:rPr>
                <w:b/>
                <w:bCs/>
                <w:sz w:val="18"/>
                <w:szCs w:val="18"/>
              </w:rPr>
              <w:t xml:space="preserve">PARTLY</w:t>
            </w:r>
          </w:p>
        </w:tc>
        <w:tc>
          <w:tcPr>
            <w:tcW w:type="dxa" w:w="5700"/>
            <w:tcMar>
              <w:top w:type="dxa" w:w="60"/>
              <w:left w:type="dxa" w:w="80"/>
              <w:bottom w:type="dxa" w:w="60"/>
              <w:right w:type="dxa" w:w="80"/>
            </w:tcMar>
            <w:vAlign w:val="top"/>
          </w:tcPr>
          <w:p>
            <w:pPr>
              <w:spacing w:after="20"/>
            </w:pPr>
            <w:r>
              <w:rPr>
                <w:sz w:val="18"/>
                <w:szCs w:val="18"/>
              </w:rPr>
              <w:t xml:space="preserve">Wilcoxon + Holm (I recomputed the Holm values: correct), patient clustering, effect sizes. But one seed, Fold 1 only, 45 slices per cohort, and the selection of those slices is not described (F6, F7).</w:t>
            </w:r>
          </w:p>
        </w:tc>
      </w:tr>
      <w:tr>
        <w:trPr>
          <w:cantSplit/>
        </w:trPr>
        <w:tc>
          <w:tcPr>
            <w:tcW w:type="dxa" w:w="600"/>
            <w:tcMar>
              <w:top w:type="dxa" w:w="60"/>
              <w:left w:type="dxa" w:w="80"/>
              <w:bottom w:type="dxa" w:w="60"/>
              <w:right w:type="dxa" w:w="80"/>
            </w:tcMar>
            <w:vAlign w:val="top"/>
          </w:tcPr>
          <w:p>
            <w:pPr>
              <w:spacing w:after="20"/>
            </w:pPr>
            <w:r>
              <w:rPr>
                <w:sz w:val="18"/>
                <w:szCs w:val="18"/>
              </w:rPr>
              <w:t xml:space="preserve">C4</w:t>
            </w:r>
          </w:p>
        </w:tc>
        <w:tc>
          <w:tcPr>
            <w:tcW w:type="dxa" w:w="2000"/>
            <w:tcMar>
              <w:top w:type="dxa" w:w="60"/>
              <w:left w:type="dxa" w:w="80"/>
              <w:bottom w:type="dxa" w:w="60"/>
              <w:right w:type="dxa" w:w="80"/>
            </w:tcMar>
            <w:vAlign w:val="top"/>
          </w:tcPr>
          <w:p>
            <w:pPr>
              <w:spacing w:after="20"/>
            </w:pPr>
            <w:r>
              <w:rPr>
                <w:sz w:val="18"/>
                <w:szCs w:val="18"/>
              </w:rPr>
              <w:t xml:space="preserve">Results believable and consistent</w:t>
            </w:r>
          </w:p>
        </w:tc>
        <w:tc>
          <w:tcPr>
            <w:tcW w:type="dxa" w:w="1300"/>
            <w:shd w:fill="F4B183" w:val="clear"/>
            <w:tcMar>
              <w:top w:type="dxa" w:w="60"/>
              <w:left w:type="dxa" w:w="80"/>
              <w:bottom w:type="dxa" w:w="60"/>
              <w:right w:type="dxa" w:w="80"/>
            </w:tcMar>
            <w:vAlign w:val="top"/>
          </w:tcPr>
          <w:p>
            <w:pPr>
              <w:spacing w:after="20"/>
            </w:pPr>
            <w:r>
              <w:rPr>
                <w:b/>
                <w:bCs/>
                <w:sz w:val="18"/>
                <w:szCs w:val="18"/>
              </w:rPr>
              <w:t xml:space="preserve">NOT ADDRESSED</w:t>
            </w:r>
          </w:p>
        </w:tc>
        <w:tc>
          <w:tcPr>
            <w:tcW w:type="dxa" w:w="5700"/>
            <w:tcMar>
              <w:top w:type="dxa" w:w="60"/>
              <w:left w:type="dxa" w:w="80"/>
              <w:bottom w:type="dxa" w:w="60"/>
              <w:right w:type="dxa" w:w="80"/>
            </w:tcMar>
            <w:vAlign w:val="top"/>
          </w:tcPr>
          <w:p>
            <w:pPr>
              <w:spacing w:after="20"/>
            </w:pPr>
            <w:r>
              <w:rPr>
                <w:sz w:val="18"/>
                <w:szCs w:val="18"/>
              </w:rPr>
              <w:t xml:space="preserve">Abstract, Table 1 baselines, Table 2 and Fig. 4 agree. But Table 1, Fig. 9 and section 5.8 give three different clean-subset results, and Tables 3 and 4 do not reproduce Table 2 (F1-F3). Baselines are weak (F6).</w:t>
            </w:r>
          </w:p>
        </w:tc>
      </w:tr>
      <w:tr>
        <w:trPr>
          <w:cantSplit/>
        </w:trPr>
        <w:tc>
          <w:tcPr>
            <w:tcW w:type="dxa" w:w="600"/>
            <w:tcMar>
              <w:top w:type="dxa" w:w="60"/>
              <w:left w:type="dxa" w:w="80"/>
              <w:bottom w:type="dxa" w:w="60"/>
              <w:right w:type="dxa" w:w="80"/>
            </w:tcMar>
            <w:vAlign w:val="top"/>
          </w:tcPr>
          <w:p>
            <w:pPr>
              <w:spacing w:after="20"/>
            </w:pPr>
            <w:r>
              <w:rPr>
                <w:sz w:val="18"/>
                <w:szCs w:val="18"/>
              </w:rPr>
              <w:t xml:space="preserve">C5</w:t>
            </w:r>
          </w:p>
        </w:tc>
        <w:tc>
          <w:tcPr>
            <w:tcW w:type="dxa" w:w="2000"/>
            <w:tcMar>
              <w:top w:type="dxa" w:w="60"/>
              <w:left w:type="dxa" w:w="80"/>
              <w:bottom w:type="dxa" w:w="60"/>
              <w:right w:type="dxa" w:w="80"/>
            </w:tcMar>
            <w:vAlign w:val="top"/>
          </w:tcPr>
          <w:p>
            <w:pPr>
              <w:spacing w:after="20"/>
            </w:pPr>
            <w:r>
              <w:rPr>
                <w:sz w:val="18"/>
                <w:szCs w:val="18"/>
              </w:rPr>
              <w:t xml:space="preserve">Dataset provenance</w:t>
            </w:r>
          </w:p>
        </w:tc>
        <w:tc>
          <w:tcPr>
            <w:tcW w:type="dxa" w:w="1300"/>
            <w:shd w:fill="C6E0B4" w:val="clear"/>
            <w:tcMar>
              <w:top w:type="dxa" w:w="60"/>
              <w:left w:type="dxa" w:w="80"/>
              <w:bottom w:type="dxa" w:w="60"/>
              <w:right w:type="dxa" w:w="80"/>
            </w:tcMar>
            <w:vAlign w:val="top"/>
          </w:tcPr>
          <w:p>
            <w:pPr>
              <w:spacing w:after="20"/>
            </w:pPr>
            <w:r>
              <w:rPr>
                <w:b/>
                <w:bCs/>
                <w:sz w:val="18"/>
                <w:szCs w:val="18"/>
              </w:rPr>
              <w:t xml:space="preserve">ADDRESSED</w:t>
            </w:r>
          </w:p>
        </w:tc>
        <w:tc>
          <w:tcPr>
            <w:tcW w:type="dxa" w:w="5700"/>
            <w:tcMar>
              <w:top w:type="dxa" w:w="60"/>
              <w:left w:type="dxa" w:w="80"/>
              <w:bottom w:type="dxa" w:w="60"/>
              <w:right w:type="dxa" w:w="80"/>
            </w:tcMar>
            <w:vAlign w:val="top"/>
          </w:tcPr>
          <w:p>
            <w:pPr>
              <w:spacing w:after="20"/>
            </w:pPr>
            <w:r>
              <w:rPr>
                <w:sz w:val="18"/>
                <w:szCs w:val="18"/>
              </w:rPr>
              <w:t xml:space="preserve">DOIs for both datasets, sizes, planes, split counts; BRISC reference verified. Dataset licences are not named.</w:t>
            </w:r>
          </w:p>
        </w:tc>
      </w:tr>
      <w:tr>
        <w:trPr>
          <w:cantSplit/>
        </w:trPr>
        <w:tc>
          <w:tcPr>
            <w:tcW w:type="dxa" w:w="600"/>
            <w:tcMar>
              <w:top w:type="dxa" w:w="60"/>
              <w:left w:type="dxa" w:w="80"/>
              <w:bottom w:type="dxa" w:w="60"/>
              <w:right w:type="dxa" w:w="80"/>
            </w:tcMar>
            <w:vAlign w:val="top"/>
          </w:tcPr>
          <w:p>
            <w:pPr>
              <w:spacing w:after="20"/>
            </w:pPr>
            <w:r>
              <w:rPr>
                <w:sz w:val="18"/>
                <w:szCs w:val="18"/>
              </w:rPr>
              <w:t xml:space="preserve">C6</w:t>
            </w:r>
          </w:p>
        </w:tc>
        <w:tc>
          <w:tcPr>
            <w:tcW w:type="dxa" w:w="2000"/>
            <w:tcMar>
              <w:top w:type="dxa" w:w="60"/>
              <w:left w:type="dxa" w:w="80"/>
              <w:bottom w:type="dxa" w:w="60"/>
              <w:right w:type="dxa" w:w="80"/>
            </w:tcMar>
            <w:vAlign w:val="top"/>
          </w:tcPr>
          <w:p>
            <w:pPr>
              <w:spacing w:after="20"/>
            </w:pPr>
            <w:r>
              <w:rPr>
                <w:sz w:val="18"/>
                <w:szCs w:val="18"/>
              </w:rPr>
              <w:t xml:space="preserve">Ablation / complexity</w:t>
            </w:r>
          </w:p>
        </w:tc>
        <w:tc>
          <w:tcPr>
            <w:tcW w:type="dxa" w:w="1300"/>
            <w:shd w:fill="D9D9D9" w:val="clear"/>
            <w:tcMar>
              <w:top w:type="dxa" w:w="60"/>
              <w:left w:type="dxa" w:w="80"/>
              <w:bottom w:type="dxa" w:w="60"/>
              <w:right w:type="dxa" w:w="80"/>
            </w:tcMar>
            <w:vAlign w:val="top"/>
          </w:tcPr>
          <w:p>
            <w:pPr>
              <w:spacing w:after="20"/>
            </w:pPr>
            <w:r>
              <w:rPr>
                <w:b/>
                <w:bCs/>
                <w:sz w:val="18"/>
                <w:szCs w:val="18"/>
              </w:rPr>
              <w:t xml:space="preserve">N/A</w:t>
            </w:r>
          </w:p>
        </w:tc>
        <w:tc>
          <w:tcPr>
            <w:tcW w:type="dxa" w:w="5700"/>
            <w:tcMar>
              <w:top w:type="dxa" w:w="60"/>
              <w:left w:type="dxa" w:w="80"/>
              <w:bottom w:type="dxa" w:w="60"/>
              <w:right w:type="dxa" w:w="80"/>
            </w:tcMar>
            <w:vAlign w:val="top"/>
          </w:tcPr>
          <w:p>
            <w:pPr>
              <w:spacing w:after="20"/>
            </w:pPr>
            <w:r>
              <w:rPr>
                <w:sz w:val="18"/>
                <w:szCs w:val="18"/>
              </w:rPr>
              <w:t xml:space="preserve">Not a method paper.</w:t>
            </w:r>
          </w:p>
        </w:tc>
      </w:tr>
      <w:tr>
        <w:trPr>
          <w:cantSplit/>
        </w:trPr>
        <w:tc>
          <w:tcPr>
            <w:tcW w:type="dxa" w:w="600"/>
            <w:tcMar>
              <w:top w:type="dxa" w:w="60"/>
              <w:left w:type="dxa" w:w="80"/>
              <w:bottom w:type="dxa" w:w="60"/>
              <w:right w:type="dxa" w:w="80"/>
            </w:tcMar>
            <w:vAlign w:val="top"/>
          </w:tcPr>
          <w:p>
            <w:pPr>
              <w:spacing w:after="20"/>
            </w:pPr>
            <w:r>
              <w:rPr>
                <w:sz w:val="18"/>
                <w:szCs w:val="18"/>
              </w:rPr>
              <w:t xml:space="preserve">C7</w:t>
            </w:r>
          </w:p>
        </w:tc>
        <w:tc>
          <w:tcPr>
            <w:tcW w:type="dxa" w:w="2000"/>
            <w:tcMar>
              <w:top w:type="dxa" w:w="60"/>
              <w:left w:type="dxa" w:w="80"/>
              <w:bottom w:type="dxa" w:w="60"/>
              <w:right w:type="dxa" w:w="80"/>
            </w:tcMar>
            <w:vAlign w:val="top"/>
          </w:tcPr>
          <w:p>
            <w:pPr>
              <w:spacing w:after="20"/>
            </w:pPr>
            <w:r>
              <w:rPr>
                <w:sz w:val="18"/>
                <w:szCs w:val="18"/>
              </w:rPr>
              <w:t xml:space="preserve">Claims bigger than evidence</w:t>
            </w:r>
          </w:p>
        </w:tc>
        <w:tc>
          <w:tcPr>
            <w:tcW w:type="dxa" w:w="1300"/>
            <w:shd w:fill="FFE699" w:val="clear"/>
            <w:tcMar>
              <w:top w:type="dxa" w:w="60"/>
              <w:left w:type="dxa" w:w="80"/>
              <w:bottom w:type="dxa" w:w="60"/>
              <w:right w:type="dxa" w:w="80"/>
            </w:tcMar>
            <w:vAlign w:val="top"/>
          </w:tcPr>
          <w:p>
            <w:pPr>
              <w:spacing w:after="20"/>
            </w:pPr>
            <w:r>
              <w:rPr>
                <w:b/>
                <w:bCs/>
                <w:sz w:val="18"/>
                <w:szCs w:val="18"/>
              </w:rPr>
              <w:t xml:space="preserve">PARTLY</w:t>
            </w:r>
          </w:p>
        </w:tc>
        <w:tc>
          <w:tcPr>
            <w:tcW w:type="dxa" w:w="5700"/>
            <w:tcMar>
              <w:top w:type="dxa" w:w="60"/>
              <w:left w:type="dxa" w:w="80"/>
              <w:bottom w:type="dxa" w:w="60"/>
              <w:right w:type="dxa" w:w="80"/>
            </w:tcMar>
            <w:vAlign w:val="top"/>
          </w:tcPr>
          <w:p>
            <w:pPr>
              <w:spacing w:after="20"/>
            </w:pPr>
            <w:r>
              <w:rPr>
                <w:sz w:val="18"/>
                <w:szCs w:val="18"/>
              </w:rPr>
              <w:t xml:space="preserve">Conclusion and limitations are careful, but see F9: 'both levels of inference indicate...', Hypothesis 3 'supported', and the radiological interpretations of 15 slices per class.</w:t>
            </w:r>
          </w:p>
        </w:tc>
      </w:tr>
      <w:tr>
        <w:trPr>
          <w:cantSplit/>
        </w:trPr>
        <w:tc>
          <w:tcPr>
            <w:tcW w:type="dxa" w:w="600"/>
            <w:tcMar>
              <w:top w:type="dxa" w:w="60"/>
              <w:left w:type="dxa" w:w="80"/>
              <w:bottom w:type="dxa" w:w="60"/>
              <w:right w:type="dxa" w:w="80"/>
            </w:tcMar>
            <w:vAlign w:val="top"/>
          </w:tcPr>
          <w:p>
            <w:pPr>
              <w:spacing w:after="20"/>
            </w:pPr>
            <w:r>
              <w:rPr>
                <w:sz w:val="18"/>
                <w:szCs w:val="18"/>
              </w:rPr>
              <w:t xml:space="preserve">C8</w:t>
            </w:r>
          </w:p>
        </w:tc>
        <w:tc>
          <w:tcPr>
            <w:tcW w:type="dxa" w:w="2000"/>
            <w:tcMar>
              <w:top w:type="dxa" w:w="60"/>
              <w:left w:type="dxa" w:w="80"/>
              <w:bottom w:type="dxa" w:w="60"/>
              <w:right w:type="dxa" w:w="80"/>
            </w:tcMar>
            <w:vAlign w:val="top"/>
          </w:tcPr>
          <w:p>
            <w:pPr>
              <w:spacing w:after="20"/>
            </w:pPr>
            <w:r>
              <w:rPr>
                <w:sz w:val="18"/>
                <w:szCs w:val="18"/>
              </w:rPr>
              <w:t xml:space="preserve">Simulated / unsupported figures</w:t>
            </w:r>
          </w:p>
        </w:tc>
        <w:tc>
          <w:tcPr>
            <w:tcW w:type="dxa" w:w="1300"/>
            <w:shd w:fill="C6E0B4" w:val="clear"/>
            <w:tcMar>
              <w:top w:type="dxa" w:w="60"/>
              <w:left w:type="dxa" w:w="80"/>
              <w:bottom w:type="dxa" w:w="60"/>
              <w:right w:type="dxa" w:w="80"/>
            </w:tcMar>
            <w:vAlign w:val="top"/>
          </w:tcPr>
          <w:p>
            <w:pPr>
              <w:spacing w:after="20"/>
            </w:pPr>
            <w:r>
              <w:rPr>
                <w:b/>
                <w:bCs/>
                <w:sz w:val="18"/>
                <w:szCs w:val="18"/>
              </w:rPr>
              <w:t xml:space="preserve">ADDRESSED</w:t>
            </w:r>
          </w:p>
        </w:tc>
        <w:tc>
          <w:tcPr>
            <w:tcW w:type="dxa" w:w="5700"/>
            <w:tcMar>
              <w:top w:type="dxa" w:w="60"/>
              <w:left w:type="dxa" w:w="80"/>
              <w:bottom w:type="dxa" w:w="60"/>
              <w:right w:type="dxa" w:w="80"/>
            </w:tcMar>
            <w:vAlign w:val="top"/>
          </w:tcPr>
          <w:p>
            <w:pPr>
              <w:spacing w:after="20"/>
            </w:pPr>
            <w:r>
              <w:rPr>
                <w:sz w:val="18"/>
                <w:szCs w:val="18"/>
              </w:rPr>
              <w:t xml:space="preserve">No simulated output. Figure legends and captions need fixing (F1, F14).</w:t>
            </w:r>
          </w:p>
        </w:tc>
      </w:tr>
      <w:tr>
        <w:trPr>
          <w:cantSplit/>
        </w:trPr>
        <w:tc>
          <w:tcPr>
            <w:tcW w:type="dxa" w:w="600"/>
            <w:tcMar>
              <w:top w:type="dxa" w:w="60"/>
              <w:left w:type="dxa" w:w="80"/>
              <w:bottom w:type="dxa" w:w="60"/>
              <w:right w:type="dxa" w:w="80"/>
            </w:tcMar>
            <w:vAlign w:val="top"/>
          </w:tcPr>
          <w:p>
            <w:pPr>
              <w:spacing w:after="20"/>
            </w:pPr>
            <w:r>
              <w:rPr>
                <w:sz w:val="18"/>
                <w:szCs w:val="18"/>
              </w:rPr>
              <w:t xml:space="preserve">C9</w:t>
            </w:r>
          </w:p>
        </w:tc>
        <w:tc>
          <w:tcPr>
            <w:tcW w:type="dxa" w:w="2000"/>
            <w:tcMar>
              <w:top w:type="dxa" w:w="60"/>
              <w:left w:type="dxa" w:w="80"/>
              <w:bottom w:type="dxa" w:w="60"/>
              <w:right w:type="dxa" w:w="80"/>
            </w:tcMar>
            <w:vAlign w:val="top"/>
          </w:tcPr>
          <w:p>
            <w:pPr>
              <w:spacing w:after="20"/>
            </w:pPr>
            <w:r>
              <w:rPr>
                <w:sz w:val="18"/>
                <w:szCs w:val="18"/>
              </w:rPr>
              <w:t xml:space="preserve">Unfinished manuscript</w:t>
            </w:r>
          </w:p>
        </w:tc>
        <w:tc>
          <w:tcPr>
            <w:tcW w:type="dxa" w:w="1300"/>
            <w:shd w:fill="F4B183" w:val="clear"/>
            <w:tcMar>
              <w:top w:type="dxa" w:w="60"/>
              <w:left w:type="dxa" w:w="80"/>
              <w:bottom w:type="dxa" w:w="60"/>
              <w:right w:type="dxa" w:w="80"/>
            </w:tcMar>
            <w:vAlign w:val="top"/>
          </w:tcPr>
          <w:p>
            <w:pPr>
              <w:spacing w:after="20"/>
            </w:pPr>
            <w:r>
              <w:rPr>
                <w:b/>
                <w:bCs/>
                <w:sz w:val="18"/>
                <w:szCs w:val="18"/>
              </w:rPr>
              <w:t xml:space="preserve">NOT ADDRESSED</w:t>
            </w:r>
          </w:p>
        </w:tc>
        <w:tc>
          <w:tcPr>
            <w:tcW w:type="dxa" w:w="5700"/>
            <w:tcMar>
              <w:top w:type="dxa" w:w="60"/>
              <w:left w:type="dxa" w:w="80"/>
              <w:bottom w:type="dxa" w:w="60"/>
              <w:right w:type="dxa" w:w="80"/>
            </w:tcMar>
            <w:vAlign w:val="top"/>
          </w:tcPr>
          <w:p>
            <w:pPr>
              <w:spacing w:after="20"/>
            </w:pPr>
            <w:r>
              <w:rPr>
                <w:sz w:val="18"/>
                <w:szCs w:val="18"/>
              </w:rPr>
              <w:t xml:space="preserve">Two '[TO BE INSERTED BY THE AUTHORS BEFORE SUBMISSION]' placeholders and three process phrases (F4).</w:t>
            </w:r>
          </w:p>
        </w:tc>
      </w:tr>
      <w:tr>
        <w:trPr>
          <w:cantSplit/>
        </w:trPr>
        <w:tc>
          <w:tcPr>
            <w:tcW w:type="dxa" w:w="600"/>
            <w:tcMar>
              <w:top w:type="dxa" w:w="60"/>
              <w:left w:type="dxa" w:w="80"/>
              <w:bottom w:type="dxa" w:w="60"/>
              <w:right w:type="dxa" w:w="80"/>
            </w:tcMar>
            <w:vAlign w:val="top"/>
          </w:tcPr>
          <w:p>
            <w:pPr>
              <w:spacing w:after="20"/>
            </w:pPr>
            <w:r>
              <w:rPr>
                <w:sz w:val="18"/>
                <w:szCs w:val="18"/>
              </w:rPr>
              <w:t xml:space="preserve">C10</w:t>
            </w:r>
          </w:p>
        </w:tc>
        <w:tc>
          <w:tcPr>
            <w:tcW w:type="dxa" w:w="2000"/>
            <w:tcMar>
              <w:top w:type="dxa" w:w="60"/>
              <w:left w:type="dxa" w:w="80"/>
              <w:bottom w:type="dxa" w:w="60"/>
              <w:right w:type="dxa" w:w="80"/>
            </w:tcMar>
            <w:vAlign w:val="top"/>
          </w:tcPr>
          <w:p>
            <w:pPr>
              <w:spacing w:after="20"/>
            </w:pPr>
            <w:r>
              <w:rPr>
                <w:sz w:val="18"/>
                <w:szCs w:val="18"/>
              </w:rPr>
              <w:t xml:space="preserve">Reproducibility</w:t>
            </w:r>
          </w:p>
        </w:tc>
        <w:tc>
          <w:tcPr>
            <w:tcW w:type="dxa" w:w="1300"/>
            <w:shd w:fill="FFE699" w:val="clear"/>
            <w:tcMar>
              <w:top w:type="dxa" w:w="60"/>
              <w:left w:type="dxa" w:w="80"/>
              <w:bottom w:type="dxa" w:w="60"/>
              <w:right w:type="dxa" w:w="80"/>
            </w:tcMar>
            <w:vAlign w:val="top"/>
          </w:tcPr>
          <w:p>
            <w:pPr>
              <w:spacing w:after="20"/>
            </w:pPr>
            <w:r>
              <w:rPr>
                <w:b/>
                <w:bCs/>
                <w:sz w:val="18"/>
                <w:szCs w:val="18"/>
              </w:rPr>
              <w:t xml:space="preserve">PARTLY</w:t>
            </w:r>
          </w:p>
        </w:tc>
        <w:tc>
          <w:tcPr>
            <w:tcW w:type="dxa" w:w="5700"/>
            <w:tcMar>
              <w:top w:type="dxa" w:w="60"/>
              <w:left w:type="dxa" w:w="80"/>
              <w:bottom w:type="dxa" w:w="60"/>
              <w:right w:type="dxa" w:w="80"/>
            </w:tcMar>
            <w:vAlign w:val="top"/>
          </w:tcPr>
          <w:p>
            <w:pPr>
              <w:spacing w:after="20"/>
            </w:pPr>
            <w:r>
              <w:rPr>
                <w:sz w:val="18"/>
                <w:szCs w:val="18"/>
              </w:rPr>
              <w:t xml:space="preserve">Repository, manifests, QC files, tests are described. Missing: repository URL, software versions, hardware, run time, checkpoints (F13).</w:t>
            </w:r>
          </w:p>
        </w:tc>
      </w:tr>
      <w:tr>
        <w:trPr>
          <w:cantSplit/>
        </w:trPr>
        <w:tc>
          <w:tcPr>
            <w:tcW w:type="dxa" w:w="600"/>
            <w:tcMar>
              <w:top w:type="dxa" w:w="60"/>
              <w:left w:type="dxa" w:w="80"/>
              <w:bottom w:type="dxa" w:w="60"/>
              <w:right w:type="dxa" w:w="80"/>
            </w:tcMar>
            <w:vAlign w:val="top"/>
          </w:tcPr>
          <w:p>
            <w:pPr>
              <w:spacing w:after="20"/>
            </w:pPr>
            <w:r>
              <w:rPr>
                <w:sz w:val="18"/>
                <w:szCs w:val="18"/>
              </w:rPr>
              <w:t xml:space="preserve">C11</w:t>
            </w:r>
          </w:p>
        </w:tc>
        <w:tc>
          <w:tcPr>
            <w:tcW w:type="dxa" w:w="2000"/>
            <w:tcMar>
              <w:top w:type="dxa" w:w="60"/>
              <w:left w:type="dxa" w:w="80"/>
              <w:bottom w:type="dxa" w:w="60"/>
              <w:right w:type="dxa" w:w="80"/>
            </w:tcMar>
            <w:vAlign w:val="top"/>
          </w:tcPr>
          <w:p>
            <w:pPr>
              <w:spacing w:after="20"/>
            </w:pPr>
            <w:r>
              <w:rPr>
                <w:sz w:val="18"/>
                <w:szCs w:val="18"/>
              </w:rPr>
              <w:t xml:space="preserve">External validation</w:t>
            </w:r>
          </w:p>
        </w:tc>
        <w:tc>
          <w:tcPr>
            <w:tcW w:type="dxa" w:w="1300"/>
            <w:shd w:fill="FFE699" w:val="clear"/>
            <w:tcMar>
              <w:top w:type="dxa" w:w="60"/>
              <w:left w:type="dxa" w:w="80"/>
              <w:bottom w:type="dxa" w:w="60"/>
              <w:right w:type="dxa" w:w="80"/>
            </w:tcMar>
            <w:vAlign w:val="top"/>
          </w:tcPr>
          <w:p>
            <w:pPr>
              <w:spacing w:after="20"/>
            </w:pPr>
            <w:r>
              <w:rPr>
                <w:b/>
                <w:bCs/>
                <w:sz w:val="18"/>
                <w:szCs w:val="18"/>
              </w:rPr>
              <w:t xml:space="preserve">PARTLY</w:t>
            </w:r>
          </w:p>
        </w:tc>
        <w:tc>
          <w:tcPr>
            <w:tcW w:type="dxa" w:w="5700"/>
            <w:tcMar>
              <w:top w:type="dxa" w:w="60"/>
              <w:left w:type="dxa" w:w="80"/>
              <w:bottom w:type="dxa" w:w="60"/>
              <w:right w:type="dxa" w:w="80"/>
            </w:tcMar>
            <w:vAlign w:val="top"/>
          </w:tcPr>
          <w:p>
            <w:pPr>
              <w:spacing w:after="20"/>
            </w:pPr>
            <w:r>
              <w:rPr>
                <w:sz w:val="18"/>
                <w:szCs w:val="18"/>
              </w:rPr>
              <w:t xml:space="preserve">Two cohorts, none external; acknowledged in the conclusion.</w:t>
            </w:r>
          </w:p>
        </w:tc>
      </w:tr>
      <w:tr>
        <w:trPr>
          <w:cantSplit/>
        </w:trPr>
        <w:tc>
          <w:tcPr>
            <w:tcW w:type="dxa" w:w="600"/>
            <w:tcMar>
              <w:top w:type="dxa" w:w="60"/>
              <w:left w:type="dxa" w:w="80"/>
              <w:bottom w:type="dxa" w:w="60"/>
              <w:right w:type="dxa" w:w="80"/>
            </w:tcMar>
            <w:vAlign w:val="top"/>
          </w:tcPr>
          <w:p>
            <w:pPr>
              <w:spacing w:after="20"/>
            </w:pPr>
            <w:r>
              <w:rPr>
                <w:sz w:val="18"/>
                <w:szCs w:val="18"/>
              </w:rPr>
              <w:t xml:space="preserve">C12</w:t>
            </w:r>
          </w:p>
        </w:tc>
        <w:tc>
          <w:tcPr>
            <w:tcW w:type="dxa" w:w="2000"/>
            <w:tcMar>
              <w:top w:type="dxa" w:w="60"/>
              <w:left w:type="dxa" w:w="80"/>
              <w:bottom w:type="dxa" w:w="60"/>
              <w:right w:type="dxa" w:w="80"/>
            </w:tcMar>
            <w:vAlign w:val="top"/>
          </w:tcPr>
          <w:p>
            <w:pPr>
              <w:spacing w:after="20"/>
            </w:pPr>
            <w:r>
              <w:rPr>
                <w:sz w:val="18"/>
                <w:szCs w:val="18"/>
              </w:rPr>
              <w:t xml:space="preserve">References, declarations, AI statement</w:t>
            </w:r>
          </w:p>
        </w:tc>
        <w:tc>
          <w:tcPr>
            <w:tcW w:type="dxa" w:w="1300"/>
            <w:shd w:fill="F4B183" w:val="clear"/>
            <w:tcMar>
              <w:top w:type="dxa" w:w="60"/>
              <w:left w:type="dxa" w:w="80"/>
              <w:bottom w:type="dxa" w:w="60"/>
              <w:right w:type="dxa" w:w="80"/>
            </w:tcMar>
            <w:vAlign w:val="top"/>
          </w:tcPr>
          <w:p>
            <w:pPr>
              <w:spacing w:after="20"/>
            </w:pPr>
            <w:r>
              <w:rPr>
                <w:b/>
                <w:bCs/>
                <w:sz w:val="18"/>
                <w:szCs w:val="18"/>
              </w:rPr>
              <w:t xml:space="preserve">NOT ADDRESSED</w:t>
            </w:r>
          </w:p>
        </w:tc>
        <w:tc>
          <w:tcPr>
            <w:tcW w:type="dxa" w:w="5700"/>
            <w:tcMar>
              <w:top w:type="dxa" w:w="60"/>
              <w:left w:type="dxa" w:w="80"/>
              <w:bottom w:type="dxa" w:w="60"/>
              <w:right w:type="dxa" w:w="80"/>
            </w:tcMar>
            <w:vAlign w:val="top"/>
          </w:tcPr>
          <w:p>
            <w:pPr>
              <w:spacing w:after="20"/>
            </w:pPr>
            <w:r>
              <w:rPr>
                <w:sz w:val="18"/>
                <w:szCs w:val="18"/>
              </w:rPr>
              <w:t xml:space="preserve">No Generative-AI statement (F5); ethics determination missing; several reference errors (F12).</w:t>
            </w:r>
          </w:p>
        </w:tc>
      </w:tr>
    </w:tbl>
    <w:p>
      <w:pPr>
        <w:pStyle w:val="Heading1"/>
        <w:spacing w:after="120" w:before="280"/>
      </w:pPr>
      <w:r>
        <w:t xml:space="preserve">B. Findings (P1 = blocks submission, P2 = should fix, P3 = polish)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3900"/>
        <w:gridCol w:w="3200"/>
        <w:gridCol w:w="500"/>
      </w:tblGrid>
      <w:tr>
        <w:trPr>
          <w:tblHeader/>
        </w:trPr>
        <w:tc>
          <w:tcPr>
            <w:tcW w:type="dxa" w:w="500"/>
            <w:shd w:fill="1F3864" w:val="clear"/>
            <w:tcMar>
              <w:top w:type="dxa" w:w="60"/>
              <w:left w:type="dxa" w:w="80"/>
              <w:bottom w:type="dxa" w:w="60"/>
              <w:right w:type="dxa" w:w="80"/>
            </w:tcMar>
            <w:vAlign w:val="top"/>
          </w:tcPr>
          <w:p>
            <w:pPr>
              <w:spacing w:after="20"/>
            </w:pPr>
            <w:r>
              <w:rPr>
                <w:b/>
                <w:bCs/>
                <w:color w:val="FFFFFF"/>
                <w:sz w:val="18"/>
                <w:szCs w:val="18"/>
              </w:rPr>
              <w:t xml:space="preserve">ID</w:t>
            </w:r>
          </w:p>
        </w:tc>
        <w:tc>
          <w:tcPr>
            <w:tcW w:type="dxa" w:w="1200"/>
            <w:shd w:fill="1F3864" w:val="clear"/>
            <w:tcMar>
              <w:top w:type="dxa" w:w="60"/>
              <w:left w:type="dxa" w:w="80"/>
              <w:bottom w:type="dxa" w:w="60"/>
              <w:right w:type="dxa" w:w="80"/>
            </w:tcMar>
            <w:vAlign w:val="top"/>
          </w:tcPr>
          <w:p>
            <w:pPr>
              <w:spacing w:after="20"/>
            </w:pPr>
            <w:r>
              <w:rPr>
                <w:b/>
                <w:bCs/>
                <w:color w:val="FFFFFF"/>
                <w:sz w:val="18"/>
                <w:szCs w:val="18"/>
              </w:rPr>
              <w:t xml:space="preserve">Where</w:t>
            </w:r>
          </w:p>
        </w:tc>
        <w:tc>
          <w:tcPr>
            <w:tcW w:type="dxa" w:w="3900"/>
            <w:shd w:fill="1F3864" w:val="clear"/>
            <w:tcMar>
              <w:top w:type="dxa" w:w="60"/>
              <w:left w:type="dxa" w:w="80"/>
              <w:bottom w:type="dxa" w:w="60"/>
              <w:right w:type="dxa" w:w="80"/>
            </w:tcMar>
            <w:vAlign w:val="top"/>
          </w:tcPr>
          <w:p>
            <w:pPr>
              <w:spacing w:after="20"/>
            </w:pPr>
            <w:r>
              <w:rPr>
                <w:b/>
                <w:bCs/>
                <w:color w:val="FFFFFF"/>
                <w:sz w:val="18"/>
                <w:szCs w:val="18"/>
              </w:rPr>
              <w:t xml:space="preserve">Finding</w:t>
            </w:r>
          </w:p>
        </w:tc>
        <w:tc>
          <w:tcPr>
            <w:tcW w:type="dxa" w:w="3200"/>
            <w:shd w:fill="1F3864" w:val="clear"/>
            <w:tcMar>
              <w:top w:type="dxa" w:w="60"/>
              <w:left w:type="dxa" w:w="80"/>
              <w:bottom w:type="dxa" w:w="60"/>
              <w:right w:type="dxa" w:w="80"/>
            </w:tcMar>
            <w:vAlign w:val="top"/>
          </w:tcPr>
          <w:p>
            <w:pPr>
              <w:spacing w:after="20"/>
            </w:pPr>
            <w:r>
              <w:rPr>
                <w:b/>
                <w:bCs/>
                <w:color w:val="FFFFFF"/>
                <w:sz w:val="18"/>
                <w:szCs w:val="18"/>
              </w:rPr>
              <w:t xml:space="preserve">Fix</w:t>
            </w:r>
          </w:p>
        </w:tc>
        <w:tc>
          <w:tcPr>
            <w:tcW w:type="dxa" w:w="500"/>
            <w:shd w:fill="1F3864" w:val="clear"/>
            <w:tcMar>
              <w:top w:type="dxa" w:w="60"/>
              <w:left w:type="dxa" w:w="80"/>
              <w:bottom w:type="dxa" w:w="60"/>
              <w:right w:type="dxa" w:w="80"/>
            </w:tcMar>
            <w:vAlign w:val="top"/>
          </w:tcPr>
          <w:p>
            <w:pPr>
              <w:spacing w:after="20"/>
            </w:pPr>
            <w:r>
              <w:rPr>
                <w:b/>
                <w:bCs/>
                <w:color w:val="FFFFFF"/>
                <w:sz w:val="18"/>
                <w:szCs w:val="18"/>
              </w:rPr>
              <w:t xml:space="preserve">Prio</w:t>
            </w:r>
          </w:p>
        </w:tc>
      </w:tr>
      <w:tr>
        <w:trPr>
          <w:cantSplit/>
        </w:trPr>
        <w:tc>
          <w:tcPr>
            <w:tcW w:type="dxa" w:w="500"/>
            <w:tcMar>
              <w:top w:type="dxa" w:w="60"/>
              <w:left w:type="dxa" w:w="80"/>
              <w:bottom w:type="dxa" w:w="60"/>
              <w:right w:type="dxa" w:w="80"/>
            </w:tcMar>
            <w:vAlign w:val="top"/>
          </w:tcPr>
          <w:p>
            <w:pPr>
              <w:spacing w:after="20"/>
            </w:pPr>
            <w:r>
              <w:rPr>
                <w:sz w:val="18"/>
                <w:szCs w:val="18"/>
              </w:rPr>
              <w:t xml:space="preserve">F1</w:t>
            </w:r>
          </w:p>
        </w:tc>
        <w:tc>
          <w:tcPr>
            <w:tcW w:type="dxa" w:w="1200"/>
            <w:tcMar>
              <w:top w:type="dxa" w:w="60"/>
              <w:left w:type="dxa" w:w="80"/>
              <w:bottom w:type="dxa" w:w="60"/>
              <w:right w:type="dxa" w:w="80"/>
            </w:tcMar>
            <w:vAlign w:val="top"/>
          </w:tcPr>
          <w:p>
            <w:pPr>
              <w:spacing w:after="20"/>
            </w:pPr>
            <w:r>
              <w:rPr>
                <w:sz w:val="18"/>
                <w:szCs w:val="18"/>
              </w:rPr>
              <w:t xml:space="preserve">Table 1, Fig. 9, 5.8</w:t>
            </w:r>
          </w:p>
        </w:tc>
        <w:tc>
          <w:tcPr>
            <w:tcW w:type="dxa" w:w="3900"/>
            <w:tcMar>
              <w:top w:type="dxa" w:w="60"/>
              <w:left w:type="dxa" w:w="80"/>
              <w:bottom w:type="dxa" w:w="60"/>
              <w:right w:type="dxa" w:w="80"/>
            </w:tcMar>
            <w:vAlign w:val="top"/>
          </w:tcPr>
          <w:p>
            <w:pPr>
              <w:spacing w:after="20"/>
            </w:pPr>
            <w:r>
              <w:rPr>
                <w:sz w:val="18"/>
                <w:szCs w:val="18"/>
              </w:rPr>
              <w:t xml:space="preserve">Three versions of the same result. Clean neoplasm subset (N = 397), Table 1: DeiT 0.7456 / 0.7294 / 0.3716, ResNet 0.6247 / 0.6349 / 0.4383 (accuracy / balanced acc. / macro-F1). Fig. 9 shows about 0.765 / 0.816 / 0.600 and 0.629 / 0.495 / 0.418. Section 5.8 says macro-F1 0.5999 and 0.4181. Fig. 9's legend says N = 1,000 vs N = 899, but its bars are the N = 480 / 397 subset values; the full four-class change is 0.7880 to 0.8265 (+0.039), not the +0.077 drawn.</w:t>
            </w:r>
          </w:p>
        </w:tc>
        <w:tc>
          <w:tcPr>
            <w:tcW w:type="dxa" w:w="3200"/>
            <w:tcMar>
              <w:top w:type="dxa" w:w="60"/>
              <w:left w:type="dxa" w:w="80"/>
              <w:bottom w:type="dxa" w:w="60"/>
              <w:right w:type="dxa" w:w="80"/>
            </w:tcMar>
            <w:vAlign w:val="top"/>
          </w:tcPr>
          <w:p>
            <w:pPr>
              <w:spacing w:after="20"/>
            </w:pPr>
            <w:r>
              <w:rPr>
                <w:sz w:val="18"/>
                <w:szCs w:val="18"/>
              </w:rPr>
              <w:t xml:space="preserve">Recompute once from the prediction CSVs; make Table 1, Fig. 9, 5.8 and the abstract agree; correct the legend and caption.</w:t>
            </w:r>
          </w:p>
        </w:tc>
        <w:tc>
          <w:tcPr>
            <w:tcW w:type="dxa" w:w="500"/>
            <w:shd w:fill="F4B183" w:val="clear"/>
            <w:tcMar>
              <w:top w:type="dxa" w:w="60"/>
              <w:left w:type="dxa" w:w="80"/>
              <w:bottom w:type="dxa" w:w="60"/>
              <w:right w:type="dxa" w:w="80"/>
            </w:tcMar>
            <w:vAlign w:val="top"/>
          </w:tcPr>
          <w:p>
            <w:pPr>
              <w:spacing w:after="20"/>
            </w:pPr>
            <w:r>
              <w:rPr>
                <w:b/>
                <w:bCs/>
                <w:sz w:val="18"/>
                <w:szCs w:val="18"/>
              </w:rPr>
              <w:t xml:space="preserve">P1</w:t>
            </w:r>
          </w:p>
        </w:tc>
      </w:tr>
      <w:tr>
        <w:trPr>
          <w:cantSplit/>
        </w:trPr>
        <w:tc>
          <w:tcPr>
            <w:tcW w:type="dxa" w:w="500"/>
            <w:tcMar>
              <w:top w:type="dxa" w:w="60"/>
              <w:left w:type="dxa" w:w="80"/>
              <w:bottom w:type="dxa" w:w="60"/>
              <w:right w:type="dxa" w:w="80"/>
            </w:tcMar>
            <w:vAlign w:val="top"/>
          </w:tcPr>
          <w:p>
            <w:pPr>
              <w:spacing w:after="20"/>
            </w:pPr>
            <w:r>
              <w:rPr>
                <w:sz w:val="18"/>
                <w:szCs w:val="18"/>
              </w:rPr>
              <w:t xml:space="preserve">F2</w:t>
            </w:r>
          </w:p>
        </w:tc>
        <w:tc>
          <w:tcPr>
            <w:tcW w:type="dxa" w:w="1200"/>
            <w:tcMar>
              <w:top w:type="dxa" w:w="60"/>
              <w:left w:type="dxa" w:w="80"/>
              <w:bottom w:type="dxa" w:w="60"/>
              <w:right w:type="dxa" w:w="80"/>
            </w:tcMar>
            <w:vAlign w:val="top"/>
          </w:tcPr>
          <w:p>
            <w:pPr>
              <w:spacing w:after="20"/>
            </w:pPr>
            <w:r>
              <w:rPr>
                <w:sz w:val="18"/>
                <w:szCs w:val="18"/>
              </w:rPr>
              <w:t xml:space="preserve">Table 1 (BRISC sub), 5.8, 6.4, H5</w:t>
            </w:r>
          </w:p>
        </w:tc>
        <w:tc>
          <w:tcPr>
            <w:tcW w:type="dxa" w:w="3900"/>
            <w:tcMar>
              <w:top w:type="dxa" w:w="60"/>
              <w:left w:type="dxa" w:w="80"/>
              <w:bottom w:type="dxa" w:w="60"/>
              <w:right w:type="dxa" w:w="80"/>
            </w:tcMar>
            <w:vAlign w:val="top"/>
          </w:tcPr>
          <w:p>
            <w:pPr>
              <w:spacing w:after="20"/>
            </w:pPr>
            <w:r>
              <w:rPr>
                <w:sz w:val="18"/>
                <w:szCs w:val="18"/>
              </w:rPr>
              <w:t xml:space="preserve">A 'two-class' subset with accuracy 0.65-0.77 and balanced accuracy 0.65-0.82 cannot have a macro-F1 of 0.35-0.60; a two-class macro-F1 would be about 0.6-0.8. The values look like averages that include labels absent from the subset, and the label set differs between the official and clean subsets. The reported macro-F1 changes (+0.243, +0.072) and the conclusion that duplicates 'distort evaluation by altering class priors' then rest on a metric artefact.</w:t>
            </w:r>
          </w:p>
        </w:tc>
        <w:tc>
          <w:tcPr>
            <w:tcW w:type="dxa" w:w="3200"/>
            <w:tcMar>
              <w:top w:type="dxa" w:w="60"/>
              <w:left w:type="dxa" w:w="80"/>
              <w:bottom w:type="dxa" w:w="60"/>
              <w:right w:type="dxa" w:w="80"/>
            </w:tcMar>
            <w:vAlign w:val="top"/>
          </w:tcPr>
          <w:p>
            <w:pPr>
              <w:spacing w:after="20"/>
            </w:pPr>
            <w:r>
              <w:rPr>
                <w:sz w:val="18"/>
                <w:szCs w:val="18"/>
              </w:rPr>
              <w:t xml:space="preserve">Fix the label list explicitly (present classes only) in every subset and recompute; re-derive Hypothesis 5 from the corrected numbers.</w:t>
            </w:r>
          </w:p>
        </w:tc>
        <w:tc>
          <w:tcPr>
            <w:tcW w:type="dxa" w:w="500"/>
            <w:shd w:fill="F4B183" w:val="clear"/>
            <w:tcMar>
              <w:top w:type="dxa" w:w="60"/>
              <w:left w:type="dxa" w:w="80"/>
              <w:bottom w:type="dxa" w:w="60"/>
              <w:right w:type="dxa" w:w="80"/>
            </w:tcMar>
            <w:vAlign w:val="top"/>
          </w:tcPr>
          <w:p>
            <w:pPr>
              <w:spacing w:after="20"/>
            </w:pPr>
            <w:r>
              <w:rPr>
                <w:b/>
                <w:bCs/>
                <w:sz w:val="18"/>
                <w:szCs w:val="18"/>
              </w:rPr>
              <w:t xml:space="preserve">P1</w:t>
            </w:r>
          </w:p>
        </w:tc>
      </w:tr>
      <w:tr>
        <w:trPr>
          <w:cantSplit/>
        </w:trPr>
        <w:tc>
          <w:tcPr>
            <w:tcW w:type="dxa" w:w="500"/>
            <w:tcMar>
              <w:top w:type="dxa" w:w="60"/>
              <w:left w:type="dxa" w:w="80"/>
              <w:bottom w:type="dxa" w:w="60"/>
              <w:right w:type="dxa" w:w="80"/>
            </w:tcMar>
            <w:vAlign w:val="top"/>
          </w:tcPr>
          <w:p>
            <w:pPr>
              <w:spacing w:after="20"/>
            </w:pPr>
            <w:r>
              <w:rPr>
                <w:sz w:val="18"/>
                <w:szCs w:val="18"/>
              </w:rPr>
              <w:t xml:space="preserve">F3</w:t>
            </w:r>
          </w:p>
        </w:tc>
        <w:tc>
          <w:tcPr>
            <w:tcW w:type="dxa" w:w="1200"/>
            <w:tcMar>
              <w:top w:type="dxa" w:w="60"/>
              <w:left w:type="dxa" w:w="80"/>
              <w:bottom w:type="dxa" w:w="60"/>
              <w:right w:type="dxa" w:w="80"/>
            </w:tcMar>
            <w:vAlign w:val="top"/>
          </w:tcPr>
          <w:p>
            <w:pPr>
              <w:spacing w:after="20"/>
            </w:pPr>
            <w:r>
              <w:rPr>
                <w:sz w:val="18"/>
                <w:szCs w:val="18"/>
              </w:rPr>
              <w:t xml:space="preserve">Tables 3 and 4 vs Table 2</w:t>
            </w:r>
          </w:p>
        </w:tc>
        <w:tc>
          <w:tcPr>
            <w:tcW w:type="dxa" w:w="3900"/>
            <w:tcMar>
              <w:top w:type="dxa" w:w="60"/>
              <w:left w:type="dxa" w:w="80"/>
              <w:bottom w:type="dxa" w:w="60"/>
              <w:right w:type="dxa" w:w="80"/>
            </w:tcMar>
            <w:vAlign w:val="top"/>
          </w:tcPr>
          <w:p>
            <w:pPr>
              <w:spacing w:after="20"/>
            </w:pPr>
            <w:r>
              <w:rPr>
                <w:sz w:val="18"/>
                <w:szCs w:val="18"/>
              </w:rPr>
              <w:t xml:space="preserve">With 15 slices per group the averages must agree. Table 3 means: core 0.0406, immediate 0.0276, remote 0.0117, vs Table 2 BRISC DeiT (Telea) 0.0517, 0.0239, 0.0140. Table 4 mean of class means: core 0.0659, vs Cheng 0.1282, BRISC 0.0517, pooled 0.0900. The immediate-margin means agree for Cheng (0.0210 vs 0.0213) but not the core.</w:t>
            </w:r>
          </w:p>
        </w:tc>
        <w:tc>
          <w:tcPr>
            <w:tcW w:type="dxa" w:w="3200"/>
            <w:tcMar>
              <w:top w:type="dxa" w:w="60"/>
              <w:left w:type="dxa" w:w="80"/>
              <w:bottom w:type="dxa" w:w="60"/>
              <w:right w:type="dxa" w:w="80"/>
            </w:tcMar>
            <w:vAlign w:val="top"/>
          </w:tcPr>
          <w:p>
            <w:pPr>
              <w:spacing w:after="20"/>
            </w:pPr>
            <w:r>
              <w:rPr>
                <w:sz w:val="18"/>
                <w:szCs w:val="18"/>
              </w:rPr>
              <w:t xml:space="preserve">State which cohort, model and method each table uses; recompute and reconcile.</w:t>
            </w:r>
          </w:p>
        </w:tc>
        <w:tc>
          <w:tcPr>
            <w:tcW w:type="dxa" w:w="500"/>
            <w:shd w:fill="F4B183" w:val="clear"/>
            <w:tcMar>
              <w:top w:type="dxa" w:w="60"/>
              <w:left w:type="dxa" w:w="80"/>
              <w:bottom w:type="dxa" w:w="60"/>
              <w:right w:type="dxa" w:w="80"/>
            </w:tcMar>
            <w:vAlign w:val="top"/>
          </w:tcPr>
          <w:p>
            <w:pPr>
              <w:spacing w:after="20"/>
            </w:pPr>
            <w:r>
              <w:rPr>
                <w:b/>
                <w:bCs/>
                <w:sz w:val="18"/>
                <w:szCs w:val="18"/>
              </w:rPr>
              <w:t xml:space="preserve">P1</w:t>
            </w:r>
          </w:p>
        </w:tc>
      </w:tr>
      <w:tr>
        <w:trPr>
          <w:cantSplit/>
        </w:trPr>
        <w:tc>
          <w:tcPr>
            <w:tcW w:type="dxa" w:w="500"/>
            <w:tcMar>
              <w:top w:type="dxa" w:w="60"/>
              <w:left w:type="dxa" w:w="80"/>
              <w:bottom w:type="dxa" w:w="60"/>
              <w:right w:type="dxa" w:w="80"/>
            </w:tcMar>
            <w:vAlign w:val="top"/>
          </w:tcPr>
          <w:p>
            <w:pPr>
              <w:spacing w:after="20"/>
            </w:pPr>
            <w:r>
              <w:rPr>
                <w:sz w:val="18"/>
                <w:szCs w:val="18"/>
              </w:rPr>
              <w:t xml:space="preserve">F4</w:t>
            </w:r>
          </w:p>
        </w:tc>
        <w:tc>
          <w:tcPr>
            <w:tcW w:type="dxa" w:w="1200"/>
            <w:tcMar>
              <w:top w:type="dxa" w:w="60"/>
              <w:left w:type="dxa" w:w="80"/>
              <w:bottom w:type="dxa" w:w="60"/>
              <w:right w:type="dxa" w:w="80"/>
            </w:tcMar>
            <w:vAlign w:val="top"/>
          </w:tcPr>
          <w:p>
            <w:pPr>
              <w:spacing w:after="20"/>
            </w:pPr>
            <w:r>
              <w:rPr>
                <w:sz w:val="18"/>
                <w:szCs w:val="18"/>
              </w:rPr>
              <w:t xml:space="preserve">Declarations, Table 2 caption, 5.5, 6.2</w:t>
            </w:r>
          </w:p>
        </w:tc>
        <w:tc>
          <w:tcPr>
            <w:tcW w:type="dxa" w:w="3900"/>
            <w:tcMar>
              <w:top w:type="dxa" w:w="60"/>
              <w:left w:type="dxa" w:w="80"/>
              <w:bottom w:type="dxa" w:w="60"/>
              <w:right w:type="dxa" w:w="80"/>
            </w:tcMar>
            <w:vAlign w:val="top"/>
          </w:tcPr>
          <w:p>
            <w:pPr>
              <w:spacing w:after="20"/>
            </w:pPr>
            <w:r>
              <w:rPr>
                <w:sz w:val="18"/>
                <w:szCs w:val="18"/>
              </w:rPr>
              <w:t xml:space="preserve">'[TO BE INSERTED BY THE AUTHORS BEFORE SUBMISSION]' appears twice (ethics determination; repository URL/DOI). Process wording: 'recalculated from canonical raw data', 'updated primary audit report', 'updated secondary audit'. This is the defect that led to the earlier rejections.</w:t>
            </w:r>
          </w:p>
        </w:tc>
        <w:tc>
          <w:tcPr>
            <w:tcW w:type="dxa" w:w="3200"/>
            <w:tcMar>
              <w:top w:type="dxa" w:w="60"/>
              <w:left w:type="dxa" w:w="80"/>
              <w:bottom w:type="dxa" w:w="60"/>
              <w:right w:type="dxa" w:w="80"/>
            </w:tcMar>
            <w:vAlign w:val="top"/>
          </w:tcPr>
          <w:p>
            <w:pPr>
              <w:spacing w:after="20"/>
            </w:pPr>
            <w:r>
              <w:rPr>
                <w:sz w:val="18"/>
                <w:szCs w:val="18"/>
              </w:rPr>
              <w:t xml:space="preserve">Insert real statements; delete all process wording.</w:t>
            </w:r>
          </w:p>
        </w:tc>
        <w:tc>
          <w:tcPr>
            <w:tcW w:type="dxa" w:w="500"/>
            <w:shd w:fill="F4B183" w:val="clear"/>
            <w:tcMar>
              <w:top w:type="dxa" w:w="60"/>
              <w:left w:type="dxa" w:w="80"/>
              <w:bottom w:type="dxa" w:w="60"/>
              <w:right w:type="dxa" w:w="80"/>
            </w:tcMar>
            <w:vAlign w:val="top"/>
          </w:tcPr>
          <w:p>
            <w:pPr>
              <w:spacing w:after="20"/>
            </w:pPr>
            <w:r>
              <w:rPr>
                <w:b/>
                <w:bCs/>
                <w:sz w:val="18"/>
                <w:szCs w:val="18"/>
              </w:rPr>
              <w:t xml:space="preserve">P1</w:t>
            </w:r>
          </w:p>
        </w:tc>
      </w:tr>
      <w:tr>
        <w:trPr>
          <w:cantSplit/>
        </w:trPr>
        <w:tc>
          <w:tcPr>
            <w:tcW w:type="dxa" w:w="500"/>
            <w:tcMar>
              <w:top w:type="dxa" w:w="60"/>
              <w:left w:type="dxa" w:w="80"/>
              <w:bottom w:type="dxa" w:w="60"/>
              <w:right w:type="dxa" w:w="80"/>
            </w:tcMar>
            <w:vAlign w:val="top"/>
          </w:tcPr>
          <w:p>
            <w:pPr>
              <w:spacing w:after="20"/>
            </w:pPr>
            <w:r>
              <w:rPr>
                <w:sz w:val="18"/>
                <w:szCs w:val="18"/>
              </w:rPr>
              <w:t xml:space="preserve">F5</w:t>
            </w:r>
          </w:p>
        </w:tc>
        <w:tc>
          <w:tcPr>
            <w:tcW w:type="dxa" w:w="1200"/>
            <w:tcMar>
              <w:top w:type="dxa" w:w="60"/>
              <w:left w:type="dxa" w:w="80"/>
              <w:bottom w:type="dxa" w:w="60"/>
              <w:right w:type="dxa" w:w="80"/>
            </w:tcMar>
            <w:vAlign w:val="top"/>
          </w:tcPr>
          <w:p>
            <w:pPr>
              <w:spacing w:after="20"/>
            </w:pPr>
            <w:r>
              <w:rPr>
                <w:sz w:val="18"/>
                <w:szCs w:val="18"/>
              </w:rPr>
              <w:t xml:space="preserve">Declarations</w:t>
            </w:r>
          </w:p>
        </w:tc>
        <w:tc>
          <w:tcPr>
            <w:tcW w:type="dxa" w:w="3900"/>
            <w:tcMar>
              <w:top w:type="dxa" w:w="60"/>
              <w:left w:type="dxa" w:w="80"/>
              <w:bottom w:type="dxa" w:w="60"/>
              <w:right w:type="dxa" w:w="80"/>
            </w:tcMar>
            <w:vAlign w:val="top"/>
          </w:tcPr>
          <w:p>
            <w:pPr>
              <w:spacing w:after="20"/>
            </w:pPr>
            <w:r>
              <w:rPr>
                <w:sz w:val="18"/>
                <w:szCs w:val="18"/>
              </w:rPr>
              <w:t xml:space="preserve">No Generative-AI use statement.</w:t>
            </w:r>
          </w:p>
        </w:tc>
        <w:tc>
          <w:tcPr>
            <w:tcW w:type="dxa" w:w="3200"/>
            <w:tcMar>
              <w:top w:type="dxa" w:w="60"/>
              <w:left w:type="dxa" w:w="80"/>
              <w:bottom w:type="dxa" w:w="60"/>
              <w:right w:type="dxa" w:w="80"/>
            </w:tcMar>
            <w:vAlign w:val="top"/>
          </w:tcPr>
          <w:p>
            <w:pPr>
              <w:spacing w:after="20"/>
            </w:pPr>
            <w:r>
              <w:rPr>
                <w:sz w:val="18"/>
                <w:szCs w:val="18"/>
              </w:rPr>
              <w:t xml:space="preserve">Add a truthful statement agreed by both authors, per the journal policy.</w:t>
            </w:r>
          </w:p>
        </w:tc>
        <w:tc>
          <w:tcPr>
            <w:tcW w:type="dxa" w:w="500"/>
            <w:shd w:fill="F4B183" w:val="clear"/>
            <w:tcMar>
              <w:top w:type="dxa" w:w="60"/>
              <w:left w:type="dxa" w:w="80"/>
              <w:bottom w:type="dxa" w:w="60"/>
              <w:right w:type="dxa" w:w="80"/>
            </w:tcMar>
            <w:vAlign w:val="top"/>
          </w:tcPr>
          <w:p>
            <w:pPr>
              <w:spacing w:after="20"/>
            </w:pPr>
            <w:r>
              <w:rPr>
                <w:b/>
                <w:bCs/>
                <w:sz w:val="18"/>
                <w:szCs w:val="18"/>
              </w:rPr>
              <w:t xml:space="preserve">P1</w:t>
            </w:r>
          </w:p>
        </w:tc>
      </w:tr>
      <w:tr>
        <w:trPr>
          <w:cantSplit/>
        </w:trPr>
        <w:tc>
          <w:tcPr>
            <w:tcW w:type="dxa" w:w="500"/>
            <w:tcMar>
              <w:top w:type="dxa" w:w="60"/>
              <w:left w:type="dxa" w:w="80"/>
              <w:bottom w:type="dxa" w:w="60"/>
              <w:right w:type="dxa" w:w="80"/>
            </w:tcMar>
            <w:vAlign w:val="top"/>
          </w:tcPr>
          <w:p>
            <w:pPr>
              <w:spacing w:after="20"/>
            </w:pPr>
            <w:r>
              <w:rPr>
                <w:sz w:val="18"/>
                <w:szCs w:val="18"/>
              </w:rPr>
              <w:t xml:space="preserve">F6</w:t>
            </w:r>
          </w:p>
        </w:tc>
        <w:tc>
          <w:tcPr>
            <w:tcW w:type="dxa" w:w="1200"/>
            <w:tcMar>
              <w:top w:type="dxa" w:w="60"/>
              <w:left w:type="dxa" w:w="80"/>
              <w:bottom w:type="dxa" w:w="60"/>
              <w:right w:type="dxa" w:w="80"/>
            </w:tcMar>
            <w:vAlign w:val="top"/>
          </w:tcPr>
          <w:p>
            <w:pPr>
              <w:spacing w:after="20"/>
            </w:pPr>
            <w:r>
              <w:rPr>
                <w:sz w:val="18"/>
                <w:szCs w:val="18"/>
              </w:rPr>
              <w:t xml:space="preserve">4.2, 5.1, 6.3, H3</w:t>
            </w:r>
          </w:p>
        </w:tc>
        <w:tc>
          <w:tcPr>
            <w:tcW w:type="dxa" w:w="3900"/>
            <w:tcMar>
              <w:top w:type="dxa" w:w="60"/>
              <w:left w:type="dxa" w:w="80"/>
              <w:bottom w:type="dxa" w:w="60"/>
              <w:right w:type="dxa" w:w="80"/>
            </w:tcMar>
            <w:vAlign w:val="top"/>
          </w:tcPr>
          <w:p>
            <w:pPr>
              <w:spacing w:after="20"/>
            </w:pPr>
            <w:r>
              <w:rPr>
                <w:sz w:val="18"/>
                <w:szCs w:val="18"/>
              </w:rPr>
              <w:t xml:space="preserve">Weak single-run baselines: at most 5 epochs, one seed, Fold 1 only. ResNet-50 reaches 0.70 accuracy and ECE 0.38 on BRISC four-class, while the BRISC authors report about 99.6% accuracy for their own model (arXiv). The Introduction speaks of models with 'high benchmark performance'; the audited ones are not. Section 6.3 then attributes ResNet's lower sensitivity to 'receptive field constraints'. This is untested: delta is a drop in probability, so it depends on baseline confidence and calibration, which differ greatly (ECE 0.04-0.09 vs 0.18-0.39).</w:t>
            </w:r>
          </w:p>
        </w:tc>
        <w:tc>
          <w:tcPr>
            <w:tcW w:type="dxa" w:w="3200"/>
            <w:tcMar>
              <w:top w:type="dxa" w:w="60"/>
              <w:left w:type="dxa" w:w="80"/>
              <w:bottom w:type="dxa" w:w="60"/>
              <w:right w:type="dxa" w:w="80"/>
            </w:tcMar>
            <w:vAlign w:val="top"/>
          </w:tcPr>
          <w:p>
            <w:pPr>
              <w:spacing w:after="20"/>
            </w:pPr>
            <w:r>
              <w:rPr>
                <w:sz w:val="18"/>
                <w:szCs w:val="18"/>
              </w:rPr>
              <w:t xml:space="preserve">Train to convergence with a tuned learning rate for each model; report all five Cheng folds (or justify Fold 1); add seeds if feasible; condition on correctly classified slices or normalise by baseline probability; present 6.3 as a hypothesis.</w:t>
            </w:r>
          </w:p>
        </w:tc>
        <w:tc>
          <w:tcPr>
            <w:tcW w:type="dxa" w:w="500"/>
            <w:shd w:fill="FFE699" w:val="clear"/>
            <w:tcMar>
              <w:top w:type="dxa" w:w="60"/>
              <w:left w:type="dxa" w:w="80"/>
              <w:bottom w:type="dxa" w:w="60"/>
              <w:right w:type="dxa" w:w="80"/>
            </w:tcMar>
            <w:vAlign w:val="top"/>
          </w:tcPr>
          <w:p>
            <w:pPr>
              <w:spacing w:after="20"/>
            </w:pPr>
            <w:r>
              <w:rPr>
                <w:b/>
                <w:bCs/>
                <w:sz w:val="18"/>
                <w:szCs w:val="18"/>
              </w:rPr>
              <w:t xml:space="preserve">P2</w:t>
            </w:r>
          </w:p>
        </w:tc>
      </w:tr>
      <w:tr>
        <w:trPr>
          <w:cantSplit/>
        </w:trPr>
        <w:tc>
          <w:tcPr>
            <w:tcW w:type="dxa" w:w="500"/>
            <w:tcMar>
              <w:top w:type="dxa" w:w="60"/>
              <w:left w:type="dxa" w:w="80"/>
              <w:bottom w:type="dxa" w:w="60"/>
              <w:right w:type="dxa" w:w="80"/>
            </w:tcMar>
            <w:vAlign w:val="top"/>
          </w:tcPr>
          <w:p>
            <w:pPr>
              <w:spacing w:after="20"/>
            </w:pPr>
            <w:r>
              <w:rPr>
                <w:sz w:val="18"/>
                <w:szCs w:val="18"/>
              </w:rPr>
              <w:t xml:space="preserve">F7</w:t>
            </w:r>
          </w:p>
        </w:tc>
        <w:tc>
          <w:tcPr>
            <w:tcW w:type="dxa" w:w="1200"/>
            <w:tcMar>
              <w:top w:type="dxa" w:w="60"/>
              <w:left w:type="dxa" w:w="80"/>
              <w:bottom w:type="dxa" w:w="60"/>
              <w:right w:type="dxa" w:w="80"/>
            </w:tcMar>
            <w:vAlign w:val="top"/>
          </w:tcPr>
          <w:p>
            <w:pPr>
              <w:spacing w:after="20"/>
            </w:pPr>
            <w:r>
              <w:rPr>
                <w:sz w:val="18"/>
                <w:szCs w:val="18"/>
              </w:rPr>
              <w:t xml:space="preserve">3.x, 5.2</w:t>
            </w:r>
          </w:p>
        </w:tc>
        <w:tc>
          <w:tcPr>
            <w:tcW w:type="dxa" w:w="3900"/>
            <w:tcMar>
              <w:top w:type="dxa" w:w="60"/>
              <w:left w:type="dxa" w:w="80"/>
              <w:bottom w:type="dxa" w:w="60"/>
              <w:right w:type="dxa" w:w="80"/>
            </w:tcMar>
            <w:vAlign w:val="top"/>
          </w:tcPr>
          <w:p>
            <w:pPr>
              <w:spacing w:after="20"/>
            </w:pPr>
            <w:r>
              <w:rPr>
                <w:sz w:val="18"/>
                <w:szCs w:val="18"/>
              </w:rPr>
              <w:t xml:space="preserve">The rule for choosing the 45 + 45 slices is not given (random? stratified by class and plane? which fold? from the clean subset?). Arithmetic: 1,200 interventions = 120 slices x 5 regions x 2 methods, but only 90 slices (1,800 observations) are evaluated; the other 30 are not explained.</w:t>
            </w:r>
          </w:p>
        </w:tc>
        <w:tc>
          <w:tcPr>
            <w:tcW w:type="dxa" w:w="3200"/>
            <w:tcMar>
              <w:top w:type="dxa" w:w="60"/>
              <w:left w:type="dxa" w:w="80"/>
              <w:bottom w:type="dxa" w:w="60"/>
              <w:right w:type="dxa" w:w="80"/>
            </w:tcMar>
            <w:vAlign w:val="top"/>
          </w:tcPr>
          <w:p>
            <w:pPr>
              <w:spacing w:after="20"/>
            </w:pPr>
            <w:r>
              <w:rPr>
                <w:sz w:val="18"/>
                <w:szCs w:val="18"/>
              </w:rPr>
              <w:t xml:space="preserve">Describe the sampling (rule, seed, source partition) and why 30 slices were excluded.</w:t>
            </w:r>
          </w:p>
        </w:tc>
        <w:tc>
          <w:tcPr>
            <w:tcW w:type="dxa" w:w="500"/>
            <w:shd w:fill="FFE699" w:val="clear"/>
            <w:tcMar>
              <w:top w:type="dxa" w:w="60"/>
              <w:left w:type="dxa" w:w="80"/>
              <w:bottom w:type="dxa" w:w="60"/>
              <w:right w:type="dxa" w:w="80"/>
            </w:tcMar>
            <w:vAlign w:val="top"/>
          </w:tcPr>
          <w:p>
            <w:pPr>
              <w:spacing w:after="20"/>
            </w:pPr>
            <w:r>
              <w:rPr>
                <w:b/>
                <w:bCs/>
                <w:sz w:val="18"/>
                <w:szCs w:val="18"/>
              </w:rPr>
              <w:t xml:space="preserve">P2</w:t>
            </w:r>
          </w:p>
        </w:tc>
      </w:tr>
      <w:tr>
        <w:trPr>
          <w:cantSplit/>
        </w:trPr>
        <w:tc>
          <w:tcPr>
            <w:tcW w:type="dxa" w:w="500"/>
            <w:tcMar>
              <w:top w:type="dxa" w:w="60"/>
              <w:left w:type="dxa" w:w="80"/>
              <w:bottom w:type="dxa" w:w="60"/>
              <w:right w:type="dxa" w:w="80"/>
            </w:tcMar>
            <w:vAlign w:val="top"/>
          </w:tcPr>
          <w:p>
            <w:pPr>
              <w:spacing w:after="20"/>
            </w:pPr>
            <w:r>
              <w:rPr>
                <w:sz w:val="18"/>
                <w:szCs w:val="18"/>
              </w:rPr>
              <w:t xml:space="preserve">F8</w:t>
            </w:r>
          </w:p>
        </w:tc>
        <w:tc>
          <w:tcPr>
            <w:tcW w:type="dxa" w:w="1200"/>
            <w:tcMar>
              <w:top w:type="dxa" w:w="60"/>
              <w:left w:type="dxa" w:w="80"/>
              <w:bottom w:type="dxa" w:w="60"/>
              <w:right w:type="dxa" w:w="80"/>
            </w:tcMar>
            <w:vAlign w:val="top"/>
          </w:tcPr>
          <w:p>
            <w:pPr>
              <w:spacing w:after="20"/>
            </w:pPr>
            <w:r>
              <w:rPr>
                <w:sz w:val="18"/>
                <w:szCs w:val="18"/>
              </w:rPr>
              <w:t xml:space="preserve">4.3, 4.5</w:t>
            </w:r>
          </w:p>
        </w:tc>
        <w:tc>
          <w:tcPr>
            <w:tcW w:type="dxa" w:w="3900"/>
            <w:tcMar>
              <w:top w:type="dxa" w:w="60"/>
              <w:left w:type="dxa" w:w="80"/>
              <w:bottom w:type="dxa" w:w="60"/>
              <w:right w:type="dxa" w:w="80"/>
            </w:tcMar>
            <w:vAlign w:val="top"/>
          </w:tcPr>
          <w:p>
            <w:pPr>
              <w:spacing w:after="20"/>
            </w:pPr>
            <w:r>
              <w:rPr>
                <w:sz w:val="18"/>
                <w:szCs w:val="18"/>
              </w:rPr>
              <w:t xml:space="preserve">Regions differ in area (lesion mask, 4 px ring, 12 px ring, remote patch of unstated size), but only the sham is matched to the core. Differences between regions may reflect area, not anatomy.</w:t>
            </w:r>
          </w:p>
        </w:tc>
        <w:tc>
          <w:tcPr>
            <w:tcW w:type="dxa" w:w="3200"/>
            <w:tcMar>
              <w:top w:type="dxa" w:w="60"/>
              <w:left w:type="dxa" w:w="80"/>
              <w:bottom w:type="dxa" w:w="60"/>
              <w:right w:type="dxa" w:w="80"/>
            </w:tcMar>
            <w:vAlign w:val="top"/>
          </w:tcPr>
          <w:p>
            <w:pPr>
              <w:spacing w:after="20"/>
            </w:pPr>
            <w:r>
              <w:rPr>
                <w:sz w:val="18"/>
                <w:szCs w:val="18"/>
              </w:rPr>
              <w:t xml:space="preserve">Report region areas; add area-matched shams or normalise per pixel.</w:t>
            </w:r>
          </w:p>
        </w:tc>
        <w:tc>
          <w:tcPr>
            <w:tcW w:type="dxa" w:w="500"/>
            <w:shd w:fill="FFE699" w:val="clear"/>
            <w:tcMar>
              <w:top w:type="dxa" w:w="60"/>
              <w:left w:type="dxa" w:w="80"/>
              <w:bottom w:type="dxa" w:w="60"/>
              <w:right w:type="dxa" w:w="80"/>
            </w:tcMar>
            <w:vAlign w:val="top"/>
          </w:tcPr>
          <w:p>
            <w:pPr>
              <w:spacing w:after="20"/>
            </w:pPr>
            <w:r>
              <w:rPr>
                <w:b/>
                <w:bCs/>
                <w:sz w:val="18"/>
                <w:szCs w:val="18"/>
              </w:rPr>
              <w:t xml:space="preserve">P2</w:t>
            </w:r>
          </w:p>
        </w:tc>
      </w:tr>
      <w:tr>
        <w:trPr>
          <w:cantSplit/>
        </w:trPr>
        <w:tc>
          <w:tcPr>
            <w:tcW w:type="dxa" w:w="500"/>
            <w:tcMar>
              <w:top w:type="dxa" w:w="60"/>
              <w:left w:type="dxa" w:w="80"/>
              <w:bottom w:type="dxa" w:w="60"/>
              <w:right w:type="dxa" w:w="80"/>
            </w:tcMar>
            <w:vAlign w:val="top"/>
          </w:tcPr>
          <w:p>
            <w:pPr>
              <w:spacing w:after="20"/>
            </w:pPr>
            <w:r>
              <w:rPr>
                <w:sz w:val="18"/>
                <w:szCs w:val="18"/>
              </w:rPr>
              <w:t xml:space="preserve">F9</w:t>
            </w:r>
          </w:p>
        </w:tc>
        <w:tc>
          <w:tcPr>
            <w:tcW w:type="dxa" w:w="1200"/>
            <w:tcMar>
              <w:top w:type="dxa" w:w="60"/>
              <w:left w:type="dxa" w:w="80"/>
              <w:bottom w:type="dxa" w:w="60"/>
              <w:right w:type="dxa" w:w="80"/>
            </w:tcMar>
            <w:vAlign w:val="top"/>
          </w:tcPr>
          <w:p>
            <w:pPr>
              <w:spacing w:after="20"/>
            </w:pPr>
            <w:r>
              <w:rPr>
                <w:sz w:val="18"/>
                <w:szCs w:val="18"/>
              </w:rPr>
              <w:t xml:space="preserve">5.3, 5.7, 5.9, Intro</w:t>
            </w:r>
          </w:p>
        </w:tc>
        <w:tc>
          <w:tcPr>
            <w:tcW w:type="dxa" w:w="3900"/>
            <w:tcMar>
              <w:top w:type="dxa" w:w="60"/>
              <w:left w:type="dxa" w:w="80"/>
              <w:bottom w:type="dxa" w:w="60"/>
              <w:right w:type="dxa" w:w="80"/>
            </w:tcMar>
            <w:vAlign w:val="top"/>
          </w:tcPr>
          <w:p>
            <w:pPr>
              <w:spacing w:after="20"/>
            </w:pPr>
            <w:r>
              <w:rPr>
                <w:sz w:val="18"/>
                <w:szCs w:val="18"/>
              </w:rPr>
              <w:t xml:space="preserve">Overclaims. (a) 'Both levels of inference indicate core sensitivity above sham': the clustered t-tests are p = 0.0534 and 0.0771 and the clustered Wilcoxon is 0.0488 (n = 10, uncorrected). (b) Hypothesis 3 is called 'supported' with Holm p = 0.098 and Cheng-only cluster p = 0.232. (c) Section 5.7 says class differences 'correspond with radiological characteristics' and cites dural tails and infiltrative margins, from 15 slices per class. (d) 'Prior studies evaluated CNNs exclusively'.</w:t>
            </w:r>
          </w:p>
        </w:tc>
        <w:tc>
          <w:tcPr>
            <w:tcW w:type="dxa" w:w="3200"/>
            <w:tcMar>
              <w:top w:type="dxa" w:w="60"/>
              <w:left w:type="dxa" w:w="80"/>
              <w:bottom w:type="dxa" w:w="60"/>
              <w:right w:type="dxa" w:w="80"/>
            </w:tcMar>
            <w:vAlign w:val="top"/>
          </w:tcPr>
          <w:p>
            <w:pPr>
              <w:spacing w:after="20"/>
            </w:pPr>
            <w:r>
              <w:rPr>
                <w:sz w:val="18"/>
                <w:szCs w:val="18"/>
              </w:rPr>
              <w:t xml:space="preserve">(a) call it borderline; (b) 'inconclusive / partially supported'; (c) keep descriptive or delete the radiological explanations; (d) 'among the studies we reviewed'.</w:t>
            </w:r>
          </w:p>
        </w:tc>
        <w:tc>
          <w:tcPr>
            <w:tcW w:type="dxa" w:w="500"/>
            <w:shd w:fill="FFE699" w:val="clear"/>
            <w:tcMar>
              <w:top w:type="dxa" w:w="60"/>
              <w:left w:type="dxa" w:w="80"/>
              <w:bottom w:type="dxa" w:w="60"/>
              <w:right w:type="dxa" w:w="80"/>
            </w:tcMar>
            <w:vAlign w:val="top"/>
          </w:tcPr>
          <w:p>
            <w:pPr>
              <w:spacing w:after="20"/>
            </w:pPr>
            <w:r>
              <w:rPr>
                <w:b/>
                <w:bCs/>
                <w:sz w:val="18"/>
                <w:szCs w:val="18"/>
              </w:rPr>
              <w:t xml:space="preserve">P2</w:t>
            </w:r>
          </w:p>
        </w:tc>
      </w:tr>
      <w:tr>
        <w:trPr>
          <w:cantSplit/>
        </w:trPr>
        <w:tc>
          <w:tcPr>
            <w:tcW w:type="dxa" w:w="500"/>
            <w:tcMar>
              <w:top w:type="dxa" w:w="60"/>
              <w:left w:type="dxa" w:w="80"/>
              <w:bottom w:type="dxa" w:w="60"/>
              <w:right w:type="dxa" w:w="80"/>
            </w:tcMar>
            <w:vAlign w:val="top"/>
          </w:tcPr>
          <w:p>
            <w:pPr>
              <w:spacing w:after="20"/>
            </w:pPr>
            <w:r>
              <w:rPr>
                <w:sz w:val="18"/>
                <w:szCs w:val="18"/>
              </w:rPr>
              <w:t xml:space="preserve">F10</w:t>
            </w:r>
          </w:p>
        </w:tc>
        <w:tc>
          <w:tcPr>
            <w:tcW w:type="dxa" w:w="1200"/>
            <w:tcMar>
              <w:top w:type="dxa" w:w="60"/>
              <w:left w:type="dxa" w:w="80"/>
              <w:bottom w:type="dxa" w:w="60"/>
              <w:right w:type="dxa" w:w="80"/>
            </w:tcMar>
            <w:vAlign w:val="top"/>
          </w:tcPr>
          <w:p>
            <w:pPr>
              <w:spacing w:after="20"/>
            </w:pPr>
            <w:r>
              <w:rPr>
                <w:sz w:val="18"/>
                <w:szCs w:val="18"/>
              </w:rPr>
              <w:t xml:space="preserve">3.x (line on Cheng-BRISC screening)</w:t>
            </w:r>
          </w:p>
        </w:tc>
        <w:tc>
          <w:tcPr>
            <w:tcW w:type="dxa" w:w="3900"/>
            <w:tcMar>
              <w:top w:type="dxa" w:w="60"/>
              <w:left w:type="dxa" w:w="80"/>
              <w:bottom w:type="dxa" w:w="60"/>
              <w:right w:type="dxa" w:w="80"/>
            </w:tcMar>
            <w:vAlign w:val="top"/>
          </w:tcPr>
          <w:p>
            <w:pPr>
              <w:spacing w:after="20"/>
            </w:pPr>
            <w:r>
              <w:rPr>
                <w:sz w:val="18"/>
                <w:szCs w:val="18"/>
              </w:rPr>
              <w:t xml:space="preserve">'0 duplicate pairs and SSIM 0.28-0.58 confirmed independent clinical cohorts.' Exact hashes and SSIM cannot show independence. BRISC states it was collated from public datasets (arXiv v5: including the Kaggle 'Brain Tumor MRI Dataset'); as far as I know that collection also draws on the Figshare data used here, so overlap is possible, and skull-stripping and resizing defeat exact matching.</w:t>
            </w:r>
          </w:p>
        </w:tc>
        <w:tc>
          <w:tcPr>
            <w:tcW w:type="dxa" w:w="3200"/>
            <w:tcMar>
              <w:top w:type="dxa" w:w="60"/>
              <w:left w:type="dxa" w:w="80"/>
              <w:bottom w:type="dxa" w:w="60"/>
              <w:right w:type="dxa" w:w="80"/>
            </w:tcMar>
            <w:vAlign w:val="top"/>
          </w:tcPr>
          <w:p>
            <w:pPr>
              <w:spacing w:after="20"/>
            </w:pPr>
            <w:r>
              <w:rPr>
                <w:sz w:val="18"/>
                <w:szCs w:val="18"/>
              </w:rPr>
              <w:t xml:space="preserve">Soften the sentence, or run a perceptual or feature-based near-duplicate search; state BRISC's sources.</w:t>
            </w:r>
          </w:p>
        </w:tc>
        <w:tc>
          <w:tcPr>
            <w:tcW w:type="dxa" w:w="500"/>
            <w:shd w:fill="FFE699" w:val="clear"/>
            <w:tcMar>
              <w:top w:type="dxa" w:w="60"/>
              <w:left w:type="dxa" w:w="80"/>
              <w:bottom w:type="dxa" w:w="60"/>
              <w:right w:type="dxa" w:w="80"/>
            </w:tcMar>
            <w:vAlign w:val="top"/>
          </w:tcPr>
          <w:p>
            <w:pPr>
              <w:spacing w:after="20"/>
            </w:pPr>
            <w:r>
              <w:rPr>
                <w:b/>
                <w:bCs/>
                <w:sz w:val="18"/>
                <w:szCs w:val="18"/>
              </w:rPr>
              <w:t xml:space="preserve">P2</w:t>
            </w:r>
          </w:p>
        </w:tc>
      </w:tr>
      <w:tr>
        <w:trPr>
          <w:cantSplit/>
        </w:trPr>
        <w:tc>
          <w:tcPr>
            <w:tcW w:type="dxa" w:w="500"/>
            <w:tcMar>
              <w:top w:type="dxa" w:w="60"/>
              <w:left w:type="dxa" w:w="80"/>
              <w:bottom w:type="dxa" w:w="60"/>
              <w:right w:type="dxa" w:w="80"/>
            </w:tcMar>
            <w:vAlign w:val="top"/>
          </w:tcPr>
          <w:p>
            <w:pPr>
              <w:spacing w:after="20"/>
            </w:pPr>
            <w:r>
              <w:rPr>
                <w:sz w:val="18"/>
                <w:szCs w:val="18"/>
              </w:rPr>
              <w:t xml:space="preserve">F11</w:t>
            </w:r>
          </w:p>
        </w:tc>
        <w:tc>
          <w:tcPr>
            <w:tcW w:type="dxa" w:w="1200"/>
            <w:tcMar>
              <w:top w:type="dxa" w:w="60"/>
              <w:left w:type="dxa" w:w="80"/>
              <w:bottom w:type="dxa" w:w="60"/>
              <w:right w:type="dxa" w:w="80"/>
            </w:tcMar>
            <w:vAlign w:val="top"/>
          </w:tcPr>
          <w:p>
            <w:pPr>
              <w:spacing w:after="20"/>
            </w:pPr>
            <w:r>
              <w:rPr>
                <w:sz w:val="18"/>
                <w:szCs w:val="18"/>
              </w:rPr>
              <w:t xml:space="preserve">Table 2</w:t>
            </w:r>
          </w:p>
        </w:tc>
        <w:tc>
          <w:tcPr>
            <w:tcW w:type="dxa" w:w="3900"/>
            <w:tcMar>
              <w:top w:type="dxa" w:w="60"/>
              <w:left w:type="dxa" w:w="80"/>
              <w:bottom w:type="dxa" w:w="60"/>
              <w:right w:type="dxa" w:w="80"/>
            </w:tcMar>
            <w:vAlign w:val="top"/>
          </w:tcPr>
          <w:p>
            <w:pPr>
              <w:spacing w:after="20"/>
            </w:pPr>
            <w:r>
              <w:rPr>
                <w:sz w:val="18"/>
                <w:szCs w:val="18"/>
              </w:rPr>
              <w:t xml:space="preserve">Only 12 of the 40 region x model x method x cohort rows are shown ('highlighted comparisons'). BRISC ResNet and several Cheng ResNet rows are missing, although the pooled values depend on them.</w:t>
            </w:r>
          </w:p>
        </w:tc>
        <w:tc>
          <w:tcPr>
            <w:tcW w:type="dxa" w:w="3200"/>
            <w:tcMar>
              <w:top w:type="dxa" w:w="60"/>
              <w:left w:type="dxa" w:w="80"/>
              <w:bottom w:type="dxa" w:w="60"/>
              <w:right w:type="dxa" w:w="80"/>
            </w:tcMar>
            <w:vAlign w:val="top"/>
          </w:tcPr>
          <w:p>
            <w:pPr>
              <w:spacing w:after="20"/>
            </w:pPr>
            <w:r>
              <w:rPr>
                <w:sz w:val="18"/>
                <w:szCs w:val="18"/>
              </w:rPr>
              <w:t xml:space="preserve">Give the full table in a supplement and the rule for the rows shown; run Holm over the whole family.</w:t>
            </w:r>
          </w:p>
        </w:tc>
        <w:tc>
          <w:tcPr>
            <w:tcW w:type="dxa" w:w="500"/>
            <w:shd w:fill="FFE699" w:val="clear"/>
            <w:tcMar>
              <w:top w:type="dxa" w:w="60"/>
              <w:left w:type="dxa" w:w="80"/>
              <w:bottom w:type="dxa" w:w="60"/>
              <w:right w:type="dxa" w:w="80"/>
            </w:tcMar>
            <w:vAlign w:val="top"/>
          </w:tcPr>
          <w:p>
            <w:pPr>
              <w:spacing w:after="20"/>
            </w:pPr>
            <w:r>
              <w:rPr>
                <w:b/>
                <w:bCs/>
                <w:sz w:val="18"/>
                <w:szCs w:val="18"/>
              </w:rPr>
              <w:t xml:space="preserve">P2</w:t>
            </w:r>
          </w:p>
        </w:tc>
      </w:tr>
      <w:tr>
        <w:trPr>
          <w:cantSplit/>
        </w:trPr>
        <w:tc>
          <w:tcPr>
            <w:tcW w:type="dxa" w:w="500"/>
            <w:tcMar>
              <w:top w:type="dxa" w:w="60"/>
              <w:left w:type="dxa" w:w="80"/>
              <w:bottom w:type="dxa" w:w="60"/>
              <w:right w:type="dxa" w:w="80"/>
            </w:tcMar>
            <w:vAlign w:val="top"/>
          </w:tcPr>
          <w:p>
            <w:pPr>
              <w:spacing w:after="20"/>
            </w:pPr>
            <w:r>
              <w:rPr>
                <w:sz w:val="18"/>
                <w:szCs w:val="18"/>
              </w:rPr>
              <w:t xml:space="preserve">F12</w:t>
            </w:r>
          </w:p>
        </w:tc>
        <w:tc>
          <w:tcPr>
            <w:tcW w:type="dxa" w:w="1200"/>
            <w:tcMar>
              <w:top w:type="dxa" w:w="60"/>
              <w:left w:type="dxa" w:w="80"/>
              <w:bottom w:type="dxa" w:w="60"/>
              <w:right w:type="dxa" w:w="80"/>
            </w:tcMar>
            <w:vAlign w:val="top"/>
          </w:tcPr>
          <w:p>
            <w:pPr>
              <w:spacing w:after="20"/>
            </w:pPr>
            <w:r>
              <w:rPr>
                <w:sz w:val="18"/>
                <w:szCs w:val="18"/>
              </w:rPr>
              <w:t xml:space="preserve">References</w:t>
            </w:r>
          </w:p>
        </w:tc>
        <w:tc>
          <w:tcPr>
            <w:tcW w:type="dxa" w:w="3900"/>
            <w:tcMar>
              <w:top w:type="dxa" w:w="60"/>
              <w:left w:type="dxa" w:w="80"/>
              <w:bottom w:type="dxa" w:w="60"/>
              <w:right w:type="dxa" w:w="80"/>
            </w:tcMar>
            <w:vAlign w:val="top"/>
          </w:tcPr>
          <w:p>
            <w:pPr>
              <w:spacing w:after="20"/>
            </w:pPr>
            <w:r>
              <w:rPr>
                <w:sz w:val="18"/>
                <w:szCs w:val="18"/>
              </w:rPr>
              <w:t xml:space="preserve">Check each on the publisher page. [5] article number: Essex's record gives 361, text says 412. [12] Goyal et al., Counterfactual Visual Explanations, is, as far as I know, ICML 2019, not ICCV pp. 8796-8807. [6] the title ('...using machine learning') does not match the published title. [1] first initial (I believe D. Wallis); [3] first initial (I believe E. B. Rossi); [4] the author list looks wrong; [15] title, pages and DOI do not match the Bentaieb and Hamarneh MICCAI 2016 paper I know. [13] and [15] are never cited. Section 3: 'other external replication audits report varying hash-cleaning counts' has no citation.</w:t>
            </w:r>
          </w:p>
        </w:tc>
        <w:tc>
          <w:tcPr>
            <w:tcW w:type="dxa" w:w="3200"/>
            <w:tcMar>
              <w:top w:type="dxa" w:w="60"/>
              <w:left w:type="dxa" w:w="80"/>
              <w:bottom w:type="dxa" w:w="60"/>
              <w:right w:type="dxa" w:w="80"/>
            </w:tcMar>
            <w:vAlign w:val="top"/>
          </w:tcPr>
          <w:p>
            <w:pPr>
              <w:spacing w:after="20"/>
            </w:pPr>
            <w:r>
              <w:rPr>
                <w:sz w:val="18"/>
                <w:szCs w:val="18"/>
              </w:rPr>
              <w:t xml:space="preserve">Correct each entry from the source; cite or delete.</w:t>
            </w:r>
          </w:p>
        </w:tc>
        <w:tc>
          <w:tcPr>
            <w:tcW w:type="dxa" w:w="500"/>
            <w:shd w:fill="FFE699" w:val="clear"/>
            <w:tcMar>
              <w:top w:type="dxa" w:w="60"/>
              <w:left w:type="dxa" w:w="80"/>
              <w:bottom w:type="dxa" w:w="60"/>
              <w:right w:type="dxa" w:w="80"/>
            </w:tcMar>
            <w:vAlign w:val="top"/>
          </w:tcPr>
          <w:p>
            <w:pPr>
              <w:spacing w:after="20"/>
            </w:pPr>
            <w:r>
              <w:rPr>
                <w:b/>
                <w:bCs/>
                <w:sz w:val="18"/>
                <w:szCs w:val="18"/>
              </w:rPr>
              <w:t xml:space="preserve">P2</w:t>
            </w:r>
          </w:p>
        </w:tc>
      </w:tr>
      <w:tr>
        <w:trPr>
          <w:cantSplit/>
        </w:trPr>
        <w:tc>
          <w:tcPr>
            <w:tcW w:type="dxa" w:w="500"/>
            <w:tcMar>
              <w:top w:type="dxa" w:w="60"/>
              <w:left w:type="dxa" w:w="80"/>
              <w:bottom w:type="dxa" w:w="60"/>
              <w:right w:type="dxa" w:w="80"/>
            </w:tcMar>
            <w:vAlign w:val="top"/>
          </w:tcPr>
          <w:p>
            <w:pPr>
              <w:spacing w:after="20"/>
            </w:pPr>
            <w:r>
              <w:rPr>
                <w:sz w:val="18"/>
                <w:szCs w:val="18"/>
              </w:rPr>
              <w:t xml:space="preserve">F13</w:t>
            </w:r>
          </w:p>
        </w:tc>
        <w:tc>
          <w:tcPr>
            <w:tcW w:type="dxa" w:w="1200"/>
            <w:tcMar>
              <w:top w:type="dxa" w:w="60"/>
              <w:left w:type="dxa" w:w="80"/>
              <w:bottom w:type="dxa" w:w="60"/>
              <w:right w:type="dxa" w:w="80"/>
            </w:tcMar>
            <w:vAlign w:val="top"/>
          </w:tcPr>
          <w:p>
            <w:pPr>
              <w:spacing w:after="20"/>
            </w:pPr>
            <w:r>
              <w:rPr>
                <w:sz w:val="18"/>
                <w:szCs w:val="18"/>
              </w:rPr>
              <w:t xml:space="preserve">Methods, Declarations</w:t>
            </w:r>
          </w:p>
        </w:tc>
        <w:tc>
          <w:tcPr>
            <w:tcW w:type="dxa" w:w="3900"/>
            <w:tcMar>
              <w:top w:type="dxa" w:w="60"/>
              <w:left w:type="dxa" w:w="80"/>
              <w:bottom w:type="dxa" w:w="60"/>
              <w:right w:type="dxa" w:w="80"/>
            </w:tcMar>
            <w:vAlign w:val="top"/>
          </w:tcPr>
          <w:p>
            <w:pPr>
              <w:spacing w:after="20"/>
            </w:pPr>
            <w:r>
              <w:rPr>
                <w:sz w:val="18"/>
                <w:szCs w:val="18"/>
              </w:rPr>
              <w:t xml:space="preserve">No software versions, hardware or run time; code URL missing; checkpoints are not shared, so the counterfactual results cannot be reproduced.</w:t>
            </w:r>
          </w:p>
        </w:tc>
        <w:tc>
          <w:tcPr>
            <w:tcW w:type="dxa" w:w="3200"/>
            <w:tcMar>
              <w:top w:type="dxa" w:w="60"/>
              <w:left w:type="dxa" w:w="80"/>
              <w:bottom w:type="dxa" w:w="60"/>
              <w:right w:type="dxa" w:w="80"/>
            </w:tcMar>
            <w:vAlign w:val="top"/>
          </w:tcPr>
          <w:p>
            <w:pPr>
              <w:spacing w:after="20"/>
            </w:pPr>
            <w:r>
              <w:rPr>
                <w:sz w:val="18"/>
                <w:szCs w:val="18"/>
              </w:rPr>
              <w:t xml:space="preserve">Add the environment; deposit code, predictions and checkpoints (Zenodo) and cite the DOI.</w:t>
            </w:r>
          </w:p>
        </w:tc>
        <w:tc>
          <w:tcPr>
            <w:tcW w:type="dxa" w:w="500"/>
            <w:shd w:fill="FFE699" w:val="clear"/>
            <w:tcMar>
              <w:top w:type="dxa" w:w="60"/>
              <w:left w:type="dxa" w:w="80"/>
              <w:bottom w:type="dxa" w:w="60"/>
              <w:right w:type="dxa" w:w="80"/>
            </w:tcMar>
            <w:vAlign w:val="top"/>
          </w:tcPr>
          <w:p>
            <w:pPr>
              <w:spacing w:after="20"/>
            </w:pPr>
            <w:r>
              <w:rPr>
                <w:b/>
                <w:bCs/>
                <w:sz w:val="18"/>
                <w:szCs w:val="18"/>
              </w:rPr>
              <w:t xml:space="preserve">P2</w:t>
            </w:r>
          </w:p>
        </w:tc>
      </w:tr>
      <w:tr>
        <w:trPr>
          <w:cantSplit/>
        </w:trPr>
        <w:tc>
          <w:tcPr>
            <w:tcW w:type="dxa" w:w="500"/>
            <w:tcMar>
              <w:top w:type="dxa" w:w="60"/>
              <w:left w:type="dxa" w:w="80"/>
              <w:bottom w:type="dxa" w:w="60"/>
              <w:right w:type="dxa" w:w="80"/>
            </w:tcMar>
            <w:vAlign w:val="top"/>
          </w:tcPr>
          <w:p>
            <w:pPr>
              <w:spacing w:after="20"/>
            </w:pPr>
            <w:r>
              <w:rPr>
                <w:sz w:val="18"/>
                <w:szCs w:val="18"/>
              </w:rPr>
              <w:t xml:space="preserve">F14</w:t>
            </w:r>
          </w:p>
        </w:tc>
        <w:tc>
          <w:tcPr>
            <w:tcW w:type="dxa" w:w="1200"/>
            <w:tcMar>
              <w:top w:type="dxa" w:w="60"/>
              <w:left w:type="dxa" w:w="80"/>
              <w:bottom w:type="dxa" w:w="60"/>
              <w:right w:type="dxa" w:w="80"/>
            </w:tcMar>
            <w:vAlign w:val="top"/>
          </w:tcPr>
          <w:p>
            <w:pPr>
              <w:spacing w:after="20"/>
            </w:pPr>
            <w:r>
              <w:rPr>
                <w:sz w:val="18"/>
                <w:szCs w:val="18"/>
              </w:rPr>
              <w:t xml:space="preserve">Figures</w:t>
            </w:r>
          </w:p>
        </w:tc>
        <w:tc>
          <w:tcPr>
            <w:tcW w:type="dxa" w:w="3900"/>
            <w:tcMar>
              <w:top w:type="dxa" w:w="60"/>
              <w:left w:type="dxa" w:w="80"/>
              <w:bottom w:type="dxa" w:w="60"/>
              <w:right w:type="dxa" w:w="80"/>
            </w:tcMar>
            <w:vAlign w:val="top"/>
          </w:tcPr>
          <w:p>
            <w:pPr>
              <w:spacing w:after="20"/>
            </w:pPr>
            <w:r>
              <w:rPr>
                <w:sz w:val="18"/>
                <w:szCs w:val="18"/>
              </w:rPr>
              <w:t xml:space="preserve">Fig. 10 is cited (5.2) before Fig. 4 (5.3): renumber in order of appearance. Fig. 4 pools both cohorts (N = 90), but its caption does not say so, and it does not define the error bars or the star thresholds. Titles are embedded in the images and repeat the captions. Fig. 9's y-axis starts at 0.2.</w:t>
            </w:r>
          </w:p>
        </w:tc>
        <w:tc>
          <w:tcPr>
            <w:tcW w:type="dxa" w:w="3200"/>
            <w:tcMar>
              <w:top w:type="dxa" w:w="60"/>
              <w:left w:type="dxa" w:w="80"/>
              <w:bottom w:type="dxa" w:w="60"/>
              <w:right w:type="dxa" w:w="80"/>
            </w:tcMar>
            <w:vAlign w:val="top"/>
          </w:tcPr>
          <w:p>
            <w:pPr>
              <w:spacing w:after="20"/>
            </w:pPr>
            <w:r>
              <w:rPr>
                <w:sz w:val="18"/>
                <w:szCs w:val="18"/>
              </w:rPr>
              <w:t xml:space="preserve">Fix captions and numbering; start bar axes at 0.</w:t>
            </w:r>
          </w:p>
        </w:tc>
        <w:tc>
          <w:tcPr>
            <w:tcW w:type="dxa" w:w="500"/>
            <w:shd w:fill="DDEBF7" w:val="clear"/>
            <w:tcMar>
              <w:top w:type="dxa" w:w="60"/>
              <w:left w:type="dxa" w:w="80"/>
              <w:bottom w:type="dxa" w:w="60"/>
              <w:right w:type="dxa" w:w="80"/>
            </w:tcMar>
            <w:vAlign w:val="top"/>
          </w:tcPr>
          <w:p>
            <w:pPr>
              <w:spacing w:after="20"/>
            </w:pPr>
            <w:r>
              <w:rPr>
                <w:b/>
                <w:bCs/>
                <w:sz w:val="18"/>
                <w:szCs w:val="18"/>
              </w:rPr>
              <w:t xml:space="preserve">P3</w:t>
            </w:r>
          </w:p>
        </w:tc>
      </w:tr>
      <w:tr>
        <w:trPr>
          <w:cantSplit/>
        </w:trPr>
        <w:tc>
          <w:tcPr>
            <w:tcW w:type="dxa" w:w="500"/>
            <w:tcMar>
              <w:top w:type="dxa" w:w="60"/>
              <w:left w:type="dxa" w:w="80"/>
              <w:bottom w:type="dxa" w:w="60"/>
              <w:right w:type="dxa" w:w="80"/>
            </w:tcMar>
            <w:vAlign w:val="top"/>
          </w:tcPr>
          <w:p>
            <w:pPr>
              <w:spacing w:after="20"/>
            </w:pPr>
            <w:r>
              <w:rPr>
                <w:sz w:val="18"/>
                <w:szCs w:val="18"/>
              </w:rPr>
              <w:t xml:space="preserve">F15</w:t>
            </w:r>
          </w:p>
        </w:tc>
        <w:tc>
          <w:tcPr>
            <w:tcW w:type="dxa" w:w="1200"/>
            <w:tcMar>
              <w:top w:type="dxa" w:w="60"/>
              <w:left w:type="dxa" w:w="80"/>
              <w:bottom w:type="dxa" w:w="60"/>
              <w:right w:type="dxa" w:w="80"/>
            </w:tcMar>
            <w:vAlign w:val="top"/>
          </w:tcPr>
          <w:p>
            <w:pPr>
              <w:spacing w:after="20"/>
            </w:pPr>
            <w:r>
              <w:rPr>
                <w:sz w:val="18"/>
                <w:szCs w:val="18"/>
              </w:rPr>
              <w:t xml:space="preserve">Title, author block</w:t>
            </w:r>
          </w:p>
        </w:tc>
        <w:tc>
          <w:tcPr>
            <w:tcW w:type="dxa" w:w="3900"/>
            <w:tcMar>
              <w:top w:type="dxa" w:w="60"/>
              <w:left w:type="dxa" w:w="80"/>
              <w:bottom w:type="dxa" w:w="60"/>
              <w:right w:type="dxa" w:w="80"/>
            </w:tcMar>
            <w:vAlign w:val="top"/>
          </w:tcPr>
          <w:p>
            <w:pPr>
              <w:spacing w:after="20"/>
            </w:pPr>
            <w:r>
              <w:rPr>
                <w:sz w:val="18"/>
                <w:szCs w:val="18"/>
              </w:rPr>
              <w:t xml:space="preserve">'Plane-stratified' overstates a descriptive split (15 slices per plane, no test). Author given as the single name 'Chhotu'. Dataset licences are not named.</w:t>
            </w:r>
          </w:p>
        </w:tc>
        <w:tc>
          <w:tcPr>
            <w:tcW w:type="dxa" w:w="3200"/>
            <w:tcMar>
              <w:top w:type="dxa" w:w="60"/>
              <w:left w:type="dxa" w:w="80"/>
              <w:bottom w:type="dxa" w:w="60"/>
              <w:right w:type="dxa" w:w="80"/>
            </w:tcMar>
            <w:vAlign w:val="top"/>
          </w:tcPr>
          <w:p>
            <w:pPr>
              <w:spacing w:after="20"/>
            </w:pPr>
            <w:r>
              <w:rPr>
                <w:sz w:val="18"/>
                <w:szCs w:val="18"/>
              </w:rPr>
              <w:t xml:space="preserve">'with descriptive plane stratification'; full given and family names; state the licences.</w:t>
            </w:r>
          </w:p>
        </w:tc>
        <w:tc>
          <w:tcPr>
            <w:tcW w:type="dxa" w:w="500"/>
            <w:shd w:fill="DDEBF7" w:val="clear"/>
            <w:tcMar>
              <w:top w:type="dxa" w:w="60"/>
              <w:left w:type="dxa" w:w="80"/>
              <w:bottom w:type="dxa" w:w="60"/>
              <w:right w:type="dxa" w:w="80"/>
            </w:tcMar>
            <w:vAlign w:val="top"/>
          </w:tcPr>
          <w:p>
            <w:pPr>
              <w:spacing w:after="20"/>
            </w:pPr>
            <w:r>
              <w:rPr>
                <w:b/>
                <w:bCs/>
                <w:sz w:val="18"/>
                <w:szCs w:val="18"/>
              </w:rPr>
              <w:t xml:space="preserve">P3</w:t>
            </w:r>
          </w:p>
        </w:tc>
      </w:tr>
    </w:tbl>
    <w:p>
      <w:pPr>
        <w:pStyle w:val="Heading1"/>
        <w:spacing w:after="120" w:before="280"/>
      </w:pPr>
      <w:r>
        <w:t xml:space="preserve">C. What I checked</w:t>
      </w:r>
    </w:p>
    <w:p>
      <w:pPr>
        <w:pStyle w:val="ListParagraph"/>
        <w:numPr>
          <w:ilvl w:val="0"/>
          <w:numId w:val="1"/>
        </w:numPr>
        <w:spacing w:after="60"/>
      </w:pPr>
      <w:r>
        <w:rPr>
          <w:b/>
          <w:bCs/>
          <w:sz w:val="21"/>
          <w:szCs w:val="21"/>
        </w:rPr>
        <w:t xml:space="preserve">Recomputed:</w:t>
      </w:r>
      <w:r>
        <w:rPr>
          <w:sz w:val="21"/>
          <w:szCs w:val="21"/>
        </w:rPr>
        <w:t xml:space="preserve"> Holm adjustment of the four Cheng DeiT Telea p-values (correct); the equal-N averages of Tables 3 and 4 against Table 2 (they do not agree); margin-to-core ratios in Table 4 (correct, 15.0 vs 15.1 rounding); the pooled DeiT and ResNet core values (0.0900 and 0.0161) against Fig. 4 (match); 1,200 = 120 x 5 x 2 and 1,800 = 90 x 5 x 2 x 2; Fig. 9 bars against Table 1 (the official bars match the N = 480 row; the clean bars do not).</w:t>
      </w:r>
    </w:p>
    <w:p>
      <w:pPr>
        <w:pStyle w:val="ListParagraph"/>
        <w:numPr>
          <w:ilvl w:val="0"/>
          <w:numId w:val="1"/>
        </w:numPr>
        <w:spacing w:after="60"/>
      </w:pPr>
      <w:r>
        <w:rPr>
          <w:b/>
          <w:bCs/>
          <w:sz w:val="21"/>
          <w:szCs w:val="21"/>
        </w:rPr>
        <w:t xml:space="preserve">Read against sources:</w:t>
      </w:r>
      <w:r>
        <w:rPr>
          <w:sz w:val="21"/>
          <w:szCs w:val="21"/>
        </w:rPr>
        <w:t xml:space="preserve"> reference [5] exists (Scientific Data 2026, DOI 10.1038/s41597-026-06753-y) and its authors state that de-duplication was done before the split, as the manuscript says; its article number is the open question. The abstract's baseline numbers match Table 1.</w:t>
      </w:r>
    </w:p>
    <w:p>
      <w:pPr>
        <w:pStyle w:val="ListParagraph"/>
        <w:numPr>
          <w:ilvl w:val="0"/>
          <w:numId w:val="1"/>
        </w:numPr>
        <w:spacing w:after="60"/>
      </w:pPr>
      <w:r>
        <w:rPr>
          <w:b/>
          <w:bCs/>
          <w:sz w:val="21"/>
          <w:szCs w:val="21"/>
        </w:rPr>
        <w:t xml:space="preserve">Not checked:</w:t>
      </w:r>
      <w:r>
        <w:rPr>
          <w:sz w:val="21"/>
          <w:szCs w:val="21"/>
        </w:rPr>
        <w:t xml:space="preserve"> the prediction CSVs, the repository, the other references' contents (including what [1] and [3] actually report), the BRISC plane counts and skull-stripping, and Figs 1-3, 5-8 beyond their captions.</w:t>
      </w:r>
    </w:p>
    <w:p>
      <w:pPr>
        <w:pStyle w:val="Heading1"/>
        <w:spacing w:after="120" w:before="280"/>
      </w:pPr>
      <w:r>
        <w:t xml:space="preserve">D. Order of work</w:t>
      </w:r>
    </w:p>
    <w:p>
      <w:pPr>
        <w:pStyle w:val="ListParagraph"/>
        <w:numPr>
          <w:ilvl w:val="0"/>
          <w:numId w:val="1"/>
        </w:numPr>
        <w:spacing w:after="60"/>
      </w:pPr>
      <w:r>
        <w:rPr>
          <w:sz w:val="21"/>
          <w:szCs w:val="21"/>
        </w:rPr>
        <w:t xml:space="preserve">Recompute everything BRISC-subset from the CSVs with a fixed label list (F2), then align Table 1, Fig. 9, 5.8 and the abstract (F1); reconcile Tables 3 and 4 with Table 2 (F3).</w:t>
      </w:r>
    </w:p>
    <w:p>
      <w:pPr>
        <w:pStyle w:val="ListParagraph"/>
        <w:numPr>
          <w:ilvl w:val="0"/>
          <w:numId w:val="1"/>
        </w:numPr>
        <w:spacing w:after="60"/>
      </w:pPr>
      <w:r>
        <w:rPr>
          <w:sz w:val="21"/>
          <w:szCs w:val="21"/>
        </w:rPr>
        <w:t xml:space="preserve">Insert the ethics determination and repository link, delete the process phrases, add the AI statement (F4, F5).</w:t>
      </w:r>
    </w:p>
    <w:p>
      <w:pPr>
        <w:pStyle w:val="ListParagraph"/>
        <w:numPr>
          <w:ilvl w:val="0"/>
          <w:numId w:val="1"/>
        </w:numPr>
        <w:spacing w:after="60"/>
      </w:pPr>
      <w:r>
        <w:rPr>
          <w:sz w:val="21"/>
          <w:szCs w:val="21"/>
        </w:rPr>
        <w:t xml:space="preserve">Describe the slice selection and the 30 unexplained slices; add the full Table 2 to a supplement; report region areas (F7, F8, F11).</w:t>
      </w:r>
    </w:p>
    <w:p>
      <w:pPr>
        <w:pStyle w:val="ListParagraph"/>
        <w:numPr>
          <w:ilvl w:val="0"/>
          <w:numId w:val="1"/>
        </w:numPr>
        <w:spacing w:after="60"/>
      </w:pPr>
      <w:r>
        <w:rPr>
          <w:sz w:val="21"/>
          <w:szCs w:val="21"/>
        </w:rPr>
        <w:t xml:space="preserve">Decide on the baselines (F6): retrain properly, or keep them and cut the architectural-mechanism claims.</w:t>
      </w:r>
    </w:p>
    <w:p>
      <w:pPr>
        <w:pStyle w:val="ListParagraph"/>
        <w:numPr>
          <w:ilvl w:val="0"/>
          <w:numId w:val="1"/>
        </w:numPr>
        <w:spacing w:after="60"/>
      </w:pPr>
      <w:r>
        <w:rPr>
          <w:sz w:val="21"/>
          <w:szCs w:val="21"/>
        </w:rPr>
        <w:t xml:space="preserve">Rewrite the overclaims (F9), soften F10, fix the references (F12), add environment and checkpoints (F13), and finish figures and title (F14, F15). Then have me rerun the consistency check on the final file.</w:t>
      </w:r>
    </w:p>
    <w:sectPr>
      <w:pgSz w:w="11906" w:h="16838"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2026-10-31T07:37:22.460Z</dcterms:created>
  <dcterms:modified xsi:type="dcterms:W3CDTF">2026-10-31T07:37:22.460Z</dcterms:modified>
</cp:coreProperties>
</file>

<file path=docProps/custom.xml><?xml version="1.0" encoding="utf-8"?>
<Properties xmlns="http://schemas.openxmlformats.org/officeDocument/2006/custom-properties" xmlns:vt="http://schemas.openxmlformats.org/officeDocument/2006/docPropsVTypes"/>
</file>