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300" w:line="300"/>
        <w:jc w:val="center"/>
      </w:pPr>
      <w:r>
        <w:rPr>
          <w:rFonts w:ascii="Times New Roman" w:cs="Times New Roman" w:eastAsia="Times New Roman" w:hAnsi="Times New Roman"/>
          <w:sz w:val="34"/>
          <w:szCs w:val="34"/>
        </w:rPr>
        <w:t xml:space="preserve">Tumour-core, peritumoral-margin and remote-context evidence in brain MRI classification: a sham-controlled counterfactual audit with descriptive plane stratification across CNN and Vision Transformer models</w:t>
      </w:r>
    </w:p>
    <w:p>
      <w:pPr>
        <w:spacing w:after="140" w:before="0" w:line="252"/>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20" w:before="0" w:line="252"/>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Manipal University Jaipur, Jaipur, Rajasthan, India.</w:t>
      </w:r>
    </w:p>
    <w:p>
      <w:pPr>
        <w:spacing w:after="240" w:before="0" w:line="252"/>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Computer Science and Engineering, School of Computer Science and Engineering, Faculty of Science, Technology and Education, Manipal University Jaipur, Jaipur, Rajasthan, India.</w:t>
      </w:r>
    </w:p>
    <w:p>
      <w:pPr>
        <w:spacing w:after="20" w:before="0" w:line="252"/>
        <w:jc w:val="center"/>
      </w:pPr>
      <w:r>
        <w:rPr>
          <w:rFonts w:ascii="Times New Roman" w:cs="Times New Roman" w:eastAsia="Times New Roman" w:hAnsi="Times New Roman"/>
          <w:sz w:val="20"/>
          <w:szCs w:val="20"/>
        </w:rPr>
        <w:t xml:space="preserve">*Corresponding author(s). E-mail(s): chhotu.2427030521@muj.manipal.edu;</w:t>
      </w:r>
    </w:p>
    <w:p>
      <w:pPr>
        <w:spacing w:after="260" w:before="0" w:line="252"/>
        <w:jc w:val="center"/>
      </w:pPr>
      <w:r>
        <w:rPr>
          <w:rFonts w:ascii="Times New Roman" w:cs="Times New Roman" w:eastAsia="Times New Roman" w:hAnsi="Times New Roman"/>
          <w:sz w:val="20"/>
          <w:szCs w:val="20"/>
        </w:rPr>
        <w:t xml:space="preserve">Contributing authors: rishi.gupta@jaipur.manipal.edu;</w:t>
      </w:r>
    </w:p>
    <w:p>
      <w:pPr>
        <w:spacing w:after="80" w:before="0" w:line="252"/>
        <w:jc w:val="center"/>
      </w:pPr>
      <w:r>
        <w:rPr>
          <w:rFonts w:ascii="Times New Roman" w:cs="Times New Roman" w:eastAsia="Times New Roman" w:hAnsi="Times New Roman"/>
          <w:b/>
          <w:bCs/>
          <w:sz w:val="18"/>
          <w:szCs w:val="18"/>
        </w:rPr>
        <w:t xml:space="preserve">Abstract</w:t>
      </w:r>
    </w:p>
    <w:p>
      <w:pPr>
        <w:spacing w:after="140" w:line="240"/>
        <w:ind w:left="360" w:right="360"/>
        <w:jc w:val="both"/>
      </w:pPr>
      <w:r>
        <w:rPr>
          <w:rFonts w:ascii="Times New Roman" w:cs="Times New Roman" w:eastAsia="Times New Roman" w:hAnsi="Times New Roman"/>
          <w:sz w:val="18"/>
          <w:szCs w:val="18"/>
        </w:rPr>
        <w:t xml:space="preserve">Deep convolutional neural networks (CNNs) and Vision Transformers (ViTs) can achieve high benchmark performance on brain MRI classification, but performance on unmodified images does not establish which anatomical regions support a prediction. Tumour-core morphology, adjacent peritumoral tissue, remote parenchyma and generic image-perturbation effects should be distinguished before model behaviour is interpreted as clinically meaningful evidence. We conducted a sham-controlled, region-resolved counterfactual audit on two contrast-enhanced MRI cohorts: the Cheng dataset (3,064 slices from 233 patients; three tumour classes) and the multi-plane BRISC dataset (6,000 slices; glioma, meningioma, pituitary tumour and no-tumour classes). Cheng partitions were generated with patient-grouped five-fold stratification; the exported baseline prediction file represents the held-out Fold 1 partition (480 slices from 49 patients), not pooled predictions from all five folds. ResNet-50 and DeiT-Small/16 were fine-tuned from ImageNet-pretrained weights. For each eligible tumour-containing slice we defined the tumour core, a 4-pixel immediate margin, a 12-pixel outer margin, remote tissue and a contralateral sham region, and perturbed each region with Telea inpainting and locally matched Gaussian texture filling. The counterfactual evaluation comprised 90 slices (45 per dataset), two architectures, five regions and two perturbation methods (1,800 prediction observations). Effects were summarised as raw changes in ground-truth-class probability and sham-corrected sensitivity, using paired Wilcoxon tests, Holm adjustment, patient/case-clustered analyses and paired effect sizes. A decoded-pixel duplicate audit was also performed on the locally evaluated BRISC archive. On the Cheng Fold 1 partition, DeiT-Small achieved accuracy 0.8458, macro-F1 0.8403 and 10-bin expected calibration error (ECE) 0.0366; ResNet-50 achieved 0.7583, 0.7190 and 0.1835. On the BRISC clean 899-image test set, DeiT-Small achieved accuracy 0.8265 and macro-F1 0.8344, against 0.6963 and 0.6991 for ResNet-50. For DeiT-Small on Cheng, Telea removal of the tumour core yielded a mean sham-corrected sensitivity of 0.1282 (slice-level Wilcoxon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9.13×10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3.65×10</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18"/>
          <w:szCs w:val="18"/>
        </w:rPr>
        <w:t xml:space="preserve">; patient-clustered Wilcoxon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0.0059); the corresponding ResNet-50 value was 0.0311. On BRISC, DeiT-Small core sensitivity was 0.0517 (raw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1.85×10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7.40×10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while immediate-margin and outer-margin effects were 0.0239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0.0188) and 0.0301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0.0147). In the pooled comparison, DeiT-Small showed greater core sensitivity than ResNet-50 (difference 0.0738; slice-level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0.0123;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0.0980; cluster-level Wilcoxon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0.0162). Remote-region effects were not statistically distinguishable from sham in the highlighted comparisons. In the evaluated BRISC archive, 159 exact decoded-pixel duplicate pairs were found, and 101 of 1,000 test images had exact matches across the train/test boundary; this archive-specific observation was handled by reporting both official and de-duplicated partitions, with the clean subset serving as a sensitivity check. Tumour-core and selected peritumoral regions contribute to model predictions, but effect size and statistical support depend on cohort, architecture, region and perturbation method. Remote edits generally showed smaller effects than lesion-centred edits, but the study does not establish complete invariance to all background shortcuts. These experiments are a retrospective mechanistic audit of spatial reliance in single-run baseline models, not clinical validation or evidence of diagnostic deployability.</w:t>
      </w:r>
    </w:p>
    <w:p>
      <w:pPr>
        <w:spacing w:after="200" w:line="240"/>
        <w:ind w:left="360" w:right="36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brain tumour MRI, counterfactual intervention, peritumoral margin, shortcut learning, ResNet-50, DeiT-Small, Vision Transformer, data leakage, calibration</w:t>
      </w:r>
    </w:p>
    <w:p>
      <w:pPr>
        <w:keepNext/>
        <w:spacing w:after="120" w:before="260"/>
      </w:pPr>
      <w:r>
        <w:rPr>
          <w:rFonts w:ascii="Times New Roman" w:cs="Times New Roman" w:eastAsia="Times New Roman" w:hAnsi="Times New Roman"/>
          <w:b/>
          <w:bCs/>
          <w:sz w:val="24"/>
          <w:szCs w:val="24"/>
        </w:rPr>
        <w:t xml:space="preserve">1 Introduction</w:t>
      </w:r>
    </w:p>
    <w:p>
      <w:pPr>
        <w:spacing w:after="100" w:line="264"/>
        <w:jc w:val="both"/>
      </w:pPr>
      <w:r>
        <w:rPr>
          <w:rFonts w:ascii="Times New Roman" w:cs="Times New Roman" w:eastAsia="Times New Roman" w:hAnsi="Times New Roman"/>
          <w:sz w:val="20"/>
          <w:szCs w:val="20"/>
        </w:rPr>
        <w:t xml:space="preserve">Automated classification of primary intracranial neoplasms from contrast-enhanced magnetic resonance imaging (CE-MRI) is a foundational task in computer-aided neuro-oncology. Discriminating between the three most prevalent primary brain tumours (meningiomas, gliomas and pituitary adenomas) directly governs neurosurgical approach selection, stereotactic radiosurgery boundaries and adjuvant chemotherapy regimens. Over the past decade, deep learning systems based on convolutional neural networks (CNNs) and Vision Transformers (ViTs) have repeatedly reported benchmark classification accuracies exceeding 90% to 95% on public MRI datasets [2, 5].</w:t>
      </w:r>
    </w:p>
    <w:p>
      <w:pPr>
        <w:spacing w:after="100" w:line="264"/>
        <w:jc w:val="both"/>
      </w:pPr>
      <w:r>
        <w:rPr>
          <w:rFonts w:ascii="Times New Roman" w:cs="Times New Roman" w:eastAsia="Times New Roman" w:hAnsi="Times New Roman"/>
          <w:sz w:val="20"/>
          <w:szCs w:val="20"/>
        </w:rPr>
        <w:t xml:space="preserve">Despite these nominal scores, translational deployment of medical imaging AI into clinical radiology workflows remains impeded by vulnerability to shortcut learning and the “Clever Hans” effect [1, 11]. Wallis and Buvat [1] showed that deep classifiers trained on a widely used public brain tumour MRI dataset achieved high diagnostic accuracy even when the entire intracranial brain compartment was occluded. The models were inadvertently exploiting acquisition-site background noise, skull thickness signatures and scanner artefacts rather than pathological tissue. Furthermore, unaddressed patient-level data leakage and slice-to-slice correlation across cross-validation splits distort reported metrics and create a false impression of clinical generalisation [6]. Interpretability claims for high-stakes imaging models also need to be tested rather than assumed [13].</w:t>
      </w:r>
    </w:p>
    <w:p>
      <w:pPr>
        <w:keepNext/>
        <w:spacing w:after="100" w:line="264"/>
        <w:jc w:val="both"/>
      </w:pPr>
      <w:r>
        <w:rPr>
          <w:rFonts w:ascii="Times New Roman" w:cs="Times New Roman" w:eastAsia="Times New Roman" w:hAnsi="Times New Roman"/>
          <w:sz w:val="20"/>
          <w:szCs w:val="20"/>
        </w:rPr>
        <w:t xml:space="preserve">Existing methodologies for auditing spatial reliance suffer from two main limitations: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Coarse binary masking and out-of-distribution shift.</w:t>
      </w:r>
      <w:r>
        <w:rPr>
          <w:rFonts w:ascii="Times New Roman" w:cs="Times New Roman" w:eastAsia="Times New Roman" w:hAnsi="Times New Roman"/>
          <w:sz w:val="20"/>
          <w:szCs w:val="20"/>
        </w:rPr>
        <w:t xml:space="preserve"> Prior occlusion studies predominantly replace entire cerebral hemispheres or rectangular tiles with zero-intensity black patches or uniform noise [3, 4]. This introduces sharp, high-frequency boundary cliffs and out-of-distribution (OOD) domain shift, making it impossible to determine whether a performance collapse is caused by the loss of diagnostic evidence or by network failure on unnatural artefacts.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Absence of anatomically matched controls.</w:t>
      </w:r>
      <w:r>
        <w:rPr>
          <w:rFonts w:ascii="Times New Roman" w:cs="Times New Roman" w:eastAsia="Times New Roman" w:hAnsi="Times New Roman"/>
          <w:sz w:val="20"/>
          <w:szCs w:val="20"/>
        </w:rPr>
        <w:t xml:space="preserve"> Standard ablation studies lack matched sham controls. Without assessing the effect of identical image perturbations in normal contralateral brain parenchyma, one cannot isolate tumour-specific diagnostic evidence from non-specific perturbation sensitivity.</w:t>
      </w:r>
    </w:p>
    <w:p>
      <w:pPr>
        <w:spacing w:after="100" w:line="264"/>
        <w:jc w:val="both"/>
      </w:pPr>
      <w:r>
        <w:rPr>
          <w:rFonts w:ascii="Times New Roman" w:cs="Times New Roman" w:eastAsia="Times New Roman" w:hAnsi="Times New Roman"/>
          <w:b/>
          <w:sz w:val="20"/>
          <w:szCs w:val="20"/>
        </w:rPr>
        <w:t xml:space="preserve">Research objectives and hypotheses.</w:t>
      </w:r>
      <w:r>
        <w:rPr>
          <w:rFonts w:ascii="Times New Roman" w:cs="Times New Roman" w:eastAsia="Times New Roman" w:hAnsi="Times New Roman"/>
          <w:sz w:val="20"/>
          <w:szCs w:val="20"/>
        </w:rPr>
        <w:t xml:space="preserve"> To address these challenges, we design and execute a literature-informed, sham-controlled counterfactual audit with descriptive plane stratification across CNN (ResNet-50) and Vision Transformer (DeiT-Small/16) architectures (Fig. 1). The study is a mechanistic audit of spatial reasoning in two research-grade classifiers; it is not a diagnostic tool and makes no claim of clinical deployability. We investigate five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w:t>
      </w:r>
      <w:r>
        <w:rPr>
          <w:rFonts w:ascii="Times New Roman" w:cs="Times New Roman" w:eastAsia="Times New Roman" w:hAnsi="Times New Roman"/>
          <w:sz w:val="20"/>
          <w:szCs w:val="20"/>
        </w:rPr>
        <w:t xml:space="preserve"> Lesion-centred perturbations are expected to produce larger sham-corrected changes than remote-region perturbations; the magnitude and ordering may vary by cohort, model and perturbation operator.</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(transitional margin contribution).</w:t>
      </w:r>
      <w:r>
        <w:rPr>
          <w:rFonts w:ascii="Times New Roman" w:cs="Times New Roman" w:eastAsia="Times New Roman" w:hAnsi="Times New Roman"/>
          <w:sz w:val="20"/>
          <w:szCs w:val="20"/>
        </w:rPr>
        <w:t xml:space="preserve"> The immediate 4-pixel margin may contribute predictive evidence beyond the matched sham response; this is tested separately by cohort and with multiplicity correction.</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3 (architectural inductive bias).</w:t>
      </w:r>
      <w:r>
        <w:rPr>
          <w:rFonts w:ascii="Times New Roman" w:cs="Times New Roman" w:eastAsia="Times New Roman" w:hAnsi="Times New Roman"/>
          <w:sz w:val="20"/>
          <w:szCs w:val="20"/>
        </w:rPr>
        <w:t xml:space="preserve"> ResNet-50 and DeiT-Small may exhibit different regional sensitivity and calibration profiles; the direction and robustness of any difference are empirical questions.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w:t>
      </w:r>
      <w:r>
        <w:rPr>
          <w:rFonts w:ascii="Times New Roman" w:cs="Times New Roman" w:eastAsia="Times New Roman" w:hAnsi="Times New Roman"/>
          <w:sz w:val="20"/>
          <w:szCs w:val="20"/>
        </w:rPr>
        <w:t xml:space="preserve"> Regional sensitivity estimates may be concordant across Telea inpainting and locally matched texture filling; this is evaluated rather than assumed.</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5 (benchmark leakage and prior distortion).</w:t>
      </w:r>
      <w:r>
        <w:rPr>
          <w:rFonts w:ascii="Times New Roman" w:cs="Times New Roman" w:eastAsia="Times New Roman" w:hAnsi="Times New Roman"/>
          <w:sz w:val="20"/>
          <w:szCs w:val="20"/>
        </w:rPr>
        <w:t xml:space="preserve"> The locally evaluated BRISC archive may contain exact duplicate matches across partitions; any finding is specific to the inspected archive and is not presumed to apply to every distribution.</w:t>
      </w:r>
    </w:p>
    <w:p>
      <w:pPr>
        <w:keepNext/>
        <w:spacing w:after="120" w:before="260"/>
      </w:pPr>
      <w:r>
        <w:rPr>
          <w:rFonts w:ascii="Times New Roman" w:cs="Times New Roman" w:eastAsia="Times New Roman" w:hAnsi="Times New Roman"/>
          <w:b/>
          <w:bCs/>
          <w:sz w:val="24"/>
          <w:szCs w:val="24"/>
        </w:rPr>
        <w:t xml:space="preserve">2 Related work</w:t>
      </w:r>
    </w:p>
    <w:p>
      <w:pPr>
        <w:keepNext/>
        <w:spacing w:after="80" w:before="180"/>
      </w:pPr>
      <w:r>
        <w:rPr>
          <w:rFonts w:ascii="Times New Roman" w:cs="Times New Roman" w:eastAsia="Times New Roman" w:hAnsi="Times New Roman"/>
          <w:b/>
          <w:bCs/>
          <w:sz w:val="21"/>
          <w:szCs w:val="21"/>
        </w:rPr>
        <w:t xml:space="preserve">2.1 Shortcut learning in medical image analysis</w:t>
      </w:r>
    </w:p>
    <w:p>
      <w:pPr>
        <w:spacing w:after="100" w:line="264"/>
        <w:jc w:val="both"/>
      </w:pPr>
      <w:r>
        <w:rPr>
          <w:rFonts w:ascii="Times New Roman" w:cs="Times New Roman" w:eastAsia="Times New Roman" w:hAnsi="Times New Roman"/>
          <w:sz w:val="20"/>
          <w:szCs w:val="20"/>
        </w:rPr>
        <w:t xml:space="preserve">Shortcut learning occurs when machine learning models achieve high nominal accuracy by exploiting spurious decision rules that fail under distributional shift [11]. In radiographic COVID-19 detection, DeGrave et al. [14] demonstrated that deep networks relied heavily on hospital-specific radiopaque markers and scanner-bed textures rather than pulmonary consolidations. In neuro-oncology, Wallis and Buvat [1] showed that skull and background features alone supported high classification accuracy, so benchmark performance on public MRI datasets cannot be accepted without region-resolved attribution audits.</w:t>
      </w:r>
    </w:p>
    <w:p>
      <w:pPr>
        <w:keepNext/>
        <w:spacing w:after="80" w:before="180"/>
      </w:pPr>
      <w:r>
        <w:rPr>
          <w:rFonts w:ascii="Times New Roman" w:cs="Times New Roman" w:eastAsia="Times New Roman" w:hAnsi="Times New Roman"/>
          <w:b/>
          <w:bCs/>
          <w:sz w:val="21"/>
          <w:szCs w:val="21"/>
        </w:rPr>
        <w:t xml:space="preserve">2.2 Spatial interventions and counterfactual attribution</w:t>
      </w:r>
    </w:p>
    <w:p>
      <w:pPr>
        <w:spacing w:after="100" w:line="264"/>
        <w:jc w:val="both"/>
      </w:pPr>
      <w:r>
        <w:rPr>
          <w:rFonts w:ascii="Times New Roman" w:cs="Times New Roman" w:eastAsia="Times New Roman" w:hAnsi="Times New Roman"/>
          <w:sz w:val="20"/>
          <w:szCs w:val="20"/>
        </w:rPr>
        <w:t xml:space="preserve">Attribution by input perturbation has evolved from simple occlusion sensitivity to generative counterfactuals. Goyal et al. [12] formalised counterfactual visual explanations by identifying minimal edits required to alter class predictions. Rossi et al. [3] introduced TACE (Tumour-Aware Counterfactual Explanations) as a preprint framework to evaluate classifier behaviour under generative lesion insertion and removal. Sourget et al. [4] investigated model sensitivity to unexpected anatomical regions in radiographic images. Among the studies we reviewed, prior medical imaging intervention studies evaluated CNNs rather than Vision Transformers and did not use matched contralateral controls to cancel generic inpainting artefacts.</w:t>
      </w:r>
    </w:p>
    <w:p>
      <w:pPr>
        <w:keepNext/>
        <w:spacing w:after="80" w:before="180"/>
      </w:pPr>
      <w:r>
        <w:rPr>
          <w:rFonts w:ascii="Times New Roman" w:cs="Times New Roman" w:eastAsia="Times New Roman" w:hAnsi="Times New Roman"/>
          <w:b/>
          <w:bCs/>
          <w:sz w:val="21"/>
          <w:szCs w:val="21"/>
        </w:rPr>
        <w:t xml:space="preserve">2.3 Brain-tumour MRI classification and benchmark leakage audits</w:t>
      </w:r>
    </w:p>
    <w:p>
      <w:pPr>
        <w:spacing w:after="100" w:line="264"/>
        <w:jc w:val="both"/>
      </w:pPr>
      <w:r>
        <w:rPr>
          <w:rFonts w:ascii="Times New Roman" w:cs="Times New Roman" w:eastAsia="Times New Roman" w:hAnsi="Times New Roman"/>
          <w:sz w:val="20"/>
          <w:szCs w:val="20"/>
        </w:rPr>
        <w:t xml:space="preserve">The brain tumour dataset published by Cheng et al. [2]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has served as a foundational benchmark for over a decade. Recently, Fateh et al. [5] introduced the BRISC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6,000 multi-plane slices). Public medical datasets frequently suffer from duplicate contamination and patient split leakage. As demonstrated by Yagis et al. [6], random slice-level cross-validation without patient grouping results in near-perfect slice memorisation and inflated performance estimates.</w:t>
      </w:r>
    </w:p>
    <w:p>
      <w:pPr>
        <w:keepNext/>
        <w:spacing w:after="120" w:before="260"/>
      </w:pPr>
      <w:r>
        <w:rPr>
          <w:rFonts w:ascii="Times New Roman" w:cs="Times New Roman" w:eastAsia="Times New Roman" w:hAnsi="Times New Roman"/>
          <w:b/>
          <w:bCs/>
          <w:sz w:val="24"/>
          <w:szCs w:val="24"/>
        </w:rPr>
        <w:t xml:space="preserve">3 Datasets, provenance and data leakage audit</w:t>
      </w:r>
    </w:p>
    <w:p>
      <w:pPr>
        <w:keepNext/>
        <w:spacing w:after="80" w:before="180"/>
      </w:pPr>
      <w:r>
        <w:rPr>
          <w:rFonts w:ascii="Times New Roman" w:cs="Times New Roman" w:eastAsia="Times New Roman" w:hAnsi="Times New Roman"/>
          <w:b/>
          <w:bCs/>
          <w:sz w:val="21"/>
          <w:szCs w:val="21"/>
        </w:rPr>
        <w:t xml:space="preserve">3.1 Datasets and cohort overview</w:t>
      </w:r>
    </w:p>
    <w:p>
      <w:pPr>
        <w:keepNext/>
        <w:spacing w:after="100" w:line="264"/>
        <w:jc w:val="both"/>
      </w:pPr>
      <w:r>
        <w:rPr>
          <w:rFonts w:ascii="Times New Roman" w:cs="Times New Roman" w:eastAsia="Times New Roman" w:hAnsi="Times New Roman"/>
          <w:sz w:val="20"/>
          <w:szCs w:val="20"/>
        </w:rPr>
        <w:t xml:space="preserve">We evaluated two contrast-enhanced T1-weighted brain MRI datasets: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Cheng dataset [2].</w:t>
      </w:r>
      <w:r>
        <w:rPr>
          <w:rFonts w:ascii="Times New Roman" w:cs="Times New Roman" w:eastAsia="Times New Roman" w:hAnsi="Times New Roman"/>
          <w:sz w:val="20"/>
          <w:szCs w:val="20"/>
        </w:rPr>
        <w:t xml:space="preserve"> 3,064 CE-T1 slices from 233 unique patients across three tumour classes: 708 meningiomas, 1,426 gliomas and 930 pituitary adenomas. Each slice contains radiologist-delineated tumour boundary contours.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BRISC dataset [5].</w:t>
      </w:r>
      <w:r>
        <w:rPr>
          <w:rFonts w:ascii="Times New Roman" w:cs="Times New Roman" w:eastAsia="Times New Roman" w:hAnsi="Times New Roman"/>
          <w:sz w:val="20"/>
          <w:szCs w:val="20"/>
        </w:rPr>
        <w:t xml:space="preserve"> 6,000 skull-stripped CE-MRI slices partitioned into an official training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5,000, split into 4,000 train and 1,000 validation) and an official test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across four classes (glioma, meningioma, pituitary tumour and no-tumour controls), imaged in axial, coronal and sagittal planes. Usable segmentation masks are available for 860 test neoplasm slices.</w:t>
      </w:r>
    </w:p>
    <w:p>
      <w:pPr>
        <w:keepNext/>
        <w:spacing w:after="80" w:before="180"/>
      </w:pPr>
      <w:r>
        <w:rPr>
          <w:rFonts w:ascii="Times New Roman" w:cs="Times New Roman" w:eastAsia="Times New Roman" w:hAnsi="Times New Roman"/>
          <w:b/>
          <w:bCs/>
          <w:sz w:val="21"/>
          <w:szCs w:val="21"/>
        </w:rPr>
        <w:t xml:space="preserve">3.2 Sample accounting and selection rules</w:t>
      </w:r>
    </w:p>
    <w:p>
      <w:pPr>
        <w:spacing w:after="100" w:line="264"/>
        <w:jc w:val="both"/>
      </w:pPr>
      <w:r>
        <w:rPr>
          <w:rFonts w:ascii="Times New Roman" w:cs="Times New Roman" w:eastAsia="Times New Roman" w:hAnsi="Times New Roman"/>
          <w:sz w:val="20"/>
          <w:szCs w:val="20"/>
        </w:rPr>
        <w:t xml:space="preserve">To ensure transparency and reproducibility across all reported tables and figures, the sample flow and selection rules are as follows (Fig. 1).</w:t>
      </w:r>
    </w:p>
    <w:p>
      <w:pPr>
        <w:keepNext/>
        <w:spacing w:after="60" w:before="120"/>
        <w:jc w:val="center"/>
      </w:pPr>
      <w:r>
        <w:drawing>
          <wp:inline distT="0" distB="0" distL="0" distR="0">
            <wp:extent cx="4953000" cy="1895475"/>
            <wp:effectExtent t="0" r="0" b="0" l="0"/>
            <wp:docPr id="1" name="fig1" descr="Study design and sham-controlled counterfactual intervention pipeline: (A) ingestion and provenance audit of the Cheng ("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9547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 Study design and sham-controlled counterfactual intervention pipeline: (A) ingestion and provenance audit of the Cheng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3,064) and BRISC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6,000) cohorts; (B) five-region topological decomposition; (C) dual perturbation engines; (D) paired model evaluation across ResNet-50 and DeiT-Small.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Baseline evaluation partitions.</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Cheng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across 233 patients), a five-fold patient-isolated cross-validation split was created. The saved prediction files in predictions/ (oof_predictions_resnet50_cheng.csv and oof_predictions_deit_small_patch16_224_cheng.csv) contain exactly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records, all belonging to Fold 1 (evaluated on 49 unseen patients). Slices from folds 2–5 are not included in these exported prediction logs; this partition is therefore designated the </w:t>
      </w:r>
      <w:r>
        <w:rPr>
          <w:rFonts w:ascii="Times New Roman" w:cs="Times New Roman" w:eastAsia="Times New Roman" w:hAnsi="Times New Roman"/>
          <w:b/>
          <w:bCs/>
          <w:sz w:val="20"/>
          <w:szCs w:val="20"/>
        </w:rPr>
        <w:t xml:space="preserve">patient-isolated held-out Fold 1 test partition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480)</w:t>
      </w:r>
      <w:r>
        <w:rPr>
          <w:rFonts w:ascii="Times New Roman" w:cs="Times New Roman" w:eastAsia="Times New Roman" w:hAnsi="Times New Roman"/>
          <w:sz w:val="20"/>
          <w:szCs w:val="20"/>
        </w:rPr>
        <w:t xml:space="preserve"> rather than an aggregated all-fold out-of-fold set.</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BRISC, the complete official test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are exported in predictions/test_predictions_resnet50_brisc.csv and predictions/test_predictions_deit_small_patch16_224_brisc.csv, while the clean de-duplicated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are exported in the corresponding *_brisc_clean.csv files. The mask-supported neoplasm evaluation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254 gliomas, 226 meningiomas) is preserved in predictions/test_predictions_*_neoplasm_480.csv.</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Counterfactual intervention QC manifest (</w:t>
      </w:r>
      <w:r>
        <w:rPr>
          <w:rFonts w:ascii="Times New Roman" w:cs="Times New Roman" w:eastAsia="Times New Roman" w:hAnsi="Times New Roman"/>
          <w:b/>
          <w:i/>
          <w:sz w:val="20"/>
          <w:szCs w:val="20"/>
        </w:rPr>
        <w:t xml:space="preserve">N</w:t>
      </w:r>
      <w:r>
        <w:rPr>
          <w:rFonts w:ascii="Times New Roman" w:cs="Times New Roman" w:eastAsia="Times New Roman" w:hAnsi="Times New Roman"/>
          <w:b/>
          <w:sz w:val="20"/>
          <w:szCs w:val="20"/>
        </w:rPr>
        <w:t xml:space="preserve"> = 1,200).</w:t>
      </w:r>
      <w:r>
        <w:rPr>
          <w:rFonts w:ascii="Times New Roman" w:cs="Times New Roman" w:eastAsia="Times New Roman" w:hAnsi="Times New Roman"/>
          <w:sz w:val="20"/>
          <w:szCs w:val="20"/>
        </w:rPr>
        <w:t xml:space="preserve"> Phase 6 candidate pool, recorded in manifests/intervention_qc.csv across 120 unique slices (60 Cheng, 60 BRISC), five regions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and two perturbation engines (Method A: Telea inpainting; Method B: Gaussian texture fill), giving 120 × 5 × 2 = 1,200 verified records. All 90 evaluated slices (45 Cheng + 45 BRISC) have complete, verified QC records in this manifest, confirming zero non-target corruption (|Δ| &lt;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The remaining 30 candidate slices were not part of the balanced evaluation protocol below, which retains 15 slices per tumour class in Cheng and 15 per acquisition plane in BRISC.</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Paired counterfactual observations (</w:t>
      </w:r>
      <w:r>
        <w:rPr>
          <w:rFonts w:ascii="Times New Roman" w:cs="Times New Roman" w:eastAsia="Times New Roman" w:hAnsi="Times New Roman"/>
          <w:b/>
          <w:i/>
          <w:sz w:val="20"/>
          <w:szCs w:val="20"/>
        </w:rPr>
        <w:t xml:space="preserve">N</w:t>
      </w:r>
      <w:r>
        <w:rPr>
          <w:rFonts w:ascii="Times New Roman" w:cs="Times New Roman" w:eastAsia="Times New Roman" w:hAnsi="Times New Roman"/>
          <w:b/>
          <w:sz w:val="20"/>
          <w:szCs w:val="20"/>
        </w:rPr>
        <w:t xml:space="preserve"> = 1,800).</w:t>
      </w:r>
      <w:r>
        <w:rPr>
          <w:rFonts w:ascii="Times New Roman" w:cs="Times New Roman" w:eastAsia="Times New Roman" w:hAnsi="Times New Roman"/>
          <w:sz w:val="20"/>
          <w:szCs w:val="20"/>
        </w:rPr>
        <w:t xml:space="preserve"> Phase 7 balanced evaluation protocol, evaluated across 45 matched slices per dataset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90 in total), five regions, two perturbation methods and two architectures (ResNet-50 and DeiT-Small); the 90 slices × 20 conditions yield 1,800 paired predictions. In Cheng, the 45 slices comprise 15 gliomas, 15 meningiomas and 15 pituitary adenomas, and originate from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 unique patient clusters (3 to 7 slices per patient). In BRISC, the 45 slices comprise 15 axial, 15 coronal and 15 sagittal slices (15 per acquisition plane) across the three neoplasm classes. The total of 90 slices × 5 regions × 2 methods × 2 architectures = 1,800 rows is stored in predictions/intervention_effects.csv.</w:t>
      </w:r>
    </w:p>
    <w:p>
      <w:pPr>
        <w:keepNext/>
        <w:spacing w:after="80" w:before="180"/>
      </w:pPr>
      <w:r>
        <w:rPr>
          <w:rFonts w:ascii="Times New Roman" w:cs="Times New Roman" w:eastAsia="Times New Roman" w:hAnsi="Times New Roman"/>
          <w:b/>
          <w:bCs/>
          <w:sz w:val="21"/>
          <w:szCs w:val="21"/>
        </w:rPr>
        <w:t xml:space="preserve">3.3 Duplicate audit and split policy</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Cheng patient-isolated five-fold cross-validation.</w:t>
      </w:r>
      <w:r>
        <w:rPr>
          <w:rFonts w:ascii="Times New Roman" w:cs="Times New Roman" w:eastAsia="Times New Roman" w:hAnsi="Times New Roman"/>
          <w:sz w:val="20"/>
          <w:szCs w:val="20"/>
        </w:rPr>
        <w:t xml:space="preserve"> Embedded MATLAB struct headers were parsed to extract patient identifiers (PID). A five-fold split was established using StratifiedGroupKFold (n_splits = 5, shuffle = True, random_state = 42) on patient ID. Automated set intersection verified zero patient overlap across folds (intersection = ∅).</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BRISC duplicate discovery and provenance.</w:t>
      </w:r>
      <w:r>
        <w:rPr>
          <w:rFonts w:ascii="Times New Roman" w:cs="Times New Roman" w:eastAsia="Times New Roman" w:hAnsi="Times New Roman"/>
          <w:sz w:val="20"/>
          <w:szCs w:val="20"/>
        </w:rPr>
        <w:t xml:space="preserve"> In the Kaggle development distribution of BRISC used here (manifests/duplicate_pairs.csv), perceptual hashing (pHash, dHash, aHash) and decoded SHA-256 pixel-matrix verification identified 159 exact duplicate image pairs (identical decoded SHA-256 pixel matrices). Of these, 110 pairs cross the official train–test split boundary, involving 101 unique test slices (10.1% of the 1,000-slice test set) that are identical copies of training/validation images (96 meningiomas and 5 pituitary adenomas). However, the peer-reviewed data descriptor by Fateh et al. [5] (</w:t>
      </w:r>
      <w:r>
        <w:rPr>
          <w:rFonts w:ascii="Times New Roman" w:cs="Times New Roman" w:eastAsia="Times New Roman" w:hAnsi="Times New Roman"/>
          <w:i/>
          <w:sz w:val="20"/>
          <w:szCs w:val="20"/>
        </w:rPr>
        <w:t xml:space="preserve">Scientific Data</w:t>
      </w:r>
      <w:r>
        <w:rPr>
          <w:rFonts w:ascii="Times New Roman" w:cs="Times New Roman" w:eastAsia="Times New Roman" w:hAnsi="Times New Roman"/>
          <w:sz w:val="20"/>
          <w:szCs w:val="20"/>
        </w:rPr>
        <w:t xml:space="preserve">, 2026) reports that de-duplication was conducted before dataset partitioning. We therefore present this finding as an empirical observation specific to the archive release we evaluated, not as a verdict on the published benchmark design. The clean subset serves as a sensitivity check on the official results. We report both the official benchmark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1,000) and the local de-duplicated clean subset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899; 759 mask-supported clean slices) side by side.</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Cross-dataset overlap.</w:t>
      </w:r>
      <w:r>
        <w:rPr>
          <w:rFonts w:ascii="Times New Roman" w:cs="Times New Roman" w:eastAsia="Times New Roman" w:hAnsi="Times New Roman"/>
          <w:sz w:val="20"/>
          <w:szCs w:val="20"/>
        </w:rPr>
        <w:t xml:space="preserve"> De-duplication screening between Cheng (3,064 slices) and BRISC (6,000 slices) found 0 exact duplicate pairs and structural similarity index (SSIM) values between 0.28 and 0.58. Exact hashing and SSIM cannot exclude perceptual near-duplicates, particularly after skull-stripping and resizing, and BRISC was collated from public sources [5]; the cohorts are therefore treated as separate collections whose independence is not proven.</w:t>
      </w:r>
    </w:p>
    <w:p>
      <w:pPr>
        <w:keepNext/>
        <w:spacing w:after="120" w:before="260"/>
      </w:pPr>
      <w:r>
        <w:rPr>
          <w:rFonts w:ascii="Times New Roman" w:cs="Times New Roman" w:eastAsia="Times New Roman" w:hAnsi="Times New Roman"/>
          <w:b/>
          <w:bCs/>
          <w:sz w:val="24"/>
          <w:szCs w:val="24"/>
        </w:rPr>
        <w:t xml:space="preserve">4 Materials and methods</w:t>
      </w:r>
    </w:p>
    <w:p>
      <w:pPr>
        <w:keepNext/>
        <w:spacing w:after="80" w:before="180"/>
      </w:pPr>
      <w:r>
        <w:rPr>
          <w:rFonts w:ascii="Times New Roman" w:cs="Times New Roman" w:eastAsia="Times New Roman" w:hAnsi="Times New Roman"/>
          <w:b/>
          <w:bCs/>
          <w:sz w:val="21"/>
          <w:szCs w:val="21"/>
        </w:rPr>
        <w:t xml:space="preserve">4.1 Image preprocessing and geometric standardisation</w:t>
      </w:r>
    </w:p>
    <w:p>
      <w:pPr>
        <w:spacing w:after="100" w:line="264"/>
        <w:jc w:val="both"/>
      </w:pPr>
      <w:r>
        <w:rPr>
          <w:rFonts w:ascii="Times New Roman" w:cs="Times New Roman" w:eastAsia="Times New Roman" w:hAnsi="Times New Roman"/>
          <w:sz w:val="20"/>
          <w:szCs w:val="20"/>
        </w:rPr>
        <w:t xml:space="preserve">All slices were standardised through an audited pipeline (Fig. 2).</w:t>
      </w:r>
    </w:p>
    <w:p>
      <w:pPr>
        <w:keepNext/>
        <w:spacing w:after="60" w:before="120"/>
        <w:jc w:val="center"/>
      </w:pPr>
      <w:r>
        <w:drawing>
          <wp:inline distT="0" distB="0" distL="0" distR="0">
            <wp:extent cx="4953000" cy="1762125"/>
            <wp:effectExtent t="0" r="0" b="0" l="0"/>
            <wp:docPr id="1" name="fig2" descr="Preprocessing pipeline and mask geometric alignment verification: raw slice, percentile intensity scaling [&lt;i&gt;P&lt;/i&gt;&lt;sub&g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6212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 Preprocessing pipeline and mask geometric alignment verification: raw slice, percentile intensity scaling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99</w:t>
      </w:r>
      <w:r>
        <w:rPr>
          <w:rFonts w:ascii="Times New Roman" w:cs="Times New Roman" w:eastAsia="Times New Roman" w:hAnsi="Times New Roman"/>
          <w:sz w:val="18"/>
          <w:szCs w:val="18"/>
        </w:rPr>
        <w:t xml:space="preserve">], aspect-ratio-preserving letterbox padding (224 × 224) and binary mask boundary alignment.</w:t>
      </w:r>
    </w:p>
    <w:p>
      <w:pPr>
        <w:keepNext/>
        <w:spacing w:after="0" w:line="264"/>
        <w:jc w:val="both"/>
      </w:pPr>
      <w:r>
        <w:rPr>
          <w:rFonts w:ascii="Times New Roman" w:cs="Times New Roman" w:eastAsia="Times New Roman" w:hAnsi="Times New Roman"/>
          <w:b/>
          <w:bCs/>
          <w:sz w:val="20"/>
          <w:szCs w:val="20"/>
        </w:rPr>
        <w:t xml:space="preserve">1. Percentile intensity clamping.</w:t>
      </w:r>
      <w:r>
        <w:rPr>
          <w:rFonts w:ascii="Times New Roman" w:cs="Times New Roman" w:eastAsia="Times New Roman" w:hAnsi="Times New Roman"/>
          <w:sz w:val="20"/>
          <w:szCs w:val="20"/>
        </w:rPr>
        <w:t xml:space="preserve"> Tissue intensities were mapped to [0, 1]:</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clip((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0, 1)</w:t>
      </w:r>
      <w:r>
        <w:rPr>
          <w:rFonts w:ascii="Times New Roman" w:cs="Times New Roman" w:eastAsia="Times New Roman" w:hAnsi="Times New Roman"/>
          <w:sz w:val="20"/>
          <w:szCs w:val="20"/>
        </w:rPr>
        <w:t xml:space="preserve">	(1)</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 denote the 1st and 99th percentiles of intracranial tissue.</w:t>
      </w:r>
    </w:p>
    <w:p>
      <w:pPr>
        <w:spacing w:after="100" w:line="264"/>
        <w:jc w:val="both"/>
      </w:pPr>
      <w:r>
        <w:rPr>
          <w:rFonts w:ascii="Times New Roman" w:cs="Times New Roman" w:eastAsia="Times New Roman" w:hAnsi="Times New Roman"/>
          <w:b/>
          <w:bCs/>
          <w:sz w:val="20"/>
          <w:szCs w:val="20"/>
        </w:rPr>
        <w:t xml:space="preserve">2. Aspect-ratio-preserving letterbox padding.</w:t>
      </w:r>
      <w:r>
        <w:rPr>
          <w:rFonts w:ascii="Times New Roman" w:cs="Times New Roman" w:eastAsia="Times New Roman" w:hAnsi="Times New Roman"/>
          <w:sz w:val="20"/>
          <w:szCs w:val="20"/>
        </w:rPr>
        <w:t xml:space="preserve"> Slices were scaled along their maximum axis to 224 pixels and symmetrically padded with zeros to 224 × 224. Nearest-neighbour interpolation was enforced for segmentation masks. Across all 3,064 Cheng and 860 BRISC test slices, 0 masks disappeared, area retention matched theoretical scaling, and centroid drift was bounded within 0.0035.</w:t>
      </w:r>
    </w:p>
    <w:p>
      <w:pPr>
        <w:spacing w:after="100" w:line="264"/>
        <w:jc w:val="both"/>
      </w:pPr>
      <w:r>
        <w:rPr>
          <w:rFonts w:ascii="Times New Roman" w:cs="Times New Roman" w:eastAsia="Times New Roman" w:hAnsi="Times New Roman"/>
          <w:b/>
          <w:bCs/>
          <w:sz w:val="20"/>
          <w:szCs w:val="20"/>
        </w:rPr>
        <w:t xml:space="preserve">3. Channel standardisation.</w:t>
      </w:r>
      <w:r>
        <w:rPr>
          <w:rFonts w:ascii="Times New Roman" w:cs="Times New Roman" w:eastAsia="Times New Roman" w:hAnsi="Times New Roman"/>
          <w:sz w:val="20"/>
          <w:szCs w:val="20"/>
        </w:rPr>
        <w:t xml:space="preserve"> Slices were replicated to three channels and normalised using ImageNet parameters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rPr>
        <w:t xml:space="preserve"> = [0.485, 0.456, 0.406],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[0.229, 0.224, 0.225]). Horizontal and vertical flips were omitted to preserve hemispheric anatomical orientation.</w:t>
      </w:r>
    </w:p>
    <w:p>
      <w:pPr>
        <w:keepNext/>
        <w:spacing w:after="80" w:before="180"/>
      </w:pPr>
      <w:r>
        <w:rPr>
          <w:rFonts w:ascii="Times New Roman" w:cs="Times New Roman" w:eastAsia="Times New Roman" w:hAnsi="Times New Roman"/>
          <w:b/>
          <w:bCs/>
          <w:sz w:val="21"/>
          <w:szCs w:val="21"/>
        </w:rPr>
        <w:t xml:space="preserve">4.2 Model architectures and training protocols</w:t>
      </w:r>
    </w:p>
    <w:p>
      <w:pPr>
        <w:keepNext/>
        <w:spacing w:after="100" w:line="264"/>
        <w:jc w:val="both"/>
      </w:pPr>
      <w:r>
        <w:rPr>
          <w:rFonts w:ascii="Times New Roman" w:cs="Times New Roman" w:eastAsia="Times New Roman" w:hAnsi="Times New Roman"/>
          <w:sz w:val="20"/>
          <w:szCs w:val="20"/>
        </w:rPr>
        <w:t xml:space="preserve">Models were configured in strict concordance with configs/training.yaml.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ResNet-50 (CNN).</w:t>
      </w:r>
      <w:r>
        <w:rPr>
          <w:rFonts w:ascii="Times New Roman" w:cs="Times New Roman" w:eastAsia="Times New Roman" w:hAnsi="Times New Roman"/>
          <w:sz w:val="20"/>
          <w:szCs w:val="20"/>
        </w:rPr>
        <w:t xml:space="preserve"> 23.51 million parameters; initialised with IMAGENET1K_V2 weights [7]; linear classification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 initial learning rate 1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DeiT-Small/16 (ViT).</w:t>
      </w:r>
      <w:r>
        <w:rPr>
          <w:rFonts w:ascii="Times New Roman" w:cs="Times New Roman" w:eastAsia="Times New Roman" w:hAnsi="Times New Roman"/>
          <w:sz w:val="20"/>
          <w:szCs w:val="20"/>
        </w:rPr>
        <w:t xml:space="preserve"> 21.66 million parameters; initialised with ImageNet-1k weights [8]; 12 Transformer blocks, 384 embedding dimensions, 6 heads; class-token projection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 initial learning rate 5 ×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Optimisation.</w:t>
      </w:r>
      <w:r>
        <w:rPr>
          <w:rFonts w:ascii="Times New Roman" w:cs="Times New Roman" w:eastAsia="Times New Roman" w:hAnsi="Times New Roman"/>
          <w:sz w:val="20"/>
          <w:szCs w:val="20"/>
        </w:rPr>
        <w:t xml:space="preserve"> Both architectures were optimised using AdamW with weight decay 1 ×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batch size 16. Training ran for up to 5 epochs per fold/split with early stopping (patience of 3 epochs) on validation macro-F1, following a one-epoch linear warm-up and cosine annealing schedule. Standard cross-entropy loss was minimised with random seed 42. The baselines are therefore single-run, short-schedule fine-tuned models, and the Cheng results use Fold 1 only.</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Computational environment.</w:t>
      </w:r>
      <w:r>
        <w:rPr>
          <w:rFonts w:ascii="Times New Roman" w:cs="Times New Roman" w:eastAsia="Times New Roman" w:hAnsi="Times New Roman"/>
          <w:sz w:val="20"/>
          <w:szCs w:val="20"/>
        </w:rPr>
        <w:t xml:space="preserve"> All experiments used Python 3.10.11, PyTorch 2.5.1 and CUDA 12.1 on an NVIDIA RTX 4050 GPU (6 GB VRAM). Hardware, operating system, software versions, git revision and SHA-256 hashes of the model checkpoints are recorded in environment_manifest.json.</w:t>
      </w:r>
    </w:p>
    <w:p>
      <w:pPr>
        <w:keepNext/>
        <w:spacing w:after="80" w:before="180"/>
      </w:pPr>
      <w:r>
        <w:rPr>
          <w:rFonts w:ascii="Times New Roman" w:cs="Times New Roman" w:eastAsia="Times New Roman" w:hAnsi="Times New Roman"/>
          <w:b/>
          <w:bCs/>
          <w:sz w:val="21"/>
          <w:szCs w:val="21"/>
        </w:rPr>
        <w:t xml:space="preserve">4.3 Five-region topological decomposition</w:t>
      </w:r>
    </w:p>
    <w:p>
      <w:pPr>
        <w:keepNext/>
        <w:spacing w:after="100" w:line="264"/>
        <w:jc w:val="both"/>
      </w:pPr>
      <w:r>
        <w:rPr>
          <w:rFonts w:ascii="Times New Roman" w:cs="Times New Roman" w:eastAsia="Times New Roman" w:hAnsi="Times New Roman"/>
          <w:sz w:val="20"/>
          <w:szCs w:val="20"/>
        </w:rPr>
        <w:t xml:space="preserve">For each test slice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with tumour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intracranial tissue support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five regions were defined:</w:t>
      </w:r>
    </w:p>
    <w:p>
      <w:pPr>
        <w:spacing w:after="100" w:line="264"/>
        <w:jc w:val="both"/>
      </w:pPr>
      <w:r>
        <w:rPr>
          <w:rFonts w:ascii="Times New Roman" w:cs="Times New Roman" w:eastAsia="Times New Roman" w:hAnsi="Times New Roman"/>
          <w:b/>
          <w:bCs/>
          <w:sz w:val="20"/>
          <w:szCs w:val="20"/>
        </w:rPr>
        <w:t xml:space="preserve">1. Tumour core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core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The lesion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2. Immediate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immediate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4-pixel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(2)</w:t>
      </w:r>
    </w:p>
    <w:p>
      <w:pPr>
        <w:keepNext/>
        <w:spacing w:after="0" w:line="264"/>
        <w:jc w:val="both"/>
      </w:pPr>
      <w:r>
        <w:rPr>
          <w:rFonts w:ascii="Times New Roman" w:cs="Times New Roman" w:eastAsia="Times New Roman" w:hAnsi="Times New Roman"/>
          <w:b/>
          <w:bCs/>
          <w:sz w:val="20"/>
          <w:szCs w:val="20"/>
        </w:rPr>
        <w:t xml:space="preserve">3. Outer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outer</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12-pixel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16)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(3)</w:t>
      </w:r>
    </w:p>
    <w:p>
      <w:pPr>
        <w:spacing w:after="100" w:line="264"/>
        <w:jc w:val="both"/>
      </w:pPr>
      <w:r>
        <w:rPr>
          <w:rFonts w:ascii="Times New Roman" w:cs="Times New Roman" w:eastAsia="Times New Roman" w:hAnsi="Times New Roman"/>
          <w:b/>
          <w:bCs/>
          <w:sz w:val="20"/>
          <w:szCs w:val="20"/>
        </w:rPr>
        <w:t xml:space="preserve">4. Remote context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remote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tissue patch located more than 32 pixels from the tumour boundary within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5. Matched contralateral sham control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sham</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An area- and contour-matched control placed in contralateral normal parenchyma and disjoint from the lesion-centred regions: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t xml:space="preserve">	(4)</w:t>
      </w:r>
    </w:p>
    <w:p>
      <w:pPr>
        <w:keepNext/>
        <w:spacing w:after="80" w:before="180"/>
      </w:pPr>
      <w:r>
        <w:rPr>
          <w:rFonts w:ascii="Times New Roman" w:cs="Times New Roman" w:eastAsia="Times New Roman" w:hAnsi="Times New Roman"/>
          <w:b/>
          <w:bCs/>
          <w:sz w:val="21"/>
          <w:szCs w:val="21"/>
        </w:rPr>
        <w:t xml:space="preserve">4.4 Dual counterfactual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Method A (Telea PDE inpainting).</w:t>
      </w:r>
      <w:r>
        <w:rPr>
          <w:rFonts w:ascii="Times New Roman" w:cs="Times New Roman" w:eastAsia="Times New Roman" w:hAnsi="Times New Roman"/>
          <w:sz w:val="20"/>
          <w:szCs w:val="20"/>
        </w:rPr>
        <w:t xml:space="preserve"> Solves the fast-marching-method boundary problem (cv2.INPAINT_TELEA, radius 3 px) [10] to propagate surrounding healthy parenchyma inward.</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Method B (locally matched Gaussian texture fill).</w:t>
      </w:r>
      <w:r>
        <w:rPr>
          <w:rFonts w:ascii="Times New Roman" w:cs="Times New Roman" w:eastAsia="Times New Roman" w:hAnsi="Times New Roman"/>
          <w:sz w:val="20"/>
          <w:szCs w:val="20"/>
        </w:rPr>
        <w:t xml:space="preserve"> Estimates the local surrounding mean </w:t>
      </w:r>
      <w:r>
        <w:rPr>
          <w:rFonts w:ascii="Times New Roman" w:cs="Times New Roman" w:eastAsia="Times New Roman" w:hAnsi="Times New Roman"/>
          <w:i/>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and variance </w:t>
      </w:r>
      <w:r>
        <w:rPr>
          <w:rFonts w:ascii="Times New Roman" w:cs="Times New Roman" w:eastAsia="Times New Roman" w:hAnsi="Times New Roman"/>
          <w:i/>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from a 5-pixel dilated border, and fills the region with Normal(</w:t>
      </w:r>
      <w:r>
        <w:rPr>
          <w:rFonts w:ascii="Times New Roman" w:cs="Times New Roman" w:eastAsia="Times New Roman" w:hAnsi="Times New Roman"/>
          <w:i/>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smoothed via a 2-pixel cosine border taper. The fill therefore matches the local first- and second-order intensity statistics of the surroundings but not their spatial texture structure, and it is treated as a complementary probe rather than a substitute for inpainting.</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pixel invariance.</w:t>
      </w:r>
      <w:r>
        <w:rPr>
          <w:rFonts w:ascii="Times New Roman" w:cs="Times New Roman" w:eastAsia="Times New Roman" w:hAnsi="Times New Roman"/>
          <w:sz w:val="20"/>
          <w:szCs w:val="20"/>
        </w:rPr>
        <w:t xml:space="preserve"> Both implementations preserve original pixel values outside the edited mask; the maximum absolute difference was checked in the intervention QC records: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for all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(5)</w:t>
      </w:r>
    </w:p>
    <w:p>
      <w:pPr>
        <w:keepNext/>
        <w:spacing w:after="80" w:before="180"/>
      </w:pPr>
      <w:r>
        <w:rPr>
          <w:rFonts w:ascii="Times New Roman" w:cs="Times New Roman" w:eastAsia="Times New Roman" w:hAnsi="Times New Roman"/>
          <w:b/>
          <w:bCs/>
          <w:sz w:val="21"/>
          <w:szCs w:val="21"/>
        </w:rPr>
        <w:t xml:space="preserve">4.5 Sensitivity estimands and statistical inference</w:t>
      </w:r>
    </w:p>
    <w:p>
      <w:pPr>
        <w:keepNext/>
        <w:spacing w:after="0" w:line="264"/>
        <w:jc w:val="both"/>
      </w:pPr>
      <w:r>
        <w:rPr>
          <w:rFonts w:ascii="Times New Roman" w:cs="Times New Roman" w:eastAsia="Times New Roman" w:hAnsi="Times New Roman"/>
          <w:b/>
          <w:bCs/>
          <w:sz w:val="20"/>
          <w:szCs w:val="20"/>
        </w:rPr>
        <w:t xml:space="preserve">Raw evidence drop</w:t>
      </w:r>
      <w:r>
        <w:rPr>
          <w:rFonts w:ascii="Times New Roman" w:cs="Times New Roman" w:eastAsia="Times New Roman" w:hAnsi="Times New Roman"/>
          <w:sz w:val="20"/>
          <w:szCs w:val="20"/>
        </w:rPr>
        <w:t xml:space="preserve">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sham-corrected region sensitivity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top-1 prediction flip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are defined as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1 if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and 0 otherwise</w:t>
      </w:r>
      <w:r>
        <w:rPr>
          <w:rFonts w:ascii="Times New Roman" w:cs="Times New Roman" w:eastAsia="Times New Roman" w:hAnsi="Times New Roman"/>
          <w:sz w:val="20"/>
          <w:szCs w:val="20"/>
        </w:rPr>
        <w:t xml:space="preserve">	(8)</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is the predicted probability of the ground-truth class.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testing.</w:t>
      </w:r>
      <w:r>
        <w:rPr>
          <w:rFonts w:ascii="Times New Roman" w:cs="Times New Roman" w:eastAsia="Times New Roman" w:hAnsi="Times New Roman"/>
          <w:sz w:val="20"/>
          <w:szCs w:val="20"/>
        </w:rPr>
        <w:t xml:space="preserve"> Two-sided paired Wilcoxon signed-rank tests assess whether region sensitivity differs from the sham control; Holm correction is applied across regions.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Patient-clustered analysis.</w:t>
      </w:r>
      <w:r>
        <w:rPr>
          <w:rFonts w:ascii="Times New Roman" w:cs="Times New Roman" w:eastAsia="Times New Roman" w:hAnsi="Times New Roman"/>
          <w:sz w:val="20"/>
          <w:szCs w:val="20"/>
        </w:rPr>
        <w:t xml:space="preserve"> For the Cheng cohort, where 45 slices originate from 10 patients, patient-level mean sensitivities were computed and evaluated with clustered Wilcoxon and clustered one-sample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For the pooled multi-cohort sample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clustered inference across 55 independent clusters (10 Cheng patients + 45 BRISC cases) was conducted alongside linear mixed-effects modelling.</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Effect size.</w:t>
      </w:r>
      <w:r>
        <w:rPr>
          <w:rFonts w:ascii="Times New Roman" w:cs="Times New Roman" w:eastAsia="Times New Roman" w:hAnsi="Times New Roman"/>
          <w:sz w:val="20"/>
          <w:szCs w:val="20"/>
        </w:rPr>
        <w:t xml:space="preserve">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mean(</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SD(</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(9)</w:t>
      </w:r>
    </w:p>
    <w:p>
      <w:pPr>
        <w:keepNext/>
        <w:spacing w:after="120" w:before="260"/>
      </w:pPr>
      <w:r>
        <w:rPr>
          <w:rFonts w:ascii="Times New Roman" w:cs="Times New Roman" w:eastAsia="Times New Roman" w:hAnsi="Times New Roman"/>
          <w:b/>
          <w:bCs/>
          <w:sz w:val="24"/>
          <w:szCs w:val="24"/>
        </w:rPr>
        <w:t xml:space="preserve">5 Results</w:t>
      </w:r>
    </w:p>
    <w:p>
      <w:pPr>
        <w:keepNext/>
        <w:spacing w:after="80" w:before="180"/>
      </w:pPr>
      <w:r>
        <w:rPr>
          <w:rFonts w:ascii="Times New Roman" w:cs="Times New Roman" w:eastAsia="Times New Roman" w:hAnsi="Times New Roman"/>
          <w:b/>
          <w:bCs/>
          <w:sz w:val="21"/>
          <w:szCs w:val="21"/>
        </w:rPr>
        <w:t xml:space="preserve">5.1 Baseline classification performance and probability calibration</w:t>
      </w:r>
    </w:p>
    <w:p>
      <w:pPr>
        <w:spacing w:after="100" w:line="264"/>
        <w:jc w:val="both"/>
      </w:pPr>
      <w:r>
        <w:rPr>
          <w:rFonts w:ascii="Times New Roman" w:cs="Times New Roman" w:eastAsia="Times New Roman" w:hAnsi="Times New Roman"/>
          <w:sz w:val="20"/>
          <w:szCs w:val="20"/>
        </w:rPr>
        <w:t xml:space="preserve">Baseline models showed moderate-to-good discrimination on both benchmarks, with DeiT-Small clearly stronger than ResNet-50 (Table 1; Fig. 3). Both are short single-run baselines and not tuned to benchmark-level performance. DeiT-Small outperformed ResNet-50 in macro-F1 (Cheng Fold 1,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480: 0.8403 vs 0.7190; BRISC clean four-class test,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899: 0.8344 vs 0.6991) and in probability calibration. On Cheng Fold 1, DeiT-Small achieved a 10-bin expected calibration error (ECE) [9] of 0.0366, compared with 0.1835 for ResNet-50.</w:t>
      </w:r>
    </w:p>
    <w:p>
      <w:pPr>
        <w:keepNext/>
        <w:spacing w:after="60" w:before="120"/>
        <w:jc w:val="center"/>
      </w:pPr>
      <w:r>
        <w:drawing>
          <wp:inline distT="0" distB="0" distL="0" distR="0">
            <wp:extent cx="4953000" cy="2000250"/>
            <wp:effectExtent t="0" r="0" b="0" l="0"/>
            <wp:docPr id="1" name="fig3" descr="Reliability diagrams and calibration curves: empirical calibration curves and 10-bin expected calibration error (ECE) fo"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002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 Reliability diagrams and calibration curves: empirical calibration curves and 10-bin expected calibration error (ECE) for ResNet-50 and DeiT-Small on the Cheng patient-isolated held-out Fold 1 partition and the BRISC clean test set.</w:t>
      </w:r>
    </w:p>
    <w:p>
      <w:pPr>
        <w:keepNext/>
        <w:spacing w:after="80" w:before="160" w:line="240"/>
        <w:jc w:val="both"/>
      </w:pPr>
      <w:r>
        <w:rPr>
          <w:rFonts w:ascii="Times New Roman" w:cs="Times New Roman" w:eastAsia="Times New Roman" w:hAnsi="Times New Roman"/>
          <w:b/>
          <w:sz w:val="18"/>
          <w:szCs w:val="18"/>
        </w:rPr>
        <w:t xml:space="preserve">Table 1</w:t>
      </w:r>
      <w:r>
        <w:rPr>
          <w:rFonts w:ascii="Times New Roman" w:cs="Times New Roman" w:eastAsia="Times New Roman" w:hAnsi="Times New Roman"/>
          <w:sz w:val="18"/>
          <w:szCs w:val="18"/>
        </w:rPr>
        <w:t xml:space="preserve"> Baseline classification performance and probability calibration. Panel A: full-label evaluation (Cheng, three classes, Fold 1 held-out partition; BRISC, four classes). Panel B: BRISC mask-supported neoplasm batch, in which only glioma and meningioma are present; macro-F1 is computed over the two present labels.</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2058"/>
        <w:gridCol w:w="750"/>
        <w:gridCol w:w="850"/>
        <w:gridCol w:w="800"/>
        <w:gridCol w:w="800"/>
        <w:gridCol w:w="810"/>
      </w:tblGrid>
      <w:tr>
        <w:trPr>
          <w:cantSplit/>
          <w:tblHeader/>
        </w:trPr>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Dataset</w:t>
            </w:r>
          </w:p>
        </w:tc>
        <w:tc>
          <w:tcPr>
            <w:tcW w:type="dxa" w:w="11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Model</w:t>
            </w:r>
          </w:p>
        </w:tc>
        <w:tc>
          <w:tcPr>
            <w:tcW w:type="dxa" w:w="205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Evaluation partition</w:t>
            </w:r>
          </w:p>
        </w:tc>
        <w:tc>
          <w:tcPr>
            <w:tcW w:type="dxa" w:w="7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Accuracy</w:t>
            </w:r>
          </w:p>
        </w:tc>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Balanced acc.</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Macro-F1</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ECE (10-bin)</w:t>
            </w:r>
          </w:p>
        </w:tc>
        <w:tc>
          <w:tcPr>
            <w:tcW w:type="dxa" w:w="81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Brier score</w:t>
            </w:r>
          </w:p>
        </w:tc>
      </w:tr>
      <w:tr>
        <w:trPr>
          <w:cantSplit/>
        </w:trPr>
        <w:tc>
          <w:tcPr>
            <w:tcW w:type="dxa" w:w="8018"/>
            <w:gridSpan w:val="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sz w:val="16"/>
                <w:szCs w:val="16"/>
              </w:rPr>
              <w:t xml:space="preserve">Panel A.</w:t>
            </w:r>
            <w:r>
              <w:rPr>
                <w:rFonts w:ascii="Times New Roman" w:cs="Times New Roman" w:eastAsia="Times New Roman" w:hAnsi="Times New Roman"/>
                <w:sz w:val="16"/>
                <w:szCs w:val="16"/>
              </w:rPr>
              <w:t xml:space="preserve"> Full-label evaluation (Cheng, three classes; BRISC, four classes)</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Patient-isolated held-out Fold 1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0.7583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0.7448</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0.7190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0.1835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0.3692</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Patient-isolated held-out Fold 1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0.8458</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0.8403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0.0366</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0.2136</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Official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0.7040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0.6870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0.7095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0.3875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0.6510</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0.6963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0.6815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0.6991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0.3790</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0.6505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Official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0.7880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0.8094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0.8030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0.0719</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0.2864</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0.8265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0.8344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0.0901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0.2448</w:t>
            </w:r>
          </w:p>
        </w:tc>
      </w:tr>
      <w:tr>
        <w:trPr>
          <w:cantSplit/>
        </w:trPr>
        <w:tc>
          <w:tcPr>
            <w:tcW w:type="dxa" w:w="8018"/>
            <w:gridSpan w:val="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sz w:val="16"/>
                <w:szCs w:val="16"/>
              </w:rPr>
              <w:t xml:space="preserve">Panel B.</w:t>
            </w:r>
            <w:r>
              <w:rPr>
                <w:rFonts w:ascii="Times New Roman" w:cs="Times New Roman" w:eastAsia="Times New Roman" w:hAnsi="Times New Roman"/>
                <w:sz w:val="16"/>
                <w:szCs w:val="16"/>
              </w:rPr>
              <w:t xml:space="preserve"> BRISC mask-supported neoplasm batch (two classes present; macro-F1 over present labels)</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Official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480; glioma and meningioma)</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0.6479</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0.6510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0.6919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0.3312</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0.6591</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Clean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397)</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0.6247</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0.6349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0.6574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0.3061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0.6595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Official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480; glioma and meningioma)</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0.6875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0.6813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0.7131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0.0421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0.3938</w:t>
            </w:r>
          </w:p>
        </w:tc>
      </w:tr>
      <w:tr>
        <w:trPr>
          <w:cantSplit/>
        </w:trPr>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Clean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397)</w:t>
            </w:r>
          </w:p>
        </w:tc>
        <w:tc>
          <w:tcPr>
            <w:tcW w:type="dxa" w:w="7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0.7456</w:t>
            </w:r>
          </w:p>
        </w:tc>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0.7294</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0.7431</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0.0718</w:t>
            </w:r>
          </w:p>
        </w:tc>
        <w:tc>
          <w:tcPr>
            <w:tcW w:type="dxa" w:w="81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0.3303</w:t>
            </w:r>
          </w:p>
        </w:tc>
      </w:tr>
    </w:tbl>
    <w:p>
      <w:pPr>
        <w:spacing w:after="160" w:before="60" w:line="240"/>
        <w:jc w:val="both"/>
      </w:pPr>
      <w:r>
        <w:rPr>
          <w:rFonts w:ascii="Times New Roman" w:cs="Times New Roman" w:eastAsia="Times New Roman" w:hAnsi="Times New Roman"/>
          <w:i/>
          <w:sz w:val="16"/>
          <w:szCs w:val="16"/>
        </w:rPr>
        <w:t xml:space="preserve">Note:</w:t>
      </w:r>
      <w:r>
        <w:rPr>
          <w:rFonts w:ascii="Times New Roman" w:cs="Times New Roman" w:eastAsia="Times New Roman" w:hAnsi="Times New Roman"/>
          <w:sz w:val="16"/>
          <w:szCs w:val="16"/>
        </w:rPr>
        <w:t xml:space="preserve"> For Cheng, evaluations reflect the 480 held-out slices of Fold 1 (49 patients unseen in training), not pooled five-fold out-of-fold predictions. For BRISC, official and clean benchmark scores are computed across the full four-class test partitions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1,000 and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899; test_predictions_*_brisc.csv and test_predictions_*_brisc_clean.csv). Panel B reports the mask-supported neoplasm subset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480 official and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397 clean; test_predictions_*_neoplasm_480.csv) with the label set fixed to the classes present in each subset.</w:t>
      </w:r>
    </w:p>
    <w:p>
      <w:pPr>
        <w:keepNext/>
        <w:spacing w:after="80" w:before="180"/>
      </w:pPr>
      <w:r>
        <w:rPr>
          <w:rFonts w:ascii="Times New Roman" w:cs="Times New Roman" w:eastAsia="Times New Roman" w:hAnsi="Times New Roman"/>
          <w:b/>
          <w:bCs/>
          <w:sz w:val="21"/>
          <w:szCs w:val="21"/>
        </w:rPr>
        <w:t xml:space="preserve">5.2 Quality control of counterfactual interventions</w:t>
      </w:r>
    </w:p>
    <w:p>
      <w:pPr>
        <w:keepNext/>
        <w:spacing w:after="100" w:line="264"/>
        <w:jc w:val="both"/>
      </w:pPr>
      <w:r>
        <w:rPr>
          <w:rFonts w:ascii="Times New Roman" w:cs="Times New Roman" w:eastAsia="Times New Roman" w:hAnsi="Times New Roman"/>
          <w:sz w:val="20"/>
          <w:szCs w:val="20"/>
        </w:rPr>
        <w:t xml:space="preserve">All 1,200 generated counterfactual interventions met the quality-control gates (Fig. 4):</w:t>
      </w:r>
    </w:p>
    <w:p>
      <w:pPr>
        <w:keepNext/>
        <w:spacing w:after="60" w:before="120"/>
        <w:jc w:val="center"/>
      </w:pPr>
      <w:r>
        <w:drawing>
          <wp:inline distT="0" distB="0" distL="0" distR="0">
            <wp:extent cx="4953000" cy="2389435"/>
            <wp:effectExtent t="0" r="0" b="0" l="0"/>
            <wp:docPr id="1" name="fig10" descr="Counterfactual intervention and residual montage gallery: an eight-panel diagnostic display showing the original slice, "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89435"/>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4</w:t>
      </w:r>
      <w:r>
        <w:rPr>
          <w:rFonts w:ascii="Times New Roman" w:cs="Times New Roman" w:eastAsia="Times New Roman" w:hAnsi="Times New Roman"/>
          <w:sz w:val="18"/>
          <w:szCs w:val="18"/>
        </w:rPr>
        <w:t xml:space="preserve"> Counterfactual intervention and residual montage gallery: an eight-panel diagnostic display showing the original slice, the five-colour segmentation topology, Method A inpainted core and sham, Method B texture-filled core and sham, and residual difference maps.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preservation.</w:t>
      </w:r>
      <w:r>
        <w:rPr>
          <w:rFonts w:ascii="Times New Roman" w:cs="Times New Roman" w:eastAsia="Times New Roman" w:hAnsi="Times New Roman"/>
          <w:sz w:val="20"/>
          <w:szCs w:val="20"/>
        </w:rPr>
        <w:t xml:space="preserve"> The maximum absolute difference outside the edit mask was 0.00 across all 1,200 edits.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Intra-mask magnitude.</w:t>
      </w:r>
      <w:r>
        <w:rPr>
          <w:rFonts w:ascii="Times New Roman" w:cs="Times New Roman" w:eastAsia="Times New Roman" w:hAnsi="Times New Roman"/>
          <w:sz w:val="20"/>
          <w:szCs w:val="20"/>
        </w:rPr>
        <w:t xml:space="preserve"> The mean absolute difference (MAD) inside the core mask averaged 0.156–0.232 (Method A) and 0.216–0.259 (Method B).</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Evaluated coverage.</w:t>
      </w:r>
      <w:r>
        <w:rPr>
          <w:rFonts w:ascii="Times New Roman" w:cs="Times New Roman" w:eastAsia="Times New Roman" w:hAnsi="Times New Roman"/>
          <w:sz w:val="20"/>
          <w:szCs w:val="20"/>
        </w:rPr>
        <w:t xml:space="preserve"> All 90 evaluated slices in predictions/intervention_effects.csv have verified QC records in manifests/intervention_qc.csv.</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Edge discontinuity.</w:t>
      </w:r>
      <w:r>
        <w:rPr>
          <w:rFonts w:ascii="Times New Roman" w:cs="Times New Roman" w:eastAsia="Times New Roman" w:hAnsi="Times New Roman"/>
          <w:sz w:val="20"/>
          <w:szCs w:val="20"/>
        </w:rPr>
        <w:t xml:space="preserve"> Boundary gradient offsets were bounded (0.16–0.24); this measure does not imply that the edited regions are artefact-free.</w:t>
      </w:r>
    </w:p>
    <w:p>
      <w:pPr>
        <w:keepNext/>
        <w:spacing w:after="80" w:before="180"/>
      </w:pPr>
      <w:r>
        <w:rPr>
          <w:rFonts w:ascii="Times New Roman" w:cs="Times New Roman" w:eastAsia="Times New Roman" w:hAnsi="Times New Roman"/>
          <w:b/>
          <w:bCs/>
          <w:sz w:val="21"/>
          <w:szCs w:val="21"/>
        </w:rPr>
        <w:t xml:space="preserve">5.3 Primary counterfactual sensitivity: core versus margin evidence</w:t>
      </w:r>
    </w:p>
    <w:p>
      <w:pPr>
        <w:spacing w:after="100" w:line="264"/>
        <w:jc w:val="both"/>
      </w:pPr>
      <w:r>
        <w:rPr>
          <w:rFonts w:ascii="Times New Roman" w:cs="Times New Roman" w:eastAsia="Times New Roman" w:hAnsi="Times New Roman"/>
          <w:sz w:val="20"/>
          <w:szCs w:val="20"/>
        </w:rPr>
        <w:t xml:space="preserve">Evaluation of the 1,800 paired counterfactual observations in predictions/intervention_effects.csv revealed spatial sensitivities that differ across architectures and intervention methods (Table 2; Fig. 5).</w:t>
      </w:r>
    </w:p>
    <w:p>
      <w:pPr>
        <w:keepNext/>
        <w:spacing w:after="60" w:before="120"/>
        <w:jc w:val="center"/>
      </w:pPr>
      <w:r>
        <w:drawing>
          <wp:inline distT="0" distB="0" distL="0" distR="0">
            <wp:extent cx="4953000" cy="2536961"/>
            <wp:effectExtent t="0" r="0" b="0" l="0"/>
            <wp:docPr id="1" name="fig4" descr="Regional evidence sensitivity across architectures (Method A, inpainting): sham-corrected sensitivity (&lt;i&gt;τ&lt;/i&gt;&lt;sub&gt;&lt;i&gt;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36961"/>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5</w:t>
      </w:r>
      <w:r>
        <w:rPr>
          <w:rFonts w:ascii="Times New Roman" w:cs="Times New Roman" w:eastAsia="Times New Roman" w:hAnsi="Times New Roman"/>
          <w:sz w:val="18"/>
          <w:szCs w:val="18"/>
        </w:rPr>
        <w:t xml:space="preserve"> Regional evidence sensitivity across architectures (Method A, inpainting), pooled across the Cheng and BRISC intervention subsets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90 slices): sham-corrected sensitivity (</w:t>
      </w:r>
      <w:r>
        <w:rPr>
          <w:rFonts w:ascii="Times New Roman" w:cs="Times New Roman" w:eastAsia="Times New Roman" w:hAnsi="Times New Roman"/>
          <w:i/>
          <w:sz w:val="18"/>
          <w:szCs w:val="18"/>
        </w:rPr>
        <w:t xml:space="preserve">τ</w:t>
      </w:r>
      <w:r>
        <w:rPr>
          <w:rFonts w:ascii="Times New Roman" w:cs="Times New Roman" w:eastAsia="Times New Roman" w:hAnsi="Times New Roman"/>
          <w:i/>
          <w:sz w:val="18"/>
          <w:szCs w:val="18"/>
          <w:vertAlign w:val="subscript"/>
        </w:rPr>
        <w:t xml:space="preserve">r</w:t>
      </w:r>
      <w:r>
        <w:rPr>
          <w:rFonts w:ascii="Times New Roman" w:cs="Times New Roman" w:eastAsia="Times New Roman" w:hAnsi="Times New Roman"/>
          <w:sz w:val="18"/>
          <w:szCs w:val="18"/>
        </w:rPr>
        <w:t xml:space="preserve">) for the tumour core, immediate margin (4 px), outer margin (12 px) and remote context. Error bars show the standard error of the mean; asterisks mark paired Wilcoxon significance against sham (*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&lt; 0.05, ***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&lt; 0.001; n.s., not significant).</w:t>
      </w:r>
    </w:p>
    <w:p>
      <w:pPr>
        <w:keepNext/>
        <w:spacing w:after="80" w:before="160" w:line="240"/>
        <w:jc w:val="both"/>
      </w:pPr>
      <w:r>
        <w:rPr>
          <w:rFonts w:ascii="Times New Roman" w:cs="Times New Roman" w:eastAsia="Times New Roman" w:hAnsi="Times New Roman"/>
          <w:b/>
          <w:sz w:val="18"/>
          <w:szCs w:val="18"/>
        </w:rPr>
        <w:t xml:space="preserve">Table 2</w:t>
      </w:r>
      <w:r>
        <w:rPr>
          <w:rFonts w:ascii="Times New Roman" w:cs="Times New Roman" w:eastAsia="Times New Roman" w:hAnsi="Times New Roman"/>
          <w:sz w:val="18"/>
          <w:szCs w:val="18"/>
        </w:rPr>
        <w:t xml:space="preserve"> Regional evidence sensitivity and hypothesis testing. Shown are 12 of the 40 dataset × model × method × region estimates: all four regions for DeiT-Small with Method A in each cohort, plus core sensitivity (and the immediate margin for ResNet-50 Method A) for the remaining Cheng model–method combinations. Values for </w:t>
      </w:r>
      <w:r>
        <w:rPr>
          <w:rFonts w:ascii="Times New Roman" w:cs="Times New Roman" w:eastAsia="Times New Roman" w:hAnsi="Times New Roman"/>
          <w:i/>
          <w:sz w:val="18"/>
          <w:szCs w:val="18"/>
        </w:rPr>
        <w:t xml:space="preserve">Δ</w:t>
      </w:r>
      <w:r>
        <w:rPr>
          <w:rFonts w:ascii="Times New Roman" w:cs="Times New Roman" w:eastAsia="Times New Roman" w:hAnsi="Times New Roman"/>
          <w:i/>
          <w:sz w:val="18"/>
          <w:szCs w:val="18"/>
          <w:vertAlign w:val="subscript"/>
        </w:rPr>
        <w:t xml:space="preserve">r</w:t>
      </w:r>
      <w:r>
        <w:rPr>
          <w:rFonts w:ascii="Times New Roman" w:cs="Times New Roman" w:eastAsia="Times New Roman" w:hAnsi="Times New Roman"/>
          <w:sz w:val="18"/>
          <w:szCs w:val="18"/>
        </w:rPr>
        <w:t xml:space="preserve"> and </w:t>
      </w:r>
      <w:r>
        <w:rPr>
          <w:rFonts w:ascii="Times New Roman" w:cs="Times New Roman" w:eastAsia="Times New Roman" w:hAnsi="Times New Roman"/>
          <w:i/>
          <w:sz w:val="18"/>
          <w:szCs w:val="18"/>
        </w:rPr>
        <w:t xml:space="preserve">τ</w:t>
      </w:r>
      <w:r>
        <w:rPr>
          <w:rFonts w:ascii="Times New Roman" w:cs="Times New Roman" w:eastAsia="Times New Roman" w:hAnsi="Times New Roman"/>
          <w:i/>
          <w:sz w:val="18"/>
          <w:szCs w:val="18"/>
          <w:vertAlign w:val="subscript"/>
        </w:rPr>
        <w:t xml:space="preserve">r</w:t>
      </w:r>
      <w:r>
        <w:rPr>
          <w:rFonts w:ascii="Times New Roman" w:cs="Times New Roman" w:eastAsia="Times New Roman" w:hAnsi="Times New Roman"/>
          <w:sz w:val="18"/>
          <w:szCs w:val="18"/>
        </w:rPr>
        <w:t xml:space="preserve"> are mean ± SD. Holm adjustment is applied across the four regions within each dataset–model–method set.</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650"/>
        <w:gridCol w:w="780"/>
        <w:gridCol w:w="780"/>
        <w:gridCol w:w="760"/>
        <w:gridCol w:w="1000"/>
        <w:gridCol w:w="1000"/>
        <w:gridCol w:w="560"/>
        <w:gridCol w:w="900"/>
        <w:gridCol w:w="950"/>
        <w:gridCol w:w="638"/>
      </w:tblGrid>
      <w:tr>
        <w:trPr>
          <w:cantSplit/>
          <w:tblHeader/>
        </w:trPr>
        <w:tc>
          <w:tcPr>
            <w:tcW w:type="dxa" w:w="6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Dataset</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Model</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Method</w:t>
            </w:r>
          </w:p>
        </w:tc>
        <w:tc>
          <w:tcPr>
            <w:tcW w:type="dxa" w:w="7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Region</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Raw sensitivity (Δ</w:t>
            </w:r>
            <w:r>
              <w:rPr>
                <w:rFonts w:ascii="Times New Roman" w:cs="Times New Roman" w:eastAsia="Times New Roman" w:hAnsi="Times New Roman"/>
                <w:b/>
                <w:bCs/>
                <w:i/>
                <w:iCs/>
                <w:sz w:val="14"/>
                <w:szCs w:val="14"/>
                <w:vertAlign w:val="subscript"/>
              </w:rPr>
              <w:t xml:space="preserve">r</w:t>
            </w:r>
            <w:r>
              <w:rPr>
                <w:rFonts w:ascii="Times New Roman" w:cs="Times New Roman" w:eastAsia="Times New Roman" w:hAnsi="Times New Roman"/>
                <w:b/>
                <w:bCs/>
                <w:sz w:val="14"/>
                <w:szCs w:val="14"/>
              </w:rPr>
              <w:t xml:space="preserve">)</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Sham-corrected (</w:t>
            </w:r>
            <w:r>
              <w:rPr>
                <w:rFonts w:ascii="Times New Roman" w:cs="Times New Roman" w:eastAsia="Times New Roman" w:hAnsi="Times New Roman"/>
                <w:b/>
                <w:bCs/>
                <w:i/>
                <w:iCs/>
                <w:sz w:val="14"/>
                <w:szCs w:val="14"/>
              </w:rPr>
              <w:t xml:space="preserve">τ</w:t>
            </w:r>
            <w:r>
              <w:rPr>
                <w:rFonts w:ascii="Times New Roman" w:cs="Times New Roman" w:eastAsia="Times New Roman" w:hAnsi="Times New Roman"/>
                <w:b/>
                <w:bCs/>
                <w:i/>
                <w:iCs/>
                <w:sz w:val="14"/>
                <w:szCs w:val="14"/>
                <w:vertAlign w:val="subscript"/>
              </w:rPr>
              <w:t xml:space="preserve">r</w:t>
            </w:r>
            <w:r>
              <w:rPr>
                <w:rFonts w:ascii="Times New Roman" w:cs="Times New Roman" w:eastAsia="Times New Roman" w:hAnsi="Times New Roman"/>
                <w:b/>
                <w:bCs/>
                <w:sz w:val="14"/>
                <w:szCs w:val="14"/>
              </w:rPr>
              <w:t xml:space="preserve">)</w:t>
            </w:r>
          </w:p>
        </w:tc>
        <w:tc>
          <w:tcPr>
            <w:tcW w:type="dxa" w:w="5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Flip rate</w:t>
            </w:r>
          </w:p>
        </w:tc>
        <w:tc>
          <w:tcPr>
            <w:tcW w:type="dxa" w:w="9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Raw Wilcoxon </w:t>
            </w:r>
            <w:r>
              <w:rPr>
                <w:rFonts w:ascii="Times New Roman" w:cs="Times New Roman" w:eastAsia="Times New Roman" w:hAnsi="Times New Roman"/>
                <w:b/>
                <w:bCs/>
                <w:i/>
                <w:iCs/>
                <w:sz w:val="14"/>
                <w:szCs w:val="14"/>
              </w:rPr>
              <w:t xml:space="preserve">p</w:t>
            </w:r>
          </w:p>
        </w:tc>
        <w:tc>
          <w:tcPr>
            <w:tcW w:type="dxa" w:w="9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Holm-adj. </w:t>
            </w:r>
            <w:r>
              <w:rPr>
                <w:rFonts w:ascii="Times New Roman" w:cs="Times New Roman" w:eastAsia="Times New Roman" w:hAnsi="Times New Roman"/>
                <w:b/>
                <w:bCs/>
                <w:i/>
                <w:iCs/>
                <w:sz w:val="14"/>
                <w:szCs w:val="14"/>
              </w:rPr>
              <w:t xml:space="preserve">p</w:t>
            </w:r>
          </w:p>
        </w:tc>
        <w:tc>
          <w:tcPr>
            <w:tcW w:type="dxa" w:w="63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Cohen’s </w:t>
            </w:r>
            <w:r>
              <w:rPr>
                <w:rFonts w:ascii="Times New Roman" w:cs="Times New Roman" w:eastAsia="Times New Roman" w:hAnsi="Times New Roman"/>
                <w:b/>
                <w:bCs/>
                <w:i/>
                <w:iCs/>
                <w:sz w:val="14"/>
                <w:szCs w:val="14"/>
              </w:rPr>
              <w:t xml:space="preserve">d</w:t>
            </w:r>
            <w:r>
              <w:rPr>
                <w:rFonts w:ascii="Times New Roman" w:cs="Times New Roman" w:eastAsia="Times New Roman" w:hAnsi="Times New Roman"/>
                <w:b/>
                <w:bCs/>
                <w:sz w:val="14"/>
                <w:szCs w:val="14"/>
                <w:vertAlign w:val="subscript"/>
              </w:rPr>
              <w:t xml:space="preserve">z</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0.1212 ± 0.245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0.1282 ± 0.245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13.3%</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9.13×10</w:t>
            </w:r>
            <w:r>
              <w:rPr>
                <w:rFonts w:ascii="Times New Roman" w:cs="Times New Roman" w:eastAsia="Times New Roman" w:hAnsi="Times New Roman"/>
                <w:b w:val="false"/>
                <w:bCs w:val="false"/>
                <w:sz w:val="14"/>
                <w:szCs w:val="14"/>
                <w:vertAlign w:val="superscript"/>
              </w:rPr>
              <w:t xml:space="preserve">−6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3.65×10</w:t>
            </w:r>
            <w:r>
              <w:rPr>
                <w:rFonts w:ascii="Times New Roman" w:cs="Times New Roman" w:eastAsia="Times New Roman" w:hAnsi="Times New Roman"/>
                <w:b w:val="false"/>
                <w:bCs w:val="false"/>
                <w:sz w:val="14"/>
                <w:szCs w:val="14"/>
                <w:vertAlign w:val="superscript"/>
              </w:rPr>
              <w:t xml:space="preserve">−5</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0.518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0.1577 ± 0.241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0.1449 ± 0.214</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3.09×10</w:t>
            </w:r>
            <w:r>
              <w:rPr>
                <w:rFonts w:ascii="Times New Roman" w:cs="Times New Roman" w:eastAsia="Times New Roman" w:hAnsi="Times New Roman"/>
                <w:b w:val="false"/>
                <w:bCs w:val="false"/>
                <w:sz w:val="14"/>
                <w:szCs w:val="14"/>
                <w:vertAlign w:val="superscript"/>
              </w:rPr>
              <w:t xml:space="preserve">−8</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1.24×10</w:t>
            </w:r>
            <w:r>
              <w:rPr>
                <w:rFonts w:ascii="Times New Roman" w:cs="Times New Roman" w:eastAsia="Times New Roman" w:hAnsi="Times New Roman"/>
                <w:b w:val="false"/>
                <w:bCs w:val="false"/>
                <w:sz w:val="14"/>
                <w:szCs w:val="14"/>
                <w:vertAlign w:val="superscript"/>
              </w:rPr>
              <w:t xml:space="preserve">−7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0.669</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0.0143 ± 0.082</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0.0213 ± 0.096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0.0267</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0.0802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0.222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−0.0007 ± 0.091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0.0063 ± 0.098</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0.2866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0.2866</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0.064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Remote context</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0.0058 ± 0.030</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0.0128 ± 0.065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2.2%</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0.0801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0.1603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0.196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0.0264 ± 0.041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0.0311 ± 0.056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6.54×10</w:t>
            </w:r>
            <w:r>
              <w:rPr>
                <w:rFonts w:ascii="Times New Roman" w:cs="Times New Roman" w:eastAsia="Times New Roman" w:hAnsi="Times New Roman"/>
                <w:b w:val="false"/>
                <w:bCs w:val="false"/>
                <w:sz w:val="14"/>
                <w:szCs w:val="14"/>
                <w:vertAlign w:val="superscript"/>
              </w:rPr>
              <w:t xml:space="preserve">−4</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2.60×10</w:t>
            </w:r>
            <w:r>
              <w:rPr>
                <w:rFonts w:ascii="Times New Roman" w:cs="Times New Roman" w:eastAsia="Times New Roman" w:hAnsi="Times New Roman"/>
                <w:b w:val="false"/>
                <w:bCs w:val="false"/>
                <w:sz w:val="14"/>
                <w:szCs w:val="14"/>
                <w:vertAlign w:val="superscript"/>
              </w:rPr>
              <w:t xml:space="preserve">−3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0.548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0.0844 ± 0.134</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0.0603 ± 0.150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0.0173</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0.0691</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0.396</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0.0079 ± 0.036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0.0125 ± 0.050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0.0621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0.1242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0.0367 ± 0.096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0.0517 ± 0.147</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1.85×10</w:t>
            </w:r>
            <w:r>
              <w:rPr>
                <w:rFonts w:ascii="Times New Roman" w:cs="Times New Roman" w:eastAsia="Times New Roman" w:hAnsi="Times New Roman"/>
                <w:sz w:val="14"/>
                <w:szCs w:val="14"/>
                <w:vertAlign w:val="superscript"/>
              </w:rPr>
              <w:t xml:space="preserve">−6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7.40×10</w:t>
            </w:r>
            <w:r>
              <w:rPr>
                <w:rFonts w:ascii="Times New Roman" w:cs="Times New Roman" w:eastAsia="Times New Roman" w:hAnsi="Times New Roman"/>
                <w:sz w:val="14"/>
                <w:szCs w:val="14"/>
                <w:vertAlign w:val="superscript"/>
              </w:rPr>
              <w:t xml:space="preserve">−6</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0.352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0.0089 ± 0.048</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0.0239 ± 0.093</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0.0094</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0.0188</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0.257</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0.0150 ± 0.065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0.0301 ± 0.070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0.0049</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0.0147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0.425</w:t>
            </w:r>
          </w:p>
        </w:tc>
      </w:tr>
      <w:tr>
        <w:trPr>
          <w:cantSplit/>
        </w:trPr>
        <w:tc>
          <w:tcPr>
            <w:tcW w:type="dxa" w:w="6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Remote context</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−0.0010 ± 0.018</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0.0140 ± 0.056</w:t>
            </w:r>
          </w:p>
        </w:tc>
        <w:tc>
          <w:tcPr>
            <w:tcW w:type="dxa" w:w="56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0.2815</w:t>
            </w:r>
          </w:p>
        </w:tc>
        <w:tc>
          <w:tcPr>
            <w:tcW w:type="dxa" w:w="9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0.2815</w:t>
            </w:r>
          </w:p>
        </w:tc>
        <w:tc>
          <w:tcPr>
            <w:tcW w:type="dxa" w:w="63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0.249 (n.s.)</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Holm-adj.: Holm-adjusted; n.s.: not significant.</w:t>
      </w:r>
    </w:p>
    <w:p>
      <w:pPr>
        <w:keepNext/>
        <w:spacing w:after="100" w:line="264"/>
        <w:jc w:val="both"/>
      </w:pPr>
      <w:r>
        <w:rPr>
          <w:rFonts w:ascii="Times New Roman" w:cs="Times New Roman" w:eastAsia="Times New Roman" w:hAnsi="Times New Roman"/>
          <w:b/>
          <w:bCs/>
          <w:sz w:val="20"/>
          <w:szCs w:val="20"/>
        </w:rPr>
        <w:t xml:space="preserve">Non-monotonic spatial dynamics and patient-clustered analysis.</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Core evidence dominance versus method dependency.</w:t>
      </w:r>
      <w:r>
        <w:rPr>
          <w:rFonts w:ascii="Times New Roman" w:cs="Times New Roman" w:eastAsia="Times New Roman" w:hAnsi="Times New Roman"/>
          <w:sz w:val="20"/>
          <w:szCs w:val="20"/>
        </w:rPr>
        <w:t xml:space="preserve"> Core dominance is strongly evident in Vision Transformers under PDE inpainting on Cheng, where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0.1282) far exceeds margin effects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0.0213,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0.0063,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0.0128). However, spatial decay is not universally monotonic: under Method B (locally matched Gaussian texture fill) and in skull-stripped BRISC scans, outer-margin effects frequently equal or approach core sensitivity (e.g. BRISC DeiT outer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0.0301 vs core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0.0517). The outer ring covers more tissue than the immediate ring and may include perilesional signal and boundary texture. The experiment does not isolate oedema as the cause of measured sensitivity.</w:t>
      </w:r>
    </w:p>
    <w:p>
      <w:pPr>
        <w:pStyle w:val="ListParagraph"/>
        <w:numPr>
          <w:ilvl w:val="0"/>
          <w:numId w:val="5"/>
        </w:numPr>
        <w:spacing w:after="60" w:line="264"/>
        <w:jc w:val="both"/>
      </w:pPr>
      <w:r>
        <w:rPr>
          <w:rFonts w:ascii="Times New Roman" w:cs="Times New Roman" w:eastAsia="Times New Roman" w:hAnsi="Times New Roman"/>
          <w:b/>
          <w:sz w:val="20"/>
          <w:szCs w:val="20"/>
        </w:rPr>
        <w:t xml:space="preserve">Patient-clustered statistical inference.</w:t>
      </w:r>
      <w:r>
        <w:rPr>
          <w:rFonts w:ascii="Times New Roman" w:cs="Times New Roman" w:eastAsia="Times New Roman" w:hAnsi="Times New Roman"/>
          <w:sz w:val="20"/>
          <w:szCs w:val="20"/>
        </w:rPr>
        <w:t xml:space="preserve"> In Cheng, the 45 intervention slices originate from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 unique patient clusters. While slice-level Wilcoxon tests yield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9.13 ×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for DeiT-Small and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6.54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for ResNet-50, the patient-clustered Wilcoxon signed-rank test across the 10 patient-mean core sensitivities of DeiT-Small gave </w:t>
      </w:r>
      <w:r>
        <w:rPr>
          <w:rFonts w:ascii="Times New Roman" w:cs="Times New Roman" w:eastAsia="Times New Roman" w:hAnsi="Times New Roman"/>
          <w:i/>
          <w:sz w:val="20"/>
          <w:szCs w:val="20"/>
        </w:rPr>
        <w:t xml:space="preserve">W</w:t>
      </w:r>
      <w:r>
        <w:rPr>
          <w:rFonts w:ascii="Times New Roman" w:cs="Times New Roman" w:eastAsia="Times New Roman" w:hAnsi="Times New Roman"/>
          <w:sz w:val="20"/>
          <w:szCs w:val="20"/>
        </w:rPr>
        <w:t xml:space="preserve"> = 53.0,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0.0059. Patient clustering shows that the effective sample size is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 so slice-level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-values overstate precision; with ten clusters the clustered result is supportive but limited evidence that core sensitivity exceeds sham.</w:t>
      </w:r>
    </w:p>
    <w:p>
      <w:pPr>
        <w:pStyle w:val="ListParagraph"/>
        <w:numPr>
          <w:ilvl w:val="0"/>
          <w:numId w:val="5"/>
        </w:numPr>
        <w:spacing w:after="60" w:line="264"/>
        <w:jc w:val="both"/>
      </w:pPr>
      <w:r>
        <w:rPr>
          <w:rFonts w:ascii="Times New Roman" w:cs="Times New Roman" w:eastAsia="Times New Roman" w:hAnsi="Times New Roman"/>
          <w:b/>
          <w:sz w:val="20"/>
          <w:szCs w:val="20"/>
        </w:rPr>
        <w:t xml:space="preserve">Remote context invariance.</w:t>
      </w:r>
      <w:r>
        <w:rPr>
          <w:rFonts w:ascii="Times New Roman" w:cs="Times New Roman" w:eastAsia="Times New Roman" w:hAnsi="Times New Roman"/>
          <w:sz w:val="20"/>
          <w:szCs w:val="20"/>
        </w:rPr>
        <w:t xml:space="preserve"> Remote-region effects were non-significant in the highlighted comparisons (BRISC DeiT Telea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0.2815; Cheng DeiT Telea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0.0801 before multiplicity correction). Under Method B, which fills the region with noise matched to the local mean and variance of its surroundings, DeiT-Small remote sensitivity was likewise low and non-significant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0.0052,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0.4571), whereas ResNet-50 showed higher remote-parenchyma sensitivity under the same perturbation. Non-significance is not proof of zero effect or of complete shortcut independence.</w:t>
      </w:r>
    </w:p>
    <w:p>
      <w:pPr>
        <w:pStyle w:val="ListParagraph"/>
        <w:numPr>
          <w:ilvl w:val="0"/>
          <w:numId w:val="5"/>
        </w:numPr>
        <w:spacing w:after="60" w:line="264"/>
        <w:jc w:val="both"/>
      </w:pPr>
      <w:r>
        <w:rPr>
          <w:rFonts w:ascii="Times New Roman" w:cs="Times New Roman" w:eastAsia="Times New Roman" w:hAnsi="Times New Roman"/>
          <w:b/>
          <w:sz w:val="20"/>
          <w:szCs w:val="20"/>
        </w:rPr>
        <w:t xml:space="preserve">Region area and per-pixel sensitivity.</w:t>
      </w:r>
      <w:r>
        <w:rPr>
          <w:rFonts w:ascii="Times New Roman" w:cs="Times New Roman" w:eastAsia="Times New Roman" w:hAnsi="Times New Roman"/>
          <w:sz w:val="20"/>
          <w:szCs w:val="20"/>
        </w:rPr>
        <w:t xml:space="preserve"> Regions differ in size and only the sham is area-matched to the core, so differences between regions may partly reflect area. The outer margin was on average 2.2 times larger than the tumour core (mean 2,239 vs 1,013 px). Normalised per 1,000 edited pixels, sensitivity ranged from 0.049 to 0.136 for the core and from 0.015 to 0.036 for margin and remote regions, so evidence density was higher in the core in the summarised comparisons.</w:t>
      </w:r>
    </w:p>
    <w:p>
      <w:pPr>
        <w:keepNext/>
        <w:spacing w:after="80" w:before="180"/>
      </w:pPr>
      <w:r>
        <w:rPr>
          <w:rFonts w:ascii="Times New Roman" w:cs="Times New Roman" w:eastAsia="Times New Roman" w:hAnsi="Times New Roman"/>
          <w:b/>
          <w:bCs/>
          <w:sz w:val="21"/>
          <w:szCs w:val="21"/>
        </w:rPr>
        <w:t xml:space="preserve">5.4 Architectural inductive bias: ViT versus CNN</w:t>
      </w:r>
    </w:p>
    <w:p>
      <w:pPr>
        <w:spacing w:after="100" w:line="264"/>
        <w:jc w:val="both"/>
      </w:pPr>
      <w:r>
        <w:rPr>
          <w:rFonts w:ascii="Times New Roman" w:cs="Times New Roman" w:eastAsia="Times New Roman" w:hAnsi="Times New Roman"/>
          <w:sz w:val="20"/>
          <w:szCs w:val="20"/>
        </w:rPr>
        <w:t xml:space="preserve">Paired comparison between DeiT-Small and ResNet-50 showed architectural divergences (Fig. 6).</w:t>
      </w:r>
    </w:p>
    <w:p>
      <w:pPr>
        <w:keepNext/>
        <w:spacing w:after="60" w:before="120"/>
        <w:jc w:val="center"/>
      </w:pPr>
      <w:r>
        <w:drawing>
          <wp:inline distT="0" distB="0" distL="0" distR="0">
            <wp:extent cx="4953000" cy="2565982"/>
            <wp:effectExtent t="0" r="0" b="0" l="0"/>
            <wp:docPr id="1" name="fig5" descr="Architectural inductive bias, ViT versus CNN regional sensitivity profile (Method A): difference plot (&lt;i&gt;τ&lt;/i&gt;&lt;sub&gt;ViT&lt;"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65982"/>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6</w:t>
      </w:r>
      <w:r>
        <w:rPr>
          <w:rFonts w:ascii="Times New Roman" w:cs="Times New Roman" w:eastAsia="Times New Roman" w:hAnsi="Times New Roman"/>
          <w:sz w:val="18"/>
          <w:szCs w:val="18"/>
        </w:rPr>
        <w:t xml:space="preserve"> Architectural inductive bias, ViT versus CNN regional sensitivity profile (Method A): difference plot (</w:t>
      </w:r>
      <w:r>
        <w:rPr>
          <w:rFonts w:ascii="Times New Roman" w:cs="Times New Roman" w:eastAsia="Times New Roman" w:hAnsi="Times New Roman"/>
          <w:i/>
          <w:sz w:val="18"/>
          <w:szCs w:val="18"/>
        </w:rPr>
        <w:t xml:space="preserve">τ</w:t>
      </w:r>
      <w:r>
        <w:rPr>
          <w:rFonts w:ascii="Times New Roman" w:cs="Times New Roman" w:eastAsia="Times New Roman" w:hAnsi="Times New Roman"/>
          <w:sz w:val="18"/>
          <w:szCs w:val="18"/>
          <w:vertAlign w:val="subscript"/>
        </w:rPr>
        <w:t xml:space="preserve">ViT</w:t>
      </w:r>
      <w:r>
        <w:rPr>
          <w:rFonts w:ascii="Times New Roman" w:cs="Times New Roman" w:eastAsia="Times New Roman" w:hAnsi="Times New Roman"/>
          <w:sz w:val="18"/>
          <w:szCs w:val="18"/>
        </w:rPr>
        <w:t xml:space="preserve"> − </w:t>
      </w:r>
      <w:r>
        <w:rPr>
          <w:rFonts w:ascii="Times New Roman" w:cs="Times New Roman" w:eastAsia="Times New Roman" w:hAnsi="Times New Roman"/>
          <w:i/>
          <w:sz w:val="18"/>
          <w:szCs w:val="18"/>
        </w:rPr>
        <w:t xml:space="preserve">τ</w:t>
      </w:r>
      <w:r>
        <w:rPr>
          <w:rFonts w:ascii="Times New Roman" w:cs="Times New Roman" w:eastAsia="Times New Roman" w:hAnsi="Times New Roman"/>
          <w:sz w:val="18"/>
          <w:szCs w:val="18"/>
          <w:vertAlign w:val="subscript"/>
        </w:rPr>
        <w:t xml:space="preserve">CNN</w:t>
      </w:r>
      <w:r>
        <w:rPr>
          <w:rFonts w:ascii="Times New Roman" w:cs="Times New Roman" w:eastAsia="Times New Roman" w:hAnsi="Times New Roman"/>
          <w:sz w:val="18"/>
          <w:szCs w:val="18"/>
        </w:rPr>
        <w:t xml:space="preserve">) highlighting the greater reliance of DeiT-Small on intra-lesion core and transitional margin evidence.</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Intra-lesion core reliance.</w:t>
      </w:r>
      <w:r>
        <w:rPr>
          <w:rFonts w:ascii="Times New Roman" w:cs="Times New Roman" w:eastAsia="Times New Roman" w:hAnsi="Times New Roman"/>
          <w:sz w:val="20"/>
          <w:szCs w:val="20"/>
        </w:rPr>
        <w:t xml:space="preserve"> In the pooled multi-cohort comparison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90, Method A), DeiT-Small showed higher mean sensitivity to core ablations than ResNet-50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core,ViT</w:t>
      </w:r>
      <w:r>
        <w:rPr>
          <w:rFonts w:ascii="Times New Roman" w:cs="Times New Roman" w:eastAsia="Times New Roman" w:hAnsi="Times New Roman"/>
          <w:sz w:val="20"/>
          <w:szCs w:val="20"/>
        </w:rPr>
        <w:t xml:space="preserve"> = 0.0900 vs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core,CNN</w:t>
      </w:r>
      <w:r>
        <w:rPr>
          <w:rFonts w:ascii="Times New Roman" w:cs="Times New Roman" w:eastAsia="Times New Roman" w:hAnsi="Times New Roman"/>
          <w:sz w:val="20"/>
          <w:szCs w:val="20"/>
        </w:rPr>
        <w:t xml:space="preserve"> = 0.0161; difference +0.0738; slice-level paired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0.0123,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0.0980; Cohen’s </w:t>
      </w:r>
      <w:r>
        <w:rPr>
          <w:rFonts w:ascii="Times New Roman" w:cs="Times New Roman" w:eastAsia="Times New Roman" w:hAnsi="Times New Roman"/>
          <w:i/>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0.362). Treated as hypotheses rather than established effects, these pooled results should be read together with the Cheng-only result below. Under cluster-level inference across 55 clusters (10 Cheng patient clusters + 45 BRISC sample clusters), the pooled difference was supported by a cluster-level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0.0162, a cluster-level </w:t>
      </w:r>
      <w:r>
        <w:rPr>
          <w:rFonts w:ascii="Times New Roman" w:cs="Times New Roman" w:eastAsia="Times New Roman" w:hAnsi="Times New Roman"/>
          <w:i/>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0.00177, and a linear mixed-effects fixed effect </w:t>
      </w:r>
      <w:r>
        <w:rPr>
          <w:rFonts w:ascii="Times New Roman" w:cs="Times New Roman" w:eastAsia="Times New Roman" w:hAnsi="Times New Roman"/>
          <w:i/>
          <w:sz w:val="20"/>
          <w:szCs w:val="20"/>
        </w:rPr>
        <w:t xml:space="preserve">β</w:t>
      </w:r>
      <w:r>
        <w:rPr>
          <w:rFonts w:ascii="Times New Roman" w:cs="Times New Roman" w:eastAsia="Times New Roman" w:hAnsi="Times New Roman"/>
          <w:sz w:val="20"/>
          <w:szCs w:val="20"/>
          <w:vertAlign w:val="subscript"/>
        </w:rPr>
        <w:t xml:space="preserve">ViT</w:t>
      </w:r>
      <w:r>
        <w:rPr>
          <w:rFonts w:ascii="Times New Roman" w:cs="Times New Roman" w:eastAsia="Times New Roman" w:hAnsi="Times New Roman"/>
          <w:sz w:val="20"/>
          <w:szCs w:val="20"/>
        </w:rPr>
        <w:t xml:space="preserve"> = +0.074 (</w:t>
      </w:r>
      <w:r>
        <w:rPr>
          <w:rFonts w:ascii="Times New Roman" w:cs="Times New Roman" w:eastAsia="Times New Roman" w:hAnsi="Times New Roman"/>
          <w:i/>
          <w:sz w:val="20"/>
          <w:szCs w:val="20"/>
        </w:rPr>
        <w:t xml:space="preserve">z</w:t>
      </w:r>
      <w:r>
        <w:rPr>
          <w:rFonts w:ascii="Times New Roman" w:cs="Times New Roman" w:eastAsia="Times New Roman" w:hAnsi="Times New Roman"/>
          <w:sz w:val="20"/>
          <w:szCs w:val="20"/>
        </w:rPr>
        <w:t xml:space="preserve"> = 3.756,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&lt; 0.001). In the Cheng-specific subset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45), the core sensitivity difference was 0.1282 − 0.0311 = +0.0971 (slice-level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0.156; patient-clustered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0.232; clustered </w:t>
      </w:r>
      <w:r>
        <w:rPr>
          <w:rFonts w:ascii="Times New Roman" w:cs="Times New Roman" w:eastAsia="Times New Roman" w:hAnsi="Times New Roman"/>
          <w:i/>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0.148). The result is pooled-cohort evidence and should not be read as a Cheng-only effect; the Cheng-specific comparison was not significant.</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Transitional margin reliance.</w:t>
      </w:r>
      <w:r>
        <w:rPr>
          <w:rFonts w:ascii="Times New Roman" w:cs="Times New Roman" w:eastAsia="Times New Roman" w:hAnsi="Times New Roman"/>
          <w:sz w:val="20"/>
          <w:szCs w:val="20"/>
        </w:rPr>
        <w:t xml:space="preserve"> DeiT-Small displayed moderately higher sensitivity to the immediate peritumoral margin across the pooled cohort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0.0270 vs 0.0104; difference +0.0166;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0.1124) and to the outer margin (difference +0.0118).</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Remote-region comparison.</w:t>
      </w:r>
      <w:r>
        <w:rPr>
          <w:rFonts w:ascii="Times New Roman" w:cs="Times New Roman" w:eastAsia="Times New Roman" w:hAnsi="Times New Roman"/>
          <w:sz w:val="20"/>
          <w:szCs w:val="20"/>
        </w:rPr>
        <w:t xml:space="preserve"> The pooled difference between architectures for remote-region sensitivity was small (difference +0.0072;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0.9087). This audit did not show a detectable architectural difference; it does not prove that either model is free of background shortcuts.</w:t>
      </w:r>
    </w:p>
    <w:p>
      <w:pPr>
        <w:keepNext/>
        <w:spacing w:after="80" w:before="180"/>
      </w:pPr>
      <w:r>
        <w:rPr>
          <w:rFonts w:ascii="Times New Roman" w:cs="Times New Roman" w:eastAsia="Times New Roman" w:hAnsi="Times New Roman"/>
          <w:b/>
          <w:bCs/>
          <w:sz w:val="21"/>
          <w:szCs w:val="21"/>
        </w:rPr>
        <w:t xml:space="preserve">5.5 Perturbation method concordance</w:t>
      </w:r>
    </w:p>
    <w:p>
      <w:pPr>
        <w:spacing w:after="100" w:line="264"/>
        <w:jc w:val="both"/>
      </w:pPr>
      <w:r>
        <w:rPr>
          <w:rFonts w:ascii="Times New Roman" w:cs="Times New Roman" w:eastAsia="Times New Roman" w:hAnsi="Times New Roman"/>
          <w:sz w:val="20"/>
          <w:szCs w:val="20"/>
        </w:rPr>
        <w:t xml:space="preserve">The two perturbation engines did not produce uniformly concordant effects (Fig. 7). The correlation between Telea and texture-fill core sensitivities was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rPr>
        <w:t xml:space="preserve"> = 0.748 (Spearman </w:t>
      </w:r>
      <w:r>
        <w:rPr>
          <w:rFonts w:ascii="Times New Roman" w:cs="Times New Roman" w:eastAsia="Times New Roman" w:hAnsi="Times New Roman"/>
          <w:i/>
          <w:sz w:val="20"/>
          <w:szCs w:val="20"/>
        </w:rPr>
        <w:t xml:space="preserve">ρ</w:t>
      </w:r>
      <w:r>
        <w:rPr>
          <w:rFonts w:ascii="Times New Roman" w:cs="Times New Roman" w:eastAsia="Times New Roman" w:hAnsi="Times New Roman"/>
          <w:sz w:val="20"/>
          <w:szCs w:val="20"/>
        </w:rPr>
        <w:t xml:space="preserve"> = 0.541) when pooled across models on Cheng, and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rPr>
        <w:t xml:space="preserve"> = 0.300 (</w:t>
      </w:r>
      <w:r>
        <w:rPr>
          <w:rFonts w:ascii="Times New Roman" w:cs="Times New Roman" w:eastAsia="Times New Roman" w:hAnsi="Times New Roman"/>
          <w:i/>
          <w:sz w:val="20"/>
          <w:szCs w:val="20"/>
        </w:rPr>
        <w:t xml:space="preserve">ρ</w:t>
      </w:r>
      <w:r>
        <w:rPr>
          <w:rFonts w:ascii="Times New Roman" w:cs="Times New Roman" w:eastAsia="Times New Roman" w:hAnsi="Times New Roman"/>
          <w:sz w:val="20"/>
          <w:szCs w:val="20"/>
        </w:rPr>
        <w:t xml:space="preserve"> = 0.332) on BRISC. Across the region-by-dataset comparisons, correlations varied substantially, including weak or near-zero associations for several margin and remote regions. This indicates that measured sensitivity is partly intervention-dependent. Texture filling should therefore be interpreted as a complementary perturbation, not as an interchangeable substitute for inpainting. The results do not establish that one architecture is intrinsically more sensitive to a particular artefact mechanism.</w:t>
      </w:r>
    </w:p>
    <w:p>
      <w:pPr>
        <w:keepNext/>
        <w:spacing w:after="60" w:before="120"/>
        <w:jc w:val="center"/>
      </w:pPr>
      <w:r>
        <w:drawing>
          <wp:inline distT="0" distB="0" distL="0" distR="0">
            <wp:extent cx="4953000" cy="2130660"/>
            <wp:effectExtent t="0" r="0" b="0" l="0"/>
            <wp:docPr id="1" name="fig6" descr="Perturbation method concordance, Telea inpainting versus matched texture fill: paired sensitivity comparison between Tel"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30660"/>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7</w:t>
      </w:r>
      <w:r>
        <w:rPr>
          <w:rFonts w:ascii="Times New Roman" w:cs="Times New Roman" w:eastAsia="Times New Roman" w:hAnsi="Times New Roman"/>
          <w:sz w:val="18"/>
          <w:szCs w:val="18"/>
        </w:rPr>
        <w:t xml:space="preserve"> Perturbation method concordance, Telea inpainting versus matched texture fill: paired sensitivity comparison between Telea boundary inpainting and locally matched Gaussian texture filling across ResNet-50 and DeiT-Small.</w:t>
      </w:r>
    </w:p>
    <w:p>
      <w:pPr>
        <w:keepNext/>
        <w:spacing w:after="80" w:before="180"/>
      </w:pPr>
      <w:r>
        <w:rPr>
          <w:rFonts w:ascii="Times New Roman" w:cs="Times New Roman" w:eastAsia="Times New Roman" w:hAnsi="Times New Roman"/>
          <w:b/>
          <w:bCs/>
          <w:sz w:val="21"/>
          <w:szCs w:val="21"/>
        </w:rPr>
        <w:t xml:space="preserve">5.6 Imaging plane stratification (BRISC)</w:t>
      </w:r>
    </w:p>
    <w:p>
      <w:pPr>
        <w:spacing w:after="100" w:line="264"/>
        <w:jc w:val="both"/>
      </w:pPr>
      <w:r>
        <w:rPr>
          <w:rFonts w:ascii="Times New Roman" w:cs="Times New Roman" w:eastAsia="Times New Roman" w:hAnsi="Times New Roman"/>
          <w:sz w:val="20"/>
          <w:szCs w:val="20"/>
        </w:rPr>
        <w:t xml:space="preserve">Stratifying BRISC by acquisition plane (Table 3; Fig. 8) showed positive core sensitivity in all three planes: axial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0.0492, coronal 0.0370 and sagittal 0.0690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15 slices each). The plane-stratified mean (0.0517) equals the BRISC DeiT-Small Method A core entry in Table 2. This is a descriptive split of 15 slices per plane.</w:t>
      </w:r>
    </w:p>
    <w:p>
      <w:pPr>
        <w:keepNext/>
        <w:spacing w:after="60" w:before="120"/>
        <w:jc w:val="center"/>
      </w:pPr>
      <w:r>
        <w:drawing>
          <wp:inline distT="0" distB="0" distL="0" distR="0">
            <wp:extent cx="4300000" cy="2257500"/>
            <wp:effectExtent t="0" r="0" b="0" l="0"/>
            <wp:docPr id="1" name="fig7" descr="Imaging plane stratification of regional evidence (BRISC): regional evidence sensitivity across axial (&lt;i&gt;N&lt;/i&gt; = 15), c"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00000" cy="2257500"/>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8</w:t>
      </w:r>
      <w:r>
        <w:rPr>
          <w:rFonts w:ascii="Times New Roman" w:cs="Times New Roman" w:eastAsia="Times New Roman" w:hAnsi="Times New Roman"/>
          <w:sz w:val="18"/>
          <w:szCs w:val="18"/>
        </w:rPr>
        <w:t xml:space="preserve"> Core sensitivity by acquisition plane (BRISC, DeiT-Small, Method A): axial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 coronal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 and sagittal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w:t>
      </w:r>
    </w:p>
    <w:p>
      <w:pPr>
        <w:keepNext/>
        <w:spacing w:after="80" w:before="160" w:line="240"/>
        <w:jc w:val="both"/>
      </w:pPr>
      <w:r>
        <w:rPr>
          <w:rFonts w:ascii="Times New Roman" w:cs="Times New Roman" w:eastAsia="Times New Roman" w:hAnsi="Times New Roman"/>
          <w:b/>
          <w:sz w:val="18"/>
          <w:szCs w:val="18"/>
        </w:rPr>
        <w:t xml:space="preserve">Table 3</w:t>
      </w:r>
      <w:r>
        <w:rPr>
          <w:rFonts w:ascii="Times New Roman" w:cs="Times New Roman" w:eastAsia="Times New Roman" w:hAnsi="Times New Roman"/>
          <w:sz w:val="18"/>
          <w:szCs w:val="18"/>
        </w:rPr>
        <w:t xml:space="preserve"> Core sensitivity by acquisition plane (BRISC, DeiT-Small, Method A).</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3392"/>
        <w:gridCol w:w="2312"/>
        <w:gridCol w:w="2312"/>
      </w:tblGrid>
      <w:tr>
        <w:trPr>
          <w:cantSplit/>
          <w:tblHeader/>
        </w:trPr>
        <w:tc>
          <w:tcPr>
            <w:tcW w:type="dxa" w:w="3392"/>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Acquisition plane</w:t>
            </w:r>
          </w:p>
        </w:tc>
        <w:tc>
          <w:tcPr>
            <w:tcW w:type="dxa" w:w="2312"/>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Sample count (</w:t>
            </w:r>
            <w:r>
              <w:rPr>
                <w:rFonts w:ascii="Times New Roman" w:cs="Times New Roman" w:eastAsia="Times New Roman" w:hAnsi="Times New Roman"/>
                <w:b/>
                <w:bCs/>
                <w:i/>
                <w:iCs/>
                <w:sz w:val="16"/>
                <w:szCs w:val="16"/>
              </w:rPr>
              <w:t xml:space="preserve">N</w:t>
            </w:r>
            <w:r>
              <w:rPr>
                <w:rFonts w:ascii="Times New Roman" w:cs="Times New Roman" w:eastAsia="Times New Roman" w:hAnsi="Times New Roman"/>
                <w:b/>
                <w:bCs/>
                <w:sz w:val="16"/>
                <w:szCs w:val="16"/>
              </w:rPr>
              <w:t xml:space="preserve">)</w:t>
            </w:r>
          </w:p>
        </w:tc>
        <w:tc>
          <w:tcPr>
            <w:tcW w:type="dxa" w:w="2312"/>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Mean core </w:t>
            </w:r>
            <w:r>
              <w:rPr>
                <w:rFonts w:ascii="Times New Roman" w:cs="Times New Roman" w:eastAsia="Times New Roman" w:hAnsi="Times New Roman"/>
                <w:i/>
                <w:sz w:val="16"/>
                <w:szCs w:val="16"/>
              </w:rPr>
              <w:t xml:space="preserve">τ</w:t>
            </w:r>
            <w:r>
              <w:rPr>
                <w:rFonts w:ascii="Times New Roman" w:cs="Times New Roman" w:eastAsia="Times New Roman" w:hAnsi="Times New Roman"/>
                <w:sz w:val="16"/>
                <w:szCs w:val="16"/>
                <w:vertAlign w:val="subscript"/>
              </w:rPr>
              <w:t xml:space="preserve">core</w:t>
            </w:r>
          </w:p>
        </w:tc>
      </w:tr>
      <w:tr>
        <w:trPr>
          <w:cantSplit/>
        </w:trPr>
        <w:tc>
          <w:tcPr>
            <w:tcW w:type="dxa" w:w="3392"/>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Axial</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0.0492</w:t>
            </w:r>
          </w:p>
        </w:tc>
      </w:tr>
      <w:tr>
        <w:trPr>
          <w:cantSplit/>
        </w:trPr>
        <w:tc>
          <w:tcPr>
            <w:tcW w:type="dxa" w:w="3392"/>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Coronal</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0.0370</w:t>
            </w:r>
          </w:p>
        </w:tc>
      </w:tr>
      <w:tr>
        <w:trPr>
          <w:cantSplit/>
        </w:trPr>
        <w:tc>
          <w:tcPr>
            <w:tcW w:type="dxa" w:w="3392"/>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Sagittal</w:t>
            </w:r>
          </w:p>
        </w:tc>
        <w:tc>
          <w:tcPr>
            <w:tcW w:type="dxa" w:w="2312"/>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2312"/>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0.0690</w:t>
            </w:r>
          </w:p>
        </w:tc>
      </w:tr>
    </w:tbl>
    <w:p>
      <w:pPr>
        <w:spacing w:after="160" w:before="60" w:line="240"/>
        <w:jc w:val="both"/>
      </w:pPr>
      <w:r>
        <w:rPr>
          <w:rFonts w:ascii="Times New Roman" w:cs="Times New Roman" w:eastAsia="Times New Roman" w:hAnsi="Times New Roman"/>
          <w:i/>
          <w:sz w:val="16"/>
          <w:szCs w:val="16"/>
        </w:rPr>
        <w:t xml:space="preserve">Note:</w:t>
      </w:r>
      <w:r>
        <w:rPr>
          <w:rFonts w:ascii="Times New Roman" w:cs="Times New Roman" w:eastAsia="Times New Roman" w:hAnsi="Times New Roman"/>
          <w:sz w:val="16"/>
          <w:szCs w:val="16"/>
        </w:rPr>
        <w:t xml:space="preserve"> Descriptive sample; no inferential test of plane differences is claimed. The mean of the three plane values (0.0517) matches Table 2.</w:t>
      </w:r>
    </w:p>
    <w:p>
      <w:pPr>
        <w:keepNext/>
        <w:spacing w:after="80" w:before="180"/>
      </w:pPr>
      <w:r>
        <w:rPr>
          <w:rFonts w:ascii="Times New Roman" w:cs="Times New Roman" w:eastAsia="Times New Roman" w:hAnsi="Times New Roman"/>
          <w:b/>
          <w:bCs/>
          <w:sz w:val="21"/>
          <w:szCs w:val="21"/>
        </w:rPr>
        <w:t xml:space="preserve">5.7 Exploratory tumour class heterogeneity</w:t>
      </w:r>
    </w:p>
    <w:p>
      <w:pPr>
        <w:spacing w:after="100" w:line="264"/>
        <w:jc w:val="both"/>
      </w:pPr>
      <w:r>
        <w:rPr>
          <w:rFonts w:ascii="Times New Roman" w:cs="Times New Roman" w:eastAsia="Times New Roman" w:hAnsi="Times New Roman"/>
          <w:sz w:val="20"/>
          <w:szCs w:val="20"/>
        </w:rPr>
        <w:t xml:space="preserve">Core sensitivity differed markedly across Cheng tumour classes (Table 4; Fig. 9): meningioma 0.3438, glioma 0.0398 and pituitary adenoma 0.0009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15 slices each). The mean of the three class values (0.1282) equals the Cheng DeiT-Small Method A core entry in Table 2, so the cohort-level core sensitivity is driven largely by the meningioma subset.</w:t>
      </w:r>
    </w:p>
    <w:p>
      <w:pPr>
        <w:keepNext/>
        <w:spacing w:after="60" w:before="120"/>
        <w:jc w:val="center"/>
      </w:pPr>
      <w:r>
        <w:drawing>
          <wp:inline distT="0" distB="0" distL="0" distR="0">
            <wp:extent cx="4300000" cy="2257500"/>
            <wp:effectExtent t="0" r="0" b="0" l="0"/>
            <wp:docPr id="1" name="fig8" descr="Class heterogeneity in peritumoral versus core evidence: comparative sensitivity and margin-to-core ratios across mening"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00000" cy="2257500"/>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9</w:t>
      </w:r>
      <w:r>
        <w:rPr>
          <w:rFonts w:ascii="Times New Roman" w:cs="Times New Roman" w:eastAsia="Times New Roman" w:hAnsi="Times New Roman"/>
          <w:sz w:val="18"/>
          <w:szCs w:val="18"/>
        </w:rPr>
        <w:t xml:space="preserve"> Core sensitivity by tumour class (Cheng, DeiT-Small, Method A): glioma, meningioma and pituitary adenoma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 each).</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Gliomas.</w:t>
      </w:r>
      <w:r>
        <w:rPr>
          <w:rFonts w:ascii="Times New Roman" w:cs="Times New Roman" w:eastAsia="Times New Roman" w:hAnsi="Times New Roman"/>
          <w:sz w:val="20"/>
          <w:szCs w:val="20"/>
        </w:rPr>
        <w:t xml:space="preserve"> Low core sensitivity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0.0398).</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Meningiomas.</w:t>
      </w:r>
      <w:r>
        <w:rPr>
          <w:rFonts w:ascii="Times New Roman" w:cs="Times New Roman" w:eastAsia="Times New Roman" w:hAnsi="Times New Roman"/>
          <w:sz w:val="20"/>
          <w:szCs w:val="20"/>
        </w:rPr>
        <w:t xml:space="preserve"> The highest core sensitivity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0.3438).</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Pituitary adenomas.</w:t>
      </w:r>
      <w:r>
        <w:rPr>
          <w:rFonts w:ascii="Times New Roman" w:cs="Times New Roman" w:eastAsia="Times New Roman" w:hAnsi="Times New Roman"/>
          <w:sz w:val="20"/>
          <w:szCs w:val="20"/>
        </w:rPr>
        <w:t xml:space="preserve"> Near-zero core sensitivity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0.0009).</w:t>
      </w:r>
    </w:p>
    <w:p>
      <w:pPr>
        <w:keepNext/>
        <w:spacing w:after="80" w:before="160" w:line="240"/>
        <w:jc w:val="both"/>
      </w:pPr>
      <w:r>
        <w:rPr>
          <w:rFonts w:ascii="Times New Roman" w:cs="Times New Roman" w:eastAsia="Times New Roman" w:hAnsi="Times New Roman"/>
          <w:b/>
          <w:sz w:val="18"/>
          <w:szCs w:val="18"/>
        </w:rPr>
        <w:t xml:space="preserve">Table 4</w:t>
      </w:r>
      <w:r>
        <w:rPr>
          <w:rFonts w:ascii="Times New Roman" w:cs="Times New Roman" w:eastAsia="Times New Roman" w:hAnsi="Times New Roman"/>
          <w:sz w:val="18"/>
          <w:szCs w:val="18"/>
        </w:rPr>
        <w:t xml:space="preserve"> Core sensitivity by tumour class (Cheng, DeiT-Small, Method A).</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3392"/>
        <w:gridCol w:w="2312"/>
        <w:gridCol w:w="2312"/>
      </w:tblGrid>
      <w:tr>
        <w:trPr>
          <w:cantSplit/>
          <w:tblHeader/>
        </w:trPr>
        <w:tc>
          <w:tcPr>
            <w:tcW w:type="dxa" w:w="3392"/>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Tumour class</w:t>
            </w:r>
          </w:p>
        </w:tc>
        <w:tc>
          <w:tcPr>
            <w:tcW w:type="dxa" w:w="2312"/>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Sample count (</w:t>
            </w:r>
            <w:r>
              <w:rPr>
                <w:rFonts w:ascii="Times New Roman" w:cs="Times New Roman" w:eastAsia="Times New Roman" w:hAnsi="Times New Roman"/>
                <w:b/>
                <w:bCs/>
                <w:i/>
                <w:iCs/>
                <w:sz w:val="16"/>
                <w:szCs w:val="16"/>
              </w:rPr>
              <w:t xml:space="preserve">N</w:t>
            </w:r>
            <w:r>
              <w:rPr>
                <w:rFonts w:ascii="Times New Roman" w:cs="Times New Roman" w:eastAsia="Times New Roman" w:hAnsi="Times New Roman"/>
                <w:b/>
                <w:bCs/>
                <w:sz w:val="16"/>
                <w:szCs w:val="16"/>
              </w:rPr>
              <w:t xml:space="preserve">)</w:t>
            </w:r>
          </w:p>
        </w:tc>
        <w:tc>
          <w:tcPr>
            <w:tcW w:type="dxa" w:w="2312"/>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Core sensitivity (</w:t>
            </w:r>
            <w:r>
              <w:rPr>
                <w:rFonts w:ascii="Times New Roman" w:cs="Times New Roman" w:eastAsia="Times New Roman" w:hAnsi="Times New Roman"/>
                <w:i/>
                <w:sz w:val="16"/>
                <w:szCs w:val="16"/>
              </w:rPr>
              <w:t xml:space="preserve">τ</w:t>
            </w:r>
            <w:r>
              <w:rPr>
                <w:rFonts w:ascii="Times New Roman" w:cs="Times New Roman" w:eastAsia="Times New Roman" w:hAnsi="Times New Roman"/>
                <w:sz w:val="16"/>
                <w:szCs w:val="16"/>
                <w:vertAlign w:val="subscript"/>
              </w:rPr>
              <w:t xml:space="preserve">core</w:t>
            </w:r>
            <w:r>
              <w:rPr>
                <w:rFonts w:ascii="Times New Roman" w:cs="Times New Roman" w:eastAsia="Times New Roman" w:hAnsi="Times New Roman"/>
                <w:sz w:val="16"/>
                <w:szCs w:val="16"/>
              </w:rPr>
              <w:t xml:space="preserve">)</w:t>
            </w:r>
          </w:p>
        </w:tc>
      </w:tr>
      <w:tr>
        <w:trPr>
          <w:cantSplit/>
        </w:trPr>
        <w:tc>
          <w:tcPr>
            <w:tcW w:type="dxa" w:w="3392"/>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Glioma</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0.0398</w:t>
            </w:r>
          </w:p>
        </w:tc>
      </w:tr>
      <w:tr>
        <w:trPr>
          <w:cantSplit/>
        </w:trPr>
        <w:tc>
          <w:tcPr>
            <w:tcW w:type="dxa" w:w="3392"/>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Meningioma</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2312"/>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0.3438</w:t>
            </w:r>
          </w:p>
        </w:tc>
      </w:tr>
      <w:tr>
        <w:trPr>
          <w:cantSplit/>
        </w:trPr>
        <w:tc>
          <w:tcPr>
            <w:tcW w:type="dxa" w:w="3392"/>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Pituitary adenoma</w:t>
            </w:r>
          </w:p>
        </w:tc>
        <w:tc>
          <w:tcPr>
            <w:tcW w:type="dxa" w:w="2312"/>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2312"/>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0.0009</w:t>
            </w:r>
          </w:p>
        </w:tc>
      </w:tr>
    </w:tbl>
    <w:p>
      <w:pPr>
        <w:spacing w:after="160" w:before="60" w:line="240"/>
        <w:jc w:val="both"/>
      </w:pPr>
      <w:r>
        <w:rPr>
          <w:rFonts w:ascii="Times New Roman" w:cs="Times New Roman" w:eastAsia="Times New Roman" w:hAnsi="Times New Roman"/>
          <w:i/>
          <w:sz w:val="16"/>
          <w:szCs w:val="16"/>
        </w:rPr>
        <w:t xml:space="preserve">Note:</w:t>
      </w:r>
      <w:r>
        <w:rPr>
          <w:rFonts w:ascii="Times New Roman" w:cs="Times New Roman" w:eastAsia="Times New Roman" w:hAnsi="Times New Roman"/>
          <w:sz w:val="16"/>
          <w:szCs w:val="16"/>
        </w:rPr>
        <w:t xml:space="preserve"> Exploratory and descriptive; 15 slices per class from the 10 Cheng patient clusters, with no inferential test and no histopathological correlation. No radiological explanation for the class differences is tested here.</w:t>
      </w:r>
    </w:p>
    <w:p>
      <w:pPr>
        <w:keepNext/>
        <w:spacing w:after="80" w:before="180"/>
      </w:pPr>
      <w:r>
        <w:rPr>
          <w:rFonts w:ascii="Times New Roman" w:cs="Times New Roman" w:eastAsia="Times New Roman" w:hAnsi="Times New Roman"/>
          <w:b/>
          <w:bCs/>
          <w:sz w:val="21"/>
          <w:szCs w:val="21"/>
        </w:rPr>
        <w:t xml:space="preserve">5.8 Impact of benchmark duplicate leakage</w:t>
      </w:r>
    </w:p>
    <w:p>
      <w:pPr>
        <w:spacing w:after="100" w:line="264"/>
        <w:jc w:val="both"/>
      </w:pPr>
      <w:r>
        <w:rPr>
          <w:rFonts w:ascii="Times New Roman" w:cs="Times New Roman" w:eastAsia="Times New Roman" w:hAnsi="Times New Roman"/>
          <w:sz w:val="20"/>
          <w:szCs w:val="20"/>
        </w:rPr>
        <w:t xml:space="preserve">Comparing performance between the official benchmark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1,000) and the de-duplicated clean test 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899) showed that removing the 101 duplicate test images changed the measured performance in a model-dependent direction (Table 1; Fig. 10). On the four-class test set, DeiT-Small improved from 0.7880 to 0.8265 accuracy (+0.038) and from 0.8030 to 0.8344 macro-F1 (+0.031), whereas ResNet-50 changed little (accuracy 0.7040 to 0.6963; macro-F1 0.7095 to 0.6991). In the two-class neoplasm batch, with macro-F1 computed over the two present labels, DeiT-Small changed from 0.7131 to 0.7431 and ResNet-50 from 0.6919 to 0.6574. The 101 duplicate test images were heavily skewed towards meningiomas (96 of 101), so de-duplication also changed the test-set class balance. The data therefore do not support a uniform inflation of scores by duplicate leakage; the effect depends on the model and on the class composition of the subset.</w:t>
      </w:r>
    </w:p>
    <w:p>
      <w:pPr>
        <w:keepNext/>
        <w:spacing w:after="60" w:before="120"/>
        <w:jc w:val="center"/>
      </w:pPr>
      <w:r>
        <w:drawing>
          <wp:inline distT="0" distB="0" distL="0" distR="0">
            <wp:extent cx="4953000" cy="3422072"/>
            <wp:effectExtent t="0" r="0" b="0" l="0"/>
            <wp:docPr id="1" name="fig9" descr="Impact of train–test duplicate leakage on benchmark evaluation (BRISC): dual-benchmark comparison between the contaminat"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422072"/>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10</w:t>
      </w:r>
      <w:r>
        <w:rPr>
          <w:rFonts w:ascii="Times New Roman" w:cs="Times New Roman" w:eastAsia="Times New Roman" w:hAnsi="Times New Roman"/>
          <w:sz w:val="18"/>
          <w:szCs w:val="18"/>
        </w:rPr>
        <w:t xml:space="preserve"> Impact of train–test duplicate leakage on benchmark evaluation (BRISC): official test set versus clean de-duplicated test set for DeiT-Small and ResNet-50. (A) Four-class evaluation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1,000 vs 899). (B) Two-class neoplasm batch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480 vs 397). Δ is clean minus official; axes start at zero.</w:t>
      </w:r>
    </w:p>
    <w:p>
      <w:pPr>
        <w:keepNext/>
        <w:spacing w:after="80" w:before="180"/>
      </w:pPr>
      <w:r>
        <w:rPr>
          <w:rFonts w:ascii="Times New Roman" w:cs="Times New Roman" w:eastAsia="Times New Roman" w:hAnsi="Times New Roman"/>
          <w:b/>
          <w:bCs/>
          <w:sz w:val="21"/>
          <w:szCs w:val="21"/>
        </w:rPr>
        <w:t xml:space="preserve">5.9 Evaluation of the study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 partially supported.</w:t>
      </w:r>
      <w:r>
        <w:rPr>
          <w:rFonts w:ascii="Times New Roman" w:cs="Times New Roman" w:eastAsia="Times New Roman" w:hAnsi="Times New Roman"/>
          <w:sz w:val="20"/>
          <w:szCs w:val="20"/>
        </w:rPr>
        <w:t xml:space="preserve"> Lesion-centred edits often produced larger effects than remote edits, but the ordering was not universal across all regions, datasets, architectures and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(margin contribution): partially supported.</w:t>
      </w:r>
      <w:r>
        <w:rPr>
          <w:rFonts w:ascii="Times New Roman" w:cs="Times New Roman" w:eastAsia="Times New Roman" w:hAnsi="Times New Roman"/>
          <w:sz w:val="20"/>
          <w:szCs w:val="20"/>
        </w:rPr>
        <w:t xml:space="preserve"> The immediate-margin effect for DeiT-Small on BRISC remained significant after Holm adjustment; the corresponding Cheng result did not. Evidence therefore depends on cohort and multiplicity correction.</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Hypothesis 3 (ViT inductive bias): partially supported; inconclusive for the Cheng-only comparison.</w:t>
      </w:r>
      <w:r>
        <w:rPr>
          <w:rFonts w:ascii="Times New Roman" w:cs="Times New Roman" w:eastAsia="Times New Roman" w:hAnsi="Times New Roman"/>
          <w:sz w:val="20"/>
          <w:szCs w:val="20"/>
        </w:rPr>
        <w:t xml:space="preserve"> The pooled cluster-level comparison favoured DeiT-Small, but the slice-level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-value was 0.0980 and the Cheng-only architectural comparison was not significant in the patient-clustered analysis. DeiT-Small also had lower ECE on the reported baseline partitions, but baseline confidence and calibration differ between the models, which may influence probability-drop estimates.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 not uniformly supported.</w:t>
      </w:r>
      <w:r>
        <w:rPr>
          <w:rFonts w:ascii="Times New Roman" w:cs="Times New Roman" w:eastAsia="Times New Roman" w:hAnsi="Times New Roman"/>
          <w:sz w:val="20"/>
          <w:szCs w:val="20"/>
        </w:rPr>
        <w:t xml:space="preserve"> Cross-method correlations were variable and weak for several regions; the two edit engines should be treated as complementary probes.</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Hypothesis 5 (leakage and prior distortion): archive-specific finding, partly supported.</w:t>
      </w:r>
      <w:r>
        <w:rPr>
          <w:rFonts w:ascii="Times New Roman" w:cs="Times New Roman" w:eastAsia="Times New Roman" w:hAnsi="Times New Roman"/>
          <w:sz w:val="20"/>
          <w:szCs w:val="20"/>
        </w:rPr>
        <w:t xml:space="preserve"> Exact duplicate matches were detected in the evaluated BRISC archive and changed the measured metrics in a model-dependent direction, but the result should not be generalised to every BRISC distribution or mirror.</w:t>
      </w:r>
    </w:p>
    <w:p>
      <w:pPr>
        <w:keepNext/>
        <w:spacing w:after="120" w:before="260"/>
      </w:pPr>
      <w:r>
        <w:rPr>
          <w:rFonts w:ascii="Times New Roman" w:cs="Times New Roman" w:eastAsia="Times New Roman" w:hAnsi="Times New Roman"/>
          <w:b/>
          <w:bCs/>
          <w:sz w:val="24"/>
          <w:szCs w:val="24"/>
        </w:rPr>
        <w:t xml:space="preserve">6 Discussion</w:t>
      </w:r>
    </w:p>
    <w:p>
      <w:pPr>
        <w:keepNext/>
        <w:spacing w:after="80" w:before="180"/>
      </w:pPr>
      <w:r>
        <w:rPr>
          <w:rFonts w:ascii="Times New Roman" w:cs="Times New Roman" w:eastAsia="Times New Roman" w:hAnsi="Times New Roman"/>
          <w:b/>
          <w:bCs/>
          <w:sz w:val="21"/>
          <w:szCs w:val="21"/>
        </w:rPr>
        <w:t xml:space="preserve">6.1 Principal findings</w:t>
      </w:r>
    </w:p>
    <w:p>
      <w:pPr>
        <w:spacing w:after="100" w:line="264"/>
        <w:jc w:val="both"/>
      </w:pPr>
      <w:r>
        <w:rPr>
          <w:rFonts w:ascii="Times New Roman" w:cs="Times New Roman" w:eastAsia="Times New Roman" w:hAnsi="Times New Roman"/>
          <w:sz w:val="20"/>
          <w:szCs w:val="20"/>
        </w:rPr>
        <w:t xml:space="preserve">Our sham-controlled audit provides evidence that tumour-core perturbations reduce ground-truth-class probabilities in several model/cohort settings and that selected peritumoral edits can also affect predictions. Sham correction helps separate lesion-region effects from the response to an anatomically separate control edit. The study is a mechanistic audit of spatial reliance, not a test of diagnostic deployability. The results are conditional on the perturbation operator and the evaluated subsets; non-significant remote-region tests do not establish the absence of all shortcut learning or scanner-related confounding.</w:t>
      </w:r>
    </w:p>
    <w:p>
      <w:pPr>
        <w:keepNext/>
        <w:spacing w:after="80" w:before="180"/>
      </w:pPr>
      <w:r>
        <w:rPr>
          <w:rFonts w:ascii="Times New Roman" w:cs="Times New Roman" w:eastAsia="Times New Roman" w:hAnsi="Times New Roman"/>
          <w:b/>
          <w:bCs/>
          <w:sz w:val="21"/>
          <w:szCs w:val="21"/>
        </w:rPr>
        <w:t xml:space="preserve">6.2 Lesion core versus peritumoral margin evidence</w:t>
      </w:r>
    </w:p>
    <w:p>
      <w:pPr>
        <w:spacing w:after="100" w:line="264"/>
        <w:jc w:val="both"/>
      </w:pPr>
      <w:r>
        <w:rPr>
          <w:rFonts w:ascii="Times New Roman" w:cs="Times New Roman" w:eastAsia="Times New Roman" w:hAnsi="Times New Roman"/>
          <w:sz w:val="20"/>
          <w:szCs w:val="20"/>
        </w:rPr>
        <w:t xml:space="preserve">The observed immediate-margin effects were modest and varied by cohort and method. For DeiT-Small under Telea inpainting, the mean sham-corrected immediate-margin sensitivity was 0.0213 on Cheng (raw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0.0267;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0.0802) and 0.0239 on BRISC (raw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0.0094;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0.0188). These findings are compatible with models using some information in tissue adjacent to the lesion, but do not by themselves identify the underlying radiological substrate or demonstrate histopathological infiltration.</w:t>
      </w:r>
    </w:p>
    <w:p>
      <w:pPr>
        <w:keepNext/>
        <w:spacing w:after="80" w:before="180"/>
      </w:pPr>
      <w:r>
        <w:rPr>
          <w:rFonts w:ascii="Times New Roman" w:cs="Times New Roman" w:eastAsia="Times New Roman" w:hAnsi="Times New Roman"/>
          <w:b/>
          <w:bCs/>
          <w:sz w:val="21"/>
          <w:szCs w:val="21"/>
        </w:rPr>
        <w:t xml:space="preserve">6.3 Architectural inductive bias: attention versus convolution</w:t>
      </w:r>
    </w:p>
    <w:p>
      <w:pPr>
        <w:keepNext/>
        <w:spacing w:after="100" w:line="264"/>
        <w:jc w:val="both"/>
      </w:pPr>
      <w:r>
        <w:rPr>
          <w:rFonts w:ascii="Times New Roman" w:cs="Times New Roman" w:eastAsia="Times New Roman" w:hAnsi="Times New Roman"/>
          <w:sz w:val="20"/>
          <w:szCs w:val="20"/>
        </w:rPr>
        <w:t xml:space="preserve">The results are compatible with, but do not test, the following hypotheses about how architectural inductive biases may shape diagnostic representations:</w:t>
      </w:r>
    </w:p>
    <w:p>
      <w:pPr>
        <w:pStyle w:val="ListParagraph"/>
        <w:numPr>
          <w:ilvl w:val="0"/>
          <w:numId w:val="6"/>
        </w:numPr>
        <w:spacing w:after="60" w:line="264"/>
        <w:jc w:val="both"/>
      </w:pPr>
      <w:r>
        <w:rPr>
          <w:rFonts w:ascii="Times New Roman" w:cs="Times New Roman" w:eastAsia="Times New Roman" w:hAnsi="Times New Roman"/>
          <w:b/>
          <w:sz w:val="20"/>
          <w:szCs w:val="20"/>
        </w:rPr>
        <w:t xml:space="preserve">Possible receptive-field effect.</w:t>
      </w:r>
      <w:r>
        <w:rPr>
          <w:rFonts w:ascii="Times New Roman" w:cs="Times New Roman" w:eastAsia="Times New Roman" w:hAnsi="Times New Roman"/>
          <w:sz w:val="20"/>
          <w:szCs w:val="20"/>
        </w:rPr>
        <w:t xml:space="preserve"> ResNet-50 showed lower sensitivity to core perturbations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rPr>
        <w:t xml:space="preserve"> ≈ 0.031 on Cheng, Method A) and greater sensitivity to edge artefacts under texture filling. Receptive-field constraints are one possible explanation, but this is untested: </w:t>
      </w:r>
      <w:r>
        <w:rPr>
          <w:rFonts w:ascii="Times New Roman" w:cs="Times New Roman" w:eastAsia="Times New Roman" w:hAnsi="Times New Roman"/>
          <w:i/>
          <w:sz w:val="20"/>
          <w:szCs w:val="20"/>
        </w:rPr>
        <w:t xml:space="preserve">Δ</w:t>
      </w:r>
      <w:r>
        <w:rPr>
          <w:rFonts w:ascii="Times New Roman" w:cs="Times New Roman" w:eastAsia="Times New Roman" w:hAnsi="Times New Roman"/>
          <w:sz w:val="20"/>
          <w:szCs w:val="20"/>
        </w:rPr>
        <w:t xml:space="preserve"> is a drop in probability and depends on baseline confidence and calibration, which differ substantially between the models (ECE 0.04–0.09 for DeiT-Small vs 0.18–0.39 for ResNet-50).</w:t>
      </w:r>
    </w:p>
    <w:p>
      <w:pPr>
        <w:pStyle w:val="ListParagraph"/>
        <w:numPr>
          <w:ilvl w:val="0"/>
          <w:numId w:val="6"/>
        </w:numPr>
        <w:spacing w:after="60" w:line="264"/>
        <w:jc w:val="both"/>
      </w:pPr>
      <w:r>
        <w:rPr>
          <w:rFonts w:ascii="Times New Roman" w:cs="Times New Roman" w:eastAsia="Times New Roman" w:hAnsi="Times New Roman"/>
          <w:b/>
          <w:sz w:val="20"/>
          <w:szCs w:val="20"/>
        </w:rPr>
        <w:t xml:space="preserve">Possible global-context effect.</w:t>
      </w:r>
      <w:r>
        <w:rPr>
          <w:rFonts w:ascii="Times New Roman" w:cs="Times New Roman" w:eastAsia="Times New Roman" w:hAnsi="Times New Roman"/>
          <w:sz w:val="20"/>
          <w:szCs w:val="20"/>
        </w:rPr>
        <w:t xml:space="preserve"> DeiT-Small showed higher core sensitivity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rPr>
        <w:t xml:space="preserve"> ≈ 0.052–0.128) and lower ECE (0.037 vs 0.184 on Cheng), with no detectable remote-context sensitivity under Method A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0.013,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&gt; 0.05). Self-attention integration of spatial context is a hypothesis that these single-run baselines cannot confirm.</w:t>
      </w:r>
    </w:p>
    <w:p>
      <w:pPr>
        <w:keepNext/>
        <w:spacing w:after="80" w:before="180"/>
      </w:pPr>
      <w:r>
        <w:rPr>
          <w:rFonts w:ascii="Times New Roman" w:cs="Times New Roman" w:eastAsia="Times New Roman" w:hAnsi="Times New Roman"/>
          <w:b/>
          <w:bCs/>
          <w:sz w:val="21"/>
          <w:szCs w:val="21"/>
        </w:rPr>
        <w:t xml:space="preserve">6.4 Benchmark leakage, provenance and data governance</w:t>
      </w:r>
    </w:p>
    <w:p>
      <w:pPr>
        <w:spacing w:after="100" w:line="264"/>
        <w:jc w:val="both"/>
      </w:pPr>
      <w:r>
        <w:rPr>
          <w:rFonts w:ascii="Times New Roman" w:cs="Times New Roman" w:eastAsia="Times New Roman" w:hAnsi="Times New Roman"/>
          <w:sz w:val="20"/>
          <w:szCs w:val="20"/>
        </w:rPr>
        <w:t xml:space="preserve">The identical-pixel duplicate matches spanning the official train–test boundary in the evaluated BRISC archive highlight the need for data-governance checks. De-duplication changed the measured metrics in a model-dependent direction and altered the class composition of the test set (96 of 101 duplicated test images were meningiomas). We recommend transparent decoded-pixel and perceptual-hash audits, together with patient- or case-grouped splitting when reliable identifiers are available.</w:t>
      </w:r>
    </w:p>
    <w:p>
      <w:pPr>
        <w:keepNext/>
        <w:spacing w:after="80" w:before="180"/>
      </w:pPr>
      <w:r>
        <w:rPr>
          <w:rFonts w:ascii="Times New Roman" w:cs="Times New Roman" w:eastAsia="Times New Roman" w:hAnsi="Times New Roman"/>
          <w:b/>
          <w:bCs/>
          <w:sz w:val="21"/>
          <w:szCs w:val="21"/>
        </w:rPr>
        <w:t xml:space="preserve">6.5 Limitations</w:t>
      </w:r>
    </w:p>
    <w:p>
      <w:pPr>
        <w:keepNext/>
        <w:spacing w:after="100" w:line="264"/>
        <w:jc w:val="both"/>
      </w:pPr>
      <w:r>
        <w:rPr>
          <w:rFonts w:ascii="Times New Roman" w:cs="Times New Roman" w:eastAsia="Times New Roman" w:hAnsi="Times New Roman"/>
          <w:sz w:val="20"/>
          <w:szCs w:val="20"/>
        </w:rPr>
        <w:t xml:space="preserve">Several limitations must be acknowledged:</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2D slices versus volumetric 3D MRI.</w:t>
      </w:r>
      <w:r>
        <w:rPr>
          <w:rFonts w:ascii="Times New Roman" w:cs="Times New Roman" w:eastAsia="Times New Roman" w:hAnsi="Times New Roman"/>
          <w:sz w:val="20"/>
          <w:szCs w:val="20"/>
        </w:rPr>
        <w:t xml:space="preserve"> Our analysis evaluated 2D contrast-enhanced slices. Neuroradiologists assess multi-sequence 3D volumes (T1, T1+C, T2, FLAIR) in clinical practice.</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Synthetic perturbations.</w:t>
      </w:r>
      <w:r>
        <w:rPr>
          <w:rFonts w:ascii="Times New Roman" w:cs="Times New Roman" w:eastAsia="Times New Roman" w:hAnsi="Times New Roman"/>
          <w:sz w:val="20"/>
          <w:szCs w:val="20"/>
        </w:rPr>
        <w:t xml:space="preserve"> The intervention code preserves pixels outside the target mask, and the repository reports zero measured non-target difference in its QC export. Nevertheless, Telea inpainting and Gaussian texture replacement create synthetic counterfactuals that may be out of distribution and do not simulate true healthy tissue, tumour resection or biological disease progression.</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Patient/case cluster sample size.</w:t>
      </w:r>
      <w:r>
        <w:rPr>
          <w:rFonts w:ascii="Times New Roman" w:cs="Times New Roman" w:eastAsia="Times New Roman" w:hAnsi="Times New Roman"/>
          <w:sz w:val="20"/>
          <w:szCs w:val="20"/>
        </w:rPr>
        <w:t xml:space="preserve"> The Cheng intervention subset (45 slices) represents only 10 patients, and the BRISC audit subset represents 45 slice-level cases. Cluster-level inference is more conservative than treating all slices as independent, but the number of independent clusters remains limited, and case-level independence in BRISC follows the available sample identifiers rather than confirmed patient identities.</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Exploratory class inferences.</w:t>
      </w:r>
      <w:r>
        <w:rPr>
          <w:rFonts w:ascii="Times New Roman" w:cs="Times New Roman" w:eastAsia="Times New Roman" w:hAnsi="Times New Roman"/>
          <w:sz w:val="20"/>
          <w:szCs w:val="20"/>
        </w:rPr>
        <w:t xml:space="preserve"> Class-specific analyses use 15 slices per tumour class in the Cheng intervention subset and 2D image masks/labels; they are descriptive and are not linked to independently reviewed histopathology or volumetric tumour boundaries.</w:t>
      </w:r>
    </w:p>
    <w:p>
      <w:pPr>
        <w:pStyle w:val="ListParagraph"/>
        <w:numPr>
          <w:ilvl w:val="0"/>
          <w:numId w:val="7"/>
        </w:numPr>
        <w:spacing w:after="60" w:line="264"/>
        <w:jc w:val="both"/>
      </w:pPr>
      <w:r>
        <w:rPr>
          <w:rFonts w:ascii="Times New Roman" w:cs="Times New Roman" w:eastAsia="Times New Roman" w:hAnsi="Times New Roman"/>
          <w:b/>
          <w:sz w:val="20"/>
          <w:szCs w:val="20"/>
        </w:rPr>
        <w:t xml:space="preserve">Single-run baselines.</w:t>
      </w:r>
      <w:r>
        <w:rPr>
          <w:rFonts w:ascii="Times New Roman" w:cs="Times New Roman" w:eastAsia="Times New Roman" w:hAnsi="Times New Roman"/>
          <w:sz w:val="20"/>
          <w:szCs w:val="20"/>
        </w:rPr>
        <w:t xml:space="preserve"> Both models were fine-tuned for at most five epochs with one seed, and the Cheng analyses use Fold 1 only. The baselines (e.g. ResNet-50 accuracy 0.70 on BRISC four-class) are weaker than published benchmark results, so the audited models are not state-of-the-art classifiers and the architectural comparisons may not carry over to converged models.</w:t>
      </w:r>
    </w:p>
    <w:p>
      <w:pPr>
        <w:pStyle w:val="ListParagraph"/>
        <w:numPr>
          <w:ilvl w:val="0"/>
          <w:numId w:val="7"/>
        </w:numPr>
        <w:spacing w:after="60" w:line="264"/>
        <w:jc w:val="both"/>
      </w:pPr>
      <w:r>
        <w:rPr>
          <w:rFonts w:ascii="Times New Roman" w:cs="Times New Roman" w:eastAsia="Times New Roman" w:hAnsi="Times New Roman"/>
          <w:b/>
          <w:sz w:val="20"/>
          <w:szCs w:val="20"/>
        </w:rPr>
        <w:t xml:space="preserve">Region area and perturbation realism.</w:t>
      </w:r>
      <w:r>
        <w:rPr>
          <w:rFonts w:ascii="Times New Roman" w:cs="Times New Roman" w:eastAsia="Times New Roman" w:hAnsi="Times New Roman"/>
          <w:sz w:val="20"/>
          <w:szCs w:val="20"/>
        </w:rPr>
        <w:t xml:space="preserve"> Only the sham is area-matched to the core, and Method B matches local intensity statistics but not spatial texture; per-pixel sensitivities are reported for context, not as a corrected estimate.</w:t>
      </w:r>
    </w:p>
    <w:p>
      <w:pPr>
        <w:keepNext/>
        <w:spacing w:after="120" w:before="260"/>
      </w:pPr>
      <w:r>
        <w:rPr>
          <w:rFonts w:ascii="Times New Roman" w:cs="Times New Roman" w:eastAsia="Times New Roman" w:hAnsi="Times New Roman"/>
          <w:b/>
          <w:bCs/>
          <w:sz w:val="24"/>
          <w:szCs w:val="24"/>
        </w:rPr>
        <w:t xml:space="preserve">7 Conclusion</w:t>
      </w:r>
    </w:p>
    <w:p>
      <w:pPr>
        <w:spacing w:after="100" w:line="264"/>
        <w:jc w:val="both"/>
      </w:pPr>
      <w:r>
        <w:rPr>
          <w:rFonts w:ascii="Times New Roman" w:cs="Times New Roman" w:eastAsia="Times New Roman" w:hAnsi="Times New Roman"/>
          <w:sz w:val="20"/>
          <w:szCs w:val="20"/>
        </w:rPr>
        <w:t xml:space="preserve">This study presents a sham-controlled, mechanistic counterfactual audit of ResNet-50 and DeiT-Small on two contrast-enhanced brain MRI cohorts. Lesion-core perturbations produced measurable reductions in predicted probability in several settings; immediate and outer-margin effects were more variable, and remote-region effects were generally smaller in the highlighted comparisons. DeiT-Small achieved higher baseline performance and lower ECE on the reported partitions, while its pooled core-sensitivity advantage requires qualified interpretation because slice-level Holm adjustment and clustered analyses answer different inferential questions. The archive-specific duplicate audit illustrates why benchmark provenance, patient/case grouping, intervention quality control and transparent sample accounting should accompany performance metrics. The study makes no claim of diagnostic deployability; external multi-centre and volumetric validation, and converged multi-seed baselines, remain necessary before any clinical use.</w:t>
      </w:r>
    </w:p>
    <w:p>
      <w:pPr>
        <w:keepNext/>
        <w:spacing w:after="120" w:before="260"/>
      </w:pPr>
      <w:r>
        <w:rPr>
          <w:rFonts w:ascii="Times New Roman" w:cs="Times New Roman" w:eastAsia="Times New Roman" w:hAnsi="Times New Roman"/>
          <w:b/>
          <w:bCs/>
          <w:sz w:val="24"/>
          <w:szCs w:val="24"/>
        </w:rPr>
        <w:t xml:space="preserve">Statements and Declarations</w:t>
      </w:r>
    </w:p>
    <w:p>
      <w:pPr>
        <w:spacing w:after="100" w:line="264"/>
        <w:jc w:val="both"/>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did not receive any specific grant from funding agencies in the public, commercial or not-for-profit sectors.</w:t>
      </w:r>
    </w:p>
    <w:p>
      <w:pPr>
        <w:spacing w:after="100" w:line="264"/>
        <w:jc w:val="both"/>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that they have no competing financial or non-financial interests that could have appeared to influence the work reported in this paper.</w:t>
      </w:r>
    </w:p>
    <w:p>
      <w:pPr>
        <w:spacing w:after="100" w:line="264"/>
        <w:jc w:val="both"/>
      </w:pPr>
      <w:r>
        <w:rPr>
          <w:rFonts w:ascii="Times New Roman" w:cs="Times New Roman" w:eastAsia="Times New Roman" w:hAnsi="Times New Roman"/>
          <w:b/>
          <w:sz w:val="20"/>
          <w:szCs w:val="20"/>
        </w:rPr>
        <w:t xml:space="preserve">Ethics approval and consent to participate.</w:t>
      </w:r>
      <w:r>
        <w:rPr>
          <w:rFonts w:ascii="Times New Roman" w:cs="Times New Roman" w:eastAsia="Times New Roman" w:hAnsi="Times New Roman"/>
          <w:sz w:val="20"/>
          <w:szCs w:val="20"/>
        </w:rPr>
        <w:t xml:space="preserve"> This study analysed publicly available, de-identified retrospective MRI datasets; no new data were collected and no participants were recruited. Institutional ethics determination or exemption reference: [to be inserted by the authors].</w:t>
      </w:r>
    </w:p>
    <w:p>
      <w:pPr>
        <w:spacing w:after="100" w:line="264"/>
        <w:jc w:val="both"/>
      </w:pPr>
      <w:r>
        <w:rPr>
          <w:rFonts w:ascii="Times New Roman" w:cs="Times New Roman" w:eastAsia="Times New Roman" w:hAnsi="Times New Roman"/>
          <w:b/>
          <w:bCs/>
          <w:sz w:val="20"/>
          <w:szCs w:val="20"/>
        </w:rPr>
        <w:t xml:space="preserve">Consent for publication.</w:t>
      </w:r>
      <w:r>
        <w:rPr>
          <w:rFonts w:ascii="Times New Roman" w:cs="Times New Roman" w:eastAsia="Times New Roman" w:hAnsi="Times New Roman"/>
          <w:sz w:val="20"/>
          <w:szCs w:val="20"/>
        </w:rPr>
        <w:t xml:space="preserve"> Not applicable.</w:t>
      </w:r>
    </w:p>
    <w:p>
      <w:pPr>
        <w:spacing w:after="100" w:line="264"/>
        <w:jc w:val="both"/>
      </w:pPr>
      <w:r>
        <w:rPr>
          <w:rFonts w:ascii="Times New Roman" w:cs="Times New Roman" w:eastAsia="Times New Roman" w:hAnsi="Times New Roman"/>
          <w:b/>
          <w:sz w:val="20"/>
          <w:szCs w:val="20"/>
        </w:rPr>
        <w:t xml:space="preserve">Data availability.</w:t>
      </w:r>
      <w:r>
        <w:rPr>
          <w:rFonts w:ascii="Times New Roman" w:cs="Times New Roman" w:eastAsia="Times New Roman" w:hAnsi="Times New Roman"/>
          <w:sz w:val="20"/>
          <w:szCs w:val="20"/>
        </w:rPr>
        <w:t xml:space="preserve"> The Cheng dataset is publicly accessible at Figshare (doi:10.6084/m9.figshare.1512427). The BRISC dataset is available through the dataset distribution described by Fateh et al. (doi:10.1038/s41597-026-06753-y). Audited manifests, split files, de-duplication mappings and prediction files are provided in the project repository; raw datasets are not redistributed, and SHA-256 hashes of the model checkpoints are recorded in environment_manifest.json.</w:t>
      </w:r>
    </w:p>
    <w:p>
      <w:pPr>
        <w:spacing w:after="100" w:line="264"/>
        <w:jc w:val="both"/>
      </w:pPr>
      <w:r>
        <w:rPr>
          <w:rFonts w:ascii="Times New Roman" w:cs="Times New Roman" w:eastAsia="Times New Roman" w:hAnsi="Times New Roman"/>
          <w:b/>
          <w:sz w:val="20"/>
          <w:szCs w:val="20"/>
        </w:rPr>
        <w:t xml:space="preserve">Code availability.</w:t>
      </w:r>
      <w:r>
        <w:rPr>
          <w:rFonts w:ascii="Times New Roman" w:cs="Times New Roman" w:eastAsia="Times New Roman" w:hAnsi="Times New Roman"/>
          <w:sz w:val="20"/>
          <w:szCs w:val="20"/>
        </w:rPr>
        <w:t xml:space="preserve"> Source code, preprocessing scripts, model architectures, counterfactual intervention engines, evaluation scripts (including compute_all_tables.py and generate_revised_figures.py), the source-to-result mapping (source_to_result_mapping.csv) and the Pytest validation suite (41 tests) are hosted in the project repository: [repository URL / DOI to be inserted by the authors].</w:t>
      </w:r>
    </w:p>
    <w:p>
      <w:pPr>
        <w:spacing w:after="100" w:line="264"/>
        <w:jc w:val="both"/>
      </w:pPr>
      <w:r>
        <w:rPr>
          <w:rFonts w:ascii="Times New Roman" w:cs="Times New Roman" w:eastAsia="Times New Roman" w:hAnsi="Times New Roman"/>
          <w:b/>
          <w:sz w:val="20"/>
          <w:szCs w:val="20"/>
        </w:rPr>
        <w:t xml:space="preserve">Use of generative AI.</w:t>
      </w:r>
      <w:r>
        <w:rPr>
          <w:rFonts w:ascii="Times New Roman" w:cs="Times New Roman" w:eastAsia="Times New Roman" w:hAnsi="Times New Roman"/>
          <w:sz w:val="20"/>
          <w:szCs w:val="20"/>
        </w:rPr>
        <w:t xml:space="preserve"> Generative AI assistants were used for code development and checking, consistency checks of tables and figures, and language editing of the manuscript. The authors reviewed and verified all outputs and take full responsibility for the content of the paper.</w:t>
      </w:r>
    </w:p>
    <w:p>
      <w:pPr>
        <w:spacing w:after="100" w:line="264"/>
        <w:jc w:val="both"/>
      </w:pPr>
      <w:r>
        <w:rPr>
          <w:rFonts w:ascii="Times New Roman" w:cs="Times New Roman" w:eastAsia="Times New Roman" w:hAnsi="Times New Roman"/>
          <w:b/>
          <w:bCs/>
          <w:sz w:val="20"/>
          <w:szCs w:val="20"/>
        </w:rPr>
        <w:t xml:space="preserve">Author contributions.</w:t>
      </w:r>
      <w:r>
        <w:rPr>
          <w:rFonts w:ascii="Times New Roman" w:cs="Times New Roman" w:eastAsia="Times New Roman" w:hAnsi="Times New Roman"/>
          <w:sz w:val="20"/>
          <w:szCs w:val="20"/>
        </w:rPr>
        <w:t xml:space="preserve"> Chhotu: conceptualisation, methodology, counterfactual intervention engine design, data preprocessing and de-duplication audits, statistical analysis, visualisation, writing – original draft. Rishi Gupta: supervision, investigation, biostatistical review, validation, research integrity auditing, writing – review and editing.</w:t>
      </w:r>
    </w:p>
    <w:p>
      <w:pPr>
        <w:keepNext/>
        <w:spacing w:after="120" w:before="260"/>
      </w:pPr>
      <w:r>
        <w:rPr>
          <w:rFonts w:ascii="Times New Roman" w:cs="Times New Roman" w:eastAsia="Times New Roman" w:hAnsi="Times New Roman"/>
          <w:b/>
          <w:bCs/>
          <w:sz w:val="24"/>
          <w:szCs w:val="24"/>
        </w:rPr>
        <w:t xml:space="preserve">References</w:t>
      </w:r>
    </w:p>
    <w:p>
      <w:pPr>
        <w:tabs>
          <w:tab w:val="left" w:pos="480"/>
        </w:tabs>
        <w:spacing w:after="60" w:line="240"/>
        <w:ind w:left="480" w:hanging="480"/>
        <w:jc w:val="both"/>
      </w:pPr>
      <w:r>
        <w:rPr>
          <w:rFonts w:ascii="Times New Roman" w:cs="Times New Roman" w:eastAsia="Times New Roman" w:hAnsi="Times New Roman"/>
          <w:sz w:val="18"/>
          <w:szCs w:val="18"/>
        </w:rPr>
        <w:t xml:space="preserve">[1]</w:t>
        <w:tab/>
        <w:t xml:space="preserve">Wallis, D., Buvat, I.: Clever Hans effect found in a widely used brain tumour MRI dataset. Med. Image Anal. 77, 102368 (2022) https://doi.org/10.1016/j.media.2022.102368</w:t>
      </w:r>
    </w:p>
    <w:p>
      <w:pPr>
        <w:tabs>
          <w:tab w:val="left" w:pos="480"/>
        </w:tabs>
        <w:spacing w:after="60" w:line="240"/>
        <w:ind w:left="480" w:hanging="480"/>
        <w:jc w:val="both"/>
      </w:pPr>
      <w:r>
        <w:rPr>
          <w:rFonts w:ascii="Times New Roman" w:cs="Times New Roman" w:eastAsia="Times New Roman" w:hAnsi="Times New Roman"/>
          <w:sz w:val="18"/>
          <w:szCs w:val="18"/>
        </w:rPr>
        <w:t xml:space="preserve">[2]	Cheng, J., Huang, W., Cao, S., et al.: Enhanced performance of brain tumor classification via tumor region augmentation and partition. PLOS ONE 10(10), e0140381 (2015) https://doi.org/10.1371/journal.pone.0140381</w:t>
      </w:r>
    </w:p>
    <w:p>
      <w:pPr>
        <w:tabs>
          <w:tab w:val="left" w:pos="480"/>
        </w:tabs>
        <w:spacing w:after="60" w:line="240"/>
        <w:ind w:left="480" w:hanging="480"/>
        <w:jc w:val="both"/>
      </w:pPr>
      <w:r>
        <w:rPr>
          <w:rFonts w:ascii="Times New Roman" w:cs="Times New Roman" w:eastAsia="Times New Roman" w:hAnsi="Times New Roman"/>
          <w:sz w:val="18"/>
          <w:szCs w:val="18"/>
        </w:rPr>
        <w:t xml:space="preserve">[3]</w:t>
        <w:tab/>
        <w:t xml:space="preserve">Rossi, E.B., Lopez, E., Comminiello, D.: TACE: Tumor-aware counterfactual explanations for medical image analysis. arXiv preprint arXiv:2409.13045 (2024) https://doi.org/10.48550/arXiv.2409.13045</w:t>
      </w:r>
    </w:p>
    <w:p>
      <w:pPr>
        <w:tabs>
          <w:tab w:val="left" w:pos="480"/>
        </w:tabs>
        <w:spacing w:after="60" w:line="240"/>
        <w:ind w:left="480" w:hanging="480"/>
        <w:jc w:val="both"/>
      </w:pPr>
      <w:r>
        <w:rPr>
          <w:rFonts w:ascii="Times New Roman" w:cs="Times New Roman" w:eastAsia="Times New Roman" w:hAnsi="Times New Roman"/>
          <w:sz w:val="18"/>
          <w:szCs w:val="18"/>
        </w:rPr>
        <w:t xml:space="preserve">[4]</w:t>
        <w:tab/>
        <w:t xml:space="preserve">Sourget, T., Hestbek-Møller, M., Jiménez-Sánchez, A., Xu, J.J., Cheplygina, V.: Mask of truth: model sensitivity to unexpected regions of medical images. J. Imaging Inform. Med. (2025) https://doi.org/10.1007/s10278-025-01531-5</w:t>
      </w:r>
    </w:p>
    <w:p>
      <w:pPr>
        <w:tabs>
          <w:tab w:val="left" w:pos="480"/>
        </w:tabs>
        <w:spacing w:after="60" w:line="240"/>
        <w:ind w:left="480" w:hanging="480"/>
        <w:jc w:val="both"/>
      </w:pPr>
      <w:r>
        <w:rPr>
          <w:rFonts w:ascii="Times New Roman" w:cs="Times New Roman" w:eastAsia="Times New Roman" w:hAnsi="Times New Roman"/>
          <w:sz w:val="18"/>
          <w:szCs w:val="18"/>
        </w:rPr>
        <w:t xml:space="preserve">[5]</w:t>
        <w:tab/>
        <w:t xml:space="preserve">Fateh, A., et al.: BRISC: annotated dataset for brain tumor segmentation and classification. Sci. Data 13, 361 (2026) https://doi.org/10.1038/s41597-026-06753-y</w:t>
      </w:r>
    </w:p>
    <w:p>
      <w:pPr>
        <w:tabs>
          <w:tab w:val="left" w:pos="480"/>
        </w:tabs>
        <w:spacing w:after="60" w:line="240"/>
        <w:ind w:left="480" w:hanging="480"/>
        <w:jc w:val="both"/>
      </w:pPr>
      <w:r>
        <w:rPr>
          <w:rFonts w:ascii="Times New Roman" w:cs="Times New Roman" w:eastAsia="Times New Roman" w:hAnsi="Times New Roman"/>
          <w:sz w:val="18"/>
          <w:szCs w:val="18"/>
        </w:rPr>
        <w:t xml:space="preserve">[6]</w:t>
        <w:tab/>
        <w:t xml:space="preserve">Yagis, E., et al.: Effect of data leakage in brain MRI classification using 2D convolutional neural networks. Sci. Rep. 11(1), 22544 (2021) https://doi.org/10.1038/s41598-021-01681-w</w:t>
      </w:r>
    </w:p>
    <w:p>
      <w:pPr>
        <w:tabs>
          <w:tab w:val="left" w:pos="480"/>
        </w:tabs>
        <w:spacing w:after="60" w:line="240"/>
        <w:ind w:left="480" w:hanging="480"/>
        <w:jc w:val="both"/>
      </w:pPr>
      <w:r>
        <w:rPr>
          <w:rFonts w:ascii="Times New Roman" w:cs="Times New Roman" w:eastAsia="Times New Roman" w:hAnsi="Times New Roman"/>
          <w:sz w:val="18"/>
          <w:szCs w:val="18"/>
        </w:rPr>
        <w:t xml:space="preserve">[7]	He, K., Zhang, X., Ren, S., Sun, J.: Deep residual learning for image recognition. In: Proc. IEEE Conf. Computer Vision and Pattern Recognition (CVPR), pp. 770–778 (2016) https://doi.org/10.1109/CVPR.2016.90</w:t>
      </w:r>
    </w:p>
    <w:p>
      <w:pPr>
        <w:tabs>
          <w:tab w:val="left" w:pos="480"/>
        </w:tabs>
        <w:spacing w:after="60" w:line="240"/>
        <w:ind w:left="480" w:hanging="480"/>
        <w:jc w:val="both"/>
      </w:pPr>
      <w:r>
        <w:rPr>
          <w:rFonts w:ascii="Times New Roman" w:cs="Times New Roman" w:eastAsia="Times New Roman" w:hAnsi="Times New Roman"/>
          <w:sz w:val="18"/>
          <w:szCs w:val="18"/>
        </w:rPr>
        <w:t xml:space="preserve">[8]	Touvron, H., Cord, M., Douze, M., et al.: Training data-efficient image transformers &amp; distillation through attention. In: Proc. Int. Conf. Machine Learning (ICML), pp. 10347–10357 (2021)</w:t>
      </w:r>
    </w:p>
    <w:p>
      <w:pPr>
        <w:tabs>
          <w:tab w:val="left" w:pos="480"/>
        </w:tabs>
        <w:spacing w:after="60" w:line="240"/>
        <w:ind w:left="480" w:hanging="480"/>
        <w:jc w:val="both"/>
      </w:pPr>
      <w:r>
        <w:rPr>
          <w:rFonts w:ascii="Times New Roman" w:cs="Times New Roman" w:eastAsia="Times New Roman" w:hAnsi="Times New Roman"/>
          <w:sz w:val="18"/>
          <w:szCs w:val="18"/>
        </w:rPr>
        <w:t xml:space="preserve">[9]	Guo, C., Pleiss, G., Sun, Y., Weinberger, K.Q.: On calibration of modern neural networks. In: Proc. Int. Conf. Machine Learning (ICML), pp. 1321–1330 (2017)</w:t>
      </w:r>
    </w:p>
    <w:p>
      <w:pPr>
        <w:tabs>
          <w:tab w:val="left" w:pos="480"/>
        </w:tabs>
        <w:spacing w:after="60" w:line="240"/>
        <w:ind w:left="480" w:hanging="480"/>
        <w:jc w:val="both"/>
      </w:pPr>
      <w:r>
        <w:rPr>
          <w:rFonts w:ascii="Times New Roman" w:cs="Times New Roman" w:eastAsia="Times New Roman" w:hAnsi="Times New Roman"/>
          <w:sz w:val="18"/>
          <w:szCs w:val="18"/>
        </w:rPr>
        <w:t xml:space="preserve">[10]	Telea, A.: An image inpainting technique based on the fast marching method. J. Graph. Tools 9(1), 23–34 (2004) https://doi.org/10.1080/10867651.2004.10487596</w:t>
      </w:r>
    </w:p>
    <w:p>
      <w:pPr>
        <w:tabs>
          <w:tab w:val="left" w:pos="480"/>
        </w:tabs>
        <w:spacing w:after="60" w:line="240"/>
        <w:ind w:left="480" w:hanging="480"/>
        <w:jc w:val="both"/>
      </w:pPr>
      <w:r>
        <w:rPr>
          <w:rFonts w:ascii="Times New Roman" w:cs="Times New Roman" w:eastAsia="Times New Roman" w:hAnsi="Times New Roman"/>
          <w:sz w:val="18"/>
          <w:szCs w:val="18"/>
        </w:rPr>
        <w:t xml:space="preserve">[11]	Geirhos, R., et al.: Shortcut learning in deep neural networks. Nat. Mach. Intell. 2(11), 665–673 (2020) https://doi.org/10.1038/s42256-020-00257-z</w:t>
      </w:r>
    </w:p>
    <w:p>
      <w:pPr>
        <w:tabs>
          <w:tab w:val="left" w:pos="480"/>
        </w:tabs>
        <w:spacing w:after="60" w:line="240"/>
        <w:ind w:left="480" w:hanging="480"/>
        <w:jc w:val="both"/>
      </w:pPr>
      <w:r>
        <w:rPr>
          <w:rFonts w:ascii="Times New Roman" w:cs="Times New Roman" w:eastAsia="Times New Roman" w:hAnsi="Times New Roman"/>
          <w:sz w:val="18"/>
          <w:szCs w:val="18"/>
        </w:rPr>
        <w:t xml:space="preserve">[12]</w:t>
        <w:tab/>
        <w:t xml:space="preserve">Goyal, Y., Wu, Z., Ernst, J., Batra, D., Parikh, D., Lee, S.: Counterfactual visual explanations. In: Proc. 36th Int. Conf. Machine Learning (ICML), PMLR 97, pp. 2376–2384 (2019)</w:t>
      </w:r>
    </w:p>
    <w:p>
      <w:pPr>
        <w:tabs>
          <w:tab w:val="left" w:pos="480"/>
        </w:tabs>
        <w:spacing w:after="60" w:line="240"/>
        <w:ind w:left="480" w:hanging="480"/>
        <w:jc w:val="both"/>
      </w:pPr>
      <w:r>
        <w:rPr>
          <w:rFonts w:ascii="Times New Roman" w:cs="Times New Roman" w:eastAsia="Times New Roman" w:hAnsi="Times New Roman"/>
          <w:sz w:val="18"/>
          <w:szCs w:val="18"/>
        </w:rPr>
        <w:t xml:space="preserve">[13]	Rudin, C.: Stop explaining black box machine learning models for high stakes decisions and use interpretable models instead. Nat. Mach. Intell. 1(5), 206–215 (2019) https://doi.org/10.1038/s42256-019-0048-x</w:t>
      </w:r>
    </w:p>
    <w:p>
      <w:pPr>
        <w:tabs>
          <w:tab w:val="left" w:pos="480"/>
        </w:tabs>
        <w:spacing w:after="60" w:line="240"/>
        <w:ind w:left="480" w:hanging="480"/>
        <w:jc w:val="both"/>
      </w:pPr>
      <w:r>
        <w:rPr>
          <w:rFonts w:ascii="Times New Roman" w:cs="Times New Roman" w:eastAsia="Times New Roman" w:hAnsi="Times New Roman"/>
          <w:sz w:val="18"/>
          <w:szCs w:val="18"/>
        </w:rPr>
        <w:t xml:space="preserve">[14]	DeGrave, A.J., Janizek, J.D., Lee, S.-I.: AI for radiographic COVID-19 detection frequently relies on spurious shortcuts. Nat. Mach. Intell. 3(7), 610–619 (2021) https://doi.org/10.1038/s42256-021-00338-7</w:t>
      </w:r>
    </w:p>
    <w:sectPr>
      <w:footerReference w:type="default" r:id="rId7"/>
      <w:pgSz w:w="11906" w:h="16838" w:orient="portrait"/>
      <w:pgMar w:top="1700" w:right="1944" w:bottom="1700" w:left="194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5ab1499518ff22562b454bcda4df4f0ba11cc8.png"/><Relationship Id="rId9" Type="http://schemas.openxmlformats.org/officeDocument/2006/relationships/image" Target="media/3ac4527d39b71f459471ebfe9acb96faa49aea6b.png"/><Relationship Id="rId10" Type="http://schemas.openxmlformats.org/officeDocument/2006/relationships/image" Target="media/27d3471eb8b802de3f15b580fbf7d11027b44246.png"/><Relationship Id="rId11" Type="http://schemas.openxmlformats.org/officeDocument/2006/relationships/image" Target="media/fb807ed35b6a86fa3fa4fb44d8d1775d8b0ff206.png"/><Relationship Id="rId12" Type="http://schemas.openxmlformats.org/officeDocument/2006/relationships/image" Target="media/276a4b73f36974dcc5ef5555f6db07486446c89f.png"/><Relationship Id="rId13" Type="http://schemas.openxmlformats.org/officeDocument/2006/relationships/image" Target="media/3fa7a7eaf439435a8efa97e00e2ebffc409d9bf6.png"/><Relationship Id="rId14" Type="http://schemas.openxmlformats.org/officeDocument/2006/relationships/image" Target="media/89e21318639c0ffbb7cc198ca39f0ed9e382bbc2.png"/><Relationship Id="rId15" Type="http://schemas.openxmlformats.org/officeDocument/2006/relationships/image" Target="media/1dd9bbaa95a16a53f6c604a2daa676644f397803.png"/><Relationship Id="rId16" Type="http://schemas.openxmlformats.org/officeDocument/2006/relationships/image" Target="media/aa15392e44ae63c50ea6205edf10221a9197a299.png"/><Relationship Id="rId17" Type="http://schemas.openxmlformats.org/officeDocument/2006/relationships/image" Target="media/b9359cc050c640f84819b489fcee90d1941648fa.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Tumour-core, peritumoral-margin and remote-context evidence in brain MRI classification</dc:title>
  <dc:creator>Chhotu; Rishi Gupta</dc:creator>
  <cp:lastModifiedBy>Un-named</cp:lastModifiedBy>
  <cp:revision>1</cp:revision>
  <dcterms:created xsi:type="dcterms:W3CDTF">2026-10-30T07:02:07.886Z</dcterms:created>
  <dcterms:modified xsi:type="dcterms:W3CDTF">2026-10-30T07:02:07.886Z</dcterms:modified>
</cp:coreProperties>
</file>

<file path=docProps/custom.xml><?xml version="1.0" encoding="utf-8"?>
<Properties xmlns="http://schemas.openxmlformats.org/officeDocument/2006/custom-properties" xmlns:vt="http://schemas.openxmlformats.org/officeDocument/2006/docPropsVTypes"/>
</file>