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Audit: Brain MRI paper, final corrected v3</w:t>
      </w:r>
    </w:p>
    <w:p>
      <w:pPr>
        <w:spacing w:after="100"/>
      </w:pPr>
      <w:r>
        <w:rPr>
          <w:sz w:val="21"/>
          <w:szCs w:val="21"/>
        </w:rPr>
        <w:t xml:space="preserve">Checked against my audit of v2 (items N1-N18) and the earlier rejection reports.</w:t>
      </w:r>
    </w:p>
    <w:p>
      <w:pPr>
        <w:pStyle w:val="Heading1"/>
        <w:spacing w:after="120" w:before="280"/>
      </w:pPr>
      <w:r>
        <w:t xml:space="preserve">Verdict</w:t>
      </w:r>
    </w:p>
    <w:p>
      <w:pPr>
        <w:spacing w:after="100"/>
      </w:pPr>
      <w:r>
        <w:rPr>
          <w:b/>
          <w:bCs/>
          <w:sz w:val="21"/>
          <w:szCs w:val="21"/>
        </w:rPr>
        <w:t xml:space="preserve">Better, but still not ready to submit.</w:t>
      </w:r>
      <w:r>
        <w:rPr>
          <w:sz w:val="21"/>
          <w:szCs w:val="21"/>
        </w:rPr>
        <w:t xml:space="preserve"> The main scientific blocker is cleared: the C2 diagnostics are done, Table 9 and Fig. 9 are filled, the figures' values match the tables, and the draft-state text, Appendix B and the declaration placeholders are gone. But 11 of my 18 earlier findings are still open, and the regenerated figures introduced three new problems that a reviewer will see at once (M1-M3). No new experiments are needed for any of them: they are text edits and figure regeneration from the existing data.</w:t>
      </w:r>
    </w:p>
    <w:p>
      <w:pPr>
        <w:spacing w:after="100"/>
      </w:pPr>
      <w:r>
        <w:rPr>
          <w:b/>
          <w:bCs/>
          <w:sz w:val="21"/>
          <w:szCs w:val="21"/>
        </w:rPr>
        <w:t xml:space="preserve">Scorecard of my 18 earlier findings:</w:t>
      </w:r>
      <w:r>
        <w:rPr>
          <w:sz w:val="21"/>
          <w:szCs w:val="21"/>
        </w:rPr>
        <w:t xml:space="preserve"> 5 resolved, 2 partly resolved, 11 open.</w:t>
      </w:r>
    </w:p>
    <w:p>
      <w:pPr>
        <w:pStyle w:val="Heading1"/>
        <w:spacing w:after="120" w:before="280"/>
      </w:pPr>
      <w:r>
        <w:t xml:space="preserve">A. Earlier findings (N1-N18)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200"/>
        <w:gridCol w:w="5500"/>
      </w:tblGrid>
      <w:tr>
        <w:trPr>
          <w:tblHeader/>
        </w:trPr>
        <w:tc>
          <w:tcPr>
            <w:tcW w:type="dxa" w:w="600"/>
            <w:shd w:fill="1F3864" w:val="clear"/>
            <w:tcMar>
              <w:top w:type="dxa" w:w="60"/>
              <w:left w:type="dxa" w:w="80"/>
              <w:bottom w:type="dxa" w:w="60"/>
              <w:right w:type="dxa" w:w="80"/>
            </w:tcMar>
            <w:vAlign w:val="top"/>
          </w:tcPr>
          <w:p>
            <w:pPr>
              <w:spacing w:after="20"/>
            </w:pPr>
            <w:r>
              <w:rPr>
                <w:b/>
                <w:bCs/>
                <w:color w:val="FFFFFF"/>
                <w:sz w:val="18"/>
                <w:szCs w:val="18"/>
              </w:rPr>
              <w:t xml:space="preserve">ID</w:t>
            </w:r>
          </w:p>
        </w:tc>
        <w:tc>
          <w:tcPr>
            <w:tcW w:type="dxa" w:w="2300"/>
            <w:shd w:fill="1F3864" w:val="clear"/>
            <w:tcMar>
              <w:top w:type="dxa" w:w="60"/>
              <w:left w:type="dxa" w:w="80"/>
              <w:bottom w:type="dxa" w:w="60"/>
              <w:right w:type="dxa" w:w="80"/>
            </w:tcMar>
            <w:vAlign w:val="top"/>
          </w:tcPr>
          <w:p>
            <w:pPr>
              <w:spacing w:after="20"/>
            </w:pPr>
            <w:r>
              <w:rPr>
                <w:b/>
                <w:bCs/>
                <w:color w:val="FFFFFF"/>
                <w:sz w:val="18"/>
                <w:szCs w:val="18"/>
              </w:rPr>
              <w:t xml:space="preserve">Item</w:t>
            </w:r>
          </w:p>
        </w:tc>
        <w:tc>
          <w:tcPr>
            <w:tcW w:type="dxa" w:w="1200"/>
            <w:shd w:fill="1F3864" w:val="clear"/>
            <w:tcMar>
              <w:top w:type="dxa" w:w="60"/>
              <w:left w:type="dxa" w:w="80"/>
              <w:bottom w:type="dxa" w:w="60"/>
              <w:right w:type="dxa" w:w="80"/>
            </w:tcMar>
            <w:vAlign w:val="top"/>
          </w:tcPr>
          <w:p>
            <w:pPr>
              <w:spacing w:after="20"/>
            </w:pPr>
            <w:r>
              <w:rPr>
                <w:b/>
                <w:bCs/>
                <w:color w:val="FFFFFF"/>
                <w:sz w:val="18"/>
                <w:szCs w:val="18"/>
              </w:rPr>
              <w:t xml:space="preserve">Status</w:t>
            </w:r>
          </w:p>
        </w:tc>
        <w:tc>
          <w:tcPr>
            <w:tcW w:type="dxa" w:w="5500"/>
            <w:shd w:fill="1F3864" w:val="clear"/>
            <w:tcMar>
              <w:top w:type="dxa" w:w="60"/>
              <w:left w:type="dxa" w:w="80"/>
              <w:bottom w:type="dxa" w:w="60"/>
              <w:right w:type="dxa" w:w="80"/>
            </w:tcMar>
            <w:vAlign w:val="top"/>
          </w:tcPr>
          <w:p>
            <w:pPr>
              <w:spacing w:after="20"/>
            </w:pPr>
            <w:r>
              <w:rPr>
                <w:b/>
                <w:bCs/>
                <w:color w:val="FFFFFF"/>
                <w:sz w:val="18"/>
                <w:szCs w:val="18"/>
              </w:rPr>
              <w:t xml:space="preserve">Evidence in v3</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w:t>
            </w:r>
          </w:p>
        </w:tc>
        <w:tc>
          <w:tcPr>
            <w:tcW w:type="dxa" w:w="2300"/>
            <w:tcMar>
              <w:top w:type="dxa" w:w="60"/>
              <w:left w:type="dxa" w:w="80"/>
              <w:bottom w:type="dxa" w:w="60"/>
              <w:right w:type="dxa" w:w="80"/>
            </w:tcMar>
            <w:vAlign w:val="top"/>
          </w:tcPr>
          <w:p>
            <w:pPr>
              <w:spacing w:after="20"/>
            </w:pPr>
            <w:r>
              <w:rPr>
                <w:sz w:val="18"/>
                <w:szCs w:val="18"/>
              </w:rPr>
              <w:t xml:space="preserve">C2 diagnostics (Table 9, Fig. 9)</w:t>
            </w:r>
          </w:p>
        </w:tc>
        <w:tc>
          <w:tcPr>
            <w:tcW w:type="dxa" w:w="1200"/>
            <w:shd w:fill="C6E0B4" w:val="clear"/>
            <w:tcMar>
              <w:top w:type="dxa" w:w="60"/>
              <w:left w:type="dxa" w:w="80"/>
              <w:bottom w:type="dxa" w:w="60"/>
              <w:right w:type="dxa" w:w="80"/>
            </w:tcMar>
            <w:vAlign w:val="top"/>
          </w:tcPr>
          <w:p>
            <w:pPr>
              <w:spacing w:after="20"/>
            </w:pPr>
            <w:r>
              <w:rPr>
                <w:b/>
                <w:bCs/>
                <w:sz w:val="18"/>
                <w:szCs w:val="18"/>
              </w:rPr>
              <w:t xml:space="preserve">RESOLVED</w:t>
            </w:r>
          </w:p>
        </w:tc>
        <w:tc>
          <w:tcPr>
            <w:tcW w:type="dxa" w:w="5500"/>
            <w:tcMar>
              <w:top w:type="dxa" w:w="60"/>
              <w:left w:type="dxa" w:w="80"/>
              <w:bottom w:type="dxa" w:w="60"/>
              <w:right w:type="dxa" w:w="80"/>
            </w:tcMar>
            <w:vAlign w:val="top"/>
          </w:tcPr>
          <w:p>
            <w:pPr>
              <w:spacing w:after="20"/>
            </w:pPr>
            <w:r>
              <w:rPr>
                <w:sz w:val="18"/>
                <w:szCs w:val="18"/>
              </w:rPr>
              <w:t xml:space="preserve">Table 9 now has the C2 row; I recomputed the four headline reductions from the table: 65.0% and 84.9% at source, 39.0% and 98.2% at 224 x 224. All correct. The text now says C2 attenuates but does not eliminate the seams.</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N2</w:t>
            </w:r>
          </w:p>
        </w:tc>
        <w:tc>
          <w:tcPr>
            <w:tcW w:type="dxa" w:w="2300"/>
            <w:tcMar>
              <w:top w:type="dxa" w:w="60"/>
              <w:left w:type="dxa" w:w="80"/>
              <w:bottom w:type="dxa" w:w="60"/>
              <w:right w:type="dxa" w:w="80"/>
            </w:tcMar>
            <w:vAlign w:val="top"/>
          </w:tcPr>
          <w:p>
            <w:pPr>
              <w:spacing w:after="20"/>
            </w:pPr>
            <w:r>
              <w:rPr>
                <w:sz w:val="18"/>
                <w:szCs w:val="18"/>
              </w:rPr>
              <w:t xml:space="preserve">Draft-state wording</w:t>
            </w:r>
          </w:p>
        </w:tc>
        <w:tc>
          <w:tcPr>
            <w:tcW w:type="dxa" w:w="12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5500"/>
            <w:tcMar>
              <w:top w:type="dxa" w:w="60"/>
              <w:left w:type="dxa" w:w="80"/>
              <w:bottom w:type="dxa" w:w="60"/>
              <w:right w:type="dxa" w:w="80"/>
            </w:tcMar>
            <w:vAlign w:val="top"/>
          </w:tcPr>
          <w:p>
            <w:pPr>
              <w:spacing w:after="20"/>
            </w:pPr>
            <w:r>
              <w:rPr>
                <w:sz w:val="18"/>
                <w:szCs w:val="18"/>
              </w:rPr>
              <w:t xml:space="preserve">Gone: 'corrected draft', 'editing session', 'Pending', 'withheld'. Still there: the history of the repository's earlier 5x5 diagnostic script in 4.6, and the internal path remaining_work_audit/... (4.6 and Limitations). See M6.</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N3</w:t>
            </w:r>
          </w:p>
        </w:tc>
        <w:tc>
          <w:tcPr>
            <w:tcW w:type="dxa" w:w="2300"/>
            <w:tcMar>
              <w:top w:type="dxa" w:w="60"/>
              <w:left w:type="dxa" w:w="80"/>
              <w:bottom w:type="dxa" w:w="60"/>
              <w:right w:type="dxa" w:w="80"/>
            </w:tcMar>
            <w:vAlign w:val="top"/>
          </w:tcPr>
          <w:p>
            <w:pPr>
              <w:spacing w:after="20"/>
            </w:pPr>
            <w:r>
              <w:rPr>
                <w:sz w:val="18"/>
                <w:szCs w:val="18"/>
              </w:rPr>
              <w:t xml:space="preserve">Appendix B internal checklist</w:t>
            </w:r>
          </w:p>
        </w:tc>
        <w:tc>
          <w:tcPr>
            <w:tcW w:type="dxa" w:w="1200"/>
            <w:shd w:fill="C6E0B4" w:val="clear"/>
            <w:tcMar>
              <w:top w:type="dxa" w:w="60"/>
              <w:left w:type="dxa" w:w="80"/>
              <w:bottom w:type="dxa" w:w="60"/>
              <w:right w:type="dxa" w:w="80"/>
            </w:tcMar>
            <w:vAlign w:val="top"/>
          </w:tcPr>
          <w:p>
            <w:pPr>
              <w:spacing w:after="20"/>
            </w:pPr>
            <w:r>
              <w:rPr>
                <w:b/>
                <w:bCs/>
                <w:sz w:val="18"/>
                <w:szCs w:val="18"/>
              </w:rPr>
              <w:t xml:space="preserve">RESOLVED</w:t>
            </w:r>
          </w:p>
        </w:tc>
        <w:tc>
          <w:tcPr>
            <w:tcW w:type="dxa" w:w="5500"/>
            <w:tcMar>
              <w:top w:type="dxa" w:w="60"/>
              <w:left w:type="dxa" w:w="80"/>
              <w:bottom w:type="dxa" w:w="60"/>
              <w:right w:type="dxa" w:w="80"/>
            </w:tcMar>
            <w:vAlign w:val="top"/>
          </w:tcPr>
          <w:p>
            <w:pPr>
              <w:spacing w:after="20"/>
            </w:pPr>
            <w:r>
              <w:rPr>
                <w:sz w:val="18"/>
                <w:szCs w:val="18"/>
              </w:rPr>
              <w:t xml:space="preserve">Removed. (An unused duplicate image, fig9_artifact_diagnostics_final.png, is still embedded in the file.)</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N4</w:t>
            </w:r>
          </w:p>
        </w:tc>
        <w:tc>
          <w:tcPr>
            <w:tcW w:type="dxa" w:w="2300"/>
            <w:tcMar>
              <w:top w:type="dxa" w:w="60"/>
              <w:left w:type="dxa" w:w="80"/>
              <w:bottom w:type="dxa" w:w="60"/>
              <w:right w:type="dxa" w:w="80"/>
            </w:tcMar>
            <w:vAlign w:val="top"/>
          </w:tcPr>
          <w:p>
            <w:pPr>
              <w:spacing w:after="20"/>
            </w:pPr>
            <w:r>
              <w:rPr>
                <w:sz w:val="18"/>
                <w:szCs w:val="18"/>
              </w:rPr>
              <w:t xml:space="preserve">'Open items' bullet</w:t>
            </w:r>
          </w:p>
        </w:tc>
        <w:tc>
          <w:tcPr>
            <w:tcW w:type="dxa" w:w="1200"/>
            <w:shd w:fill="C6E0B4" w:val="clear"/>
            <w:tcMar>
              <w:top w:type="dxa" w:w="60"/>
              <w:left w:type="dxa" w:w="80"/>
              <w:bottom w:type="dxa" w:w="60"/>
              <w:right w:type="dxa" w:w="80"/>
            </w:tcMar>
            <w:vAlign w:val="top"/>
          </w:tcPr>
          <w:p>
            <w:pPr>
              <w:spacing w:after="20"/>
            </w:pPr>
            <w:r>
              <w:rPr>
                <w:b/>
                <w:bCs/>
                <w:sz w:val="18"/>
                <w:szCs w:val="18"/>
              </w:rPr>
              <w:t xml:space="preserve">RESOLVED</w:t>
            </w:r>
          </w:p>
        </w:tc>
        <w:tc>
          <w:tcPr>
            <w:tcW w:type="dxa" w:w="5500"/>
            <w:tcMar>
              <w:top w:type="dxa" w:w="60"/>
              <w:left w:type="dxa" w:w="80"/>
              <w:bottom w:type="dxa" w:w="60"/>
              <w:right w:type="dxa" w:w="80"/>
            </w:tcMar>
            <w:vAlign w:val="top"/>
          </w:tcPr>
          <w:p>
            <w:pPr>
              <w:spacing w:after="20"/>
            </w:pPr>
            <w:r>
              <w:rPr>
                <w:sz w:val="18"/>
                <w:szCs w:val="18"/>
              </w:rPr>
              <w:t xml:space="preserve">Rewritten as 'Open items and future directions' (plane-stratified analysis, dose-response, multi-seed, external validation).</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N5</w:t>
            </w:r>
          </w:p>
        </w:tc>
        <w:tc>
          <w:tcPr>
            <w:tcW w:type="dxa" w:w="2300"/>
            <w:tcMar>
              <w:top w:type="dxa" w:w="60"/>
              <w:left w:type="dxa" w:w="80"/>
              <w:bottom w:type="dxa" w:w="60"/>
              <w:right w:type="dxa" w:w="80"/>
            </w:tcMar>
            <w:vAlign w:val="top"/>
          </w:tcPr>
          <w:p>
            <w:pPr>
              <w:spacing w:after="20"/>
            </w:pPr>
            <w:r>
              <w:rPr>
                <w:sz w:val="18"/>
                <w:szCs w:val="18"/>
              </w:rPr>
              <w:t xml:space="preserve">Author contributions, acknowledgements</w:t>
            </w:r>
          </w:p>
        </w:tc>
        <w:tc>
          <w:tcPr>
            <w:tcW w:type="dxa" w:w="1200"/>
            <w:shd w:fill="C6E0B4" w:val="clear"/>
            <w:tcMar>
              <w:top w:type="dxa" w:w="60"/>
              <w:left w:type="dxa" w:w="80"/>
              <w:bottom w:type="dxa" w:w="60"/>
              <w:right w:type="dxa" w:w="80"/>
            </w:tcMar>
            <w:vAlign w:val="top"/>
          </w:tcPr>
          <w:p>
            <w:pPr>
              <w:spacing w:after="20"/>
            </w:pPr>
            <w:r>
              <w:rPr>
                <w:b/>
                <w:bCs/>
                <w:sz w:val="18"/>
                <w:szCs w:val="18"/>
              </w:rPr>
              <w:t xml:space="preserve">RESOLVED</w:t>
            </w:r>
          </w:p>
        </w:tc>
        <w:tc>
          <w:tcPr>
            <w:tcW w:type="dxa" w:w="5500"/>
            <w:tcMar>
              <w:top w:type="dxa" w:w="60"/>
              <w:left w:type="dxa" w:w="80"/>
              <w:bottom w:type="dxa" w:w="60"/>
              <w:right w:type="dxa" w:w="80"/>
            </w:tcMar>
            <w:vAlign w:val="top"/>
          </w:tcPr>
          <w:p>
            <w:pPr>
              <w:spacing w:after="20"/>
            </w:pPr>
            <w:r>
              <w:rPr>
                <w:sz w:val="18"/>
                <w:szCs w:val="18"/>
              </w:rPr>
              <w:t xml:space="preserve">Final statements, no brackets. Funding and competing interests are present.</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N6</w:t>
            </w:r>
          </w:p>
        </w:tc>
        <w:tc>
          <w:tcPr>
            <w:tcW w:type="dxa" w:w="2300"/>
            <w:tcMar>
              <w:top w:type="dxa" w:w="60"/>
              <w:left w:type="dxa" w:w="80"/>
              <w:bottom w:type="dxa" w:w="60"/>
              <w:right w:type="dxa" w:w="80"/>
            </w:tcMar>
            <w:vAlign w:val="top"/>
          </w:tcPr>
          <w:p>
            <w:pPr>
              <w:spacing w:after="20"/>
            </w:pPr>
            <w:r>
              <w:rPr>
                <w:sz w:val="18"/>
                <w:szCs w:val="18"/>
              </w:rPr>
              <w:t xml:space="preserve">Generative-AI statement</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Still missing from Declarations.</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N7</w:t>
            </w:r>
          </w:p>
        </w:tc>
        <w:tc>
          <w:tcPr>
            <w:tcW w:type="dxa" w:w="2300"/>
            <w:tcMar>
              <w:top w:type="dxa" w:w="60"/>
              <w:left w:type="dxa" w:w="80"/>
              <w:bottom w:type="dxa" w:w="60"/>
              <w:right w:type="dxa" w:w="80"/>
            </w:tcMar>
            <w:vAlign w:val="top"/>
          </w:tcPr>
          <w:p>
            <w:pPr>
              <w:spacing w:after="20"/>
            </w:pPr>
            <w:r>
              <w:rPr>
                <w:sz w:val="18"/>
                <w:szCs w:val="18"/>
              </w:rPr>
              <w:t xml:space="preserve">Test count (178)</w:t>
            </w:r>
          </w:p>
        </w:tc>
        <w:tc>
          <w:tcPr>
            <w:tcW w:type="dxa" w:w="1200"/>
            <w:shd w:fill="C6E0B4" w:val="clear"/>
            <w:tcMar>
              <w:top w:type="dxa" w:w="60"/>
              <w:left w:type="dxa" w:w="80"/>
              <w:bottom w:type="dxa" w:w="60"/>
              <w:right w:type="dxa" w:w="80"/>
            </w:tcMar>
            <w:vAlign w:val="top"/>
          </w:tcPr>
          <w:p>
            <w:pPr>
              <w:spacing w:after="20"/>
            </w:pPr>
            <w:r>
              <w:rPr>
                <w:b/>
                <w:bCs/>
                <w:sz w:val="18"/>
                <w:szCs w:val="18"/>
              </w:rPr>
              <w:t xml:space="preserve">RESOLVED</w:t>
            </w:r>
          </w:p>
        </w:tc>
        <w:tc>
          <w:tcPr>
            <w:tcW w:type="dxa" w:w="5500"/>
            <w:tcMar>
              <w:top w:type="dxa" w:w="60"/>
              <w:left w:type="dxa" w:w="80"/>
              <w:bottom w:type="dxa" w:w="60"/>
              <w:right w:type="dxa" w:w="80"/>
            </w:tcMar>
            <w:vAlign w:val="top"/>
          </w:tcPr>
          <w:p>
            <w:pPr>
              <w:spacing w:after="20"/>
            </w:pPr>
            <w:r>
              <w:rPr>
                <w:sz w:val="18"/>
                <w:szCs w:val="18"/>
              </w:rPr>
              <w:t xml:space="preserve">Section 3.11 now states 178 tests and the reconciled log. (I cannot check the repository.)</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N8</w:t>
            </w:r>
          </w:p>
        </w:tc>
        <w:tc>
          <w:tcPr>
            <w:tcW w:type="dxa" w:w="2300"/>
            <w:tcMar>
              <w:top w:type="dxa" w:w="60"/>
              <w:left w:type="dxa" w:w="80"/>
              <w:bottom w:type="dxa" w:w="60"/>
              <w:right w:type="dxa" w:w="80"/>
            </w:tcMar>
            <w:vAlign w:val="top"/>
          </w:tcPr>
          <w:p>
            <w:pPr>
              <w:spacing w:after="20"/>
            </w:pPr>
            <w:r>
              <w:rPr>
                <w:sz w:val="18"/>
                <w:szCs w:val="18"/>
              </w:rPr>
              <w:t xml:space="preserve">Eq. (13) typo</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Still printed as F(chi-square, '&lt;sub&gt;1&lt;/sub&gt;').</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N9</w:t>
            </w:r>
          </w:p>
        </w:tc>
        <w:tc>
          <w:tcPr>
            <w:tcW w:type="dxa" w:w="2300"/>
            <w:tcMar>
              <w:top w:type="dxa" w:w="60"/>
              <w:left w:type="dxa" w:w="80"/>
              <w:bottom w:type="dxa" w:w="60"/>
              <w:right w:type="dxa" w:w="80"/>
            </w:tcMar>
            <w:vAlign w:val="top"/>
          </w:tcPr>
          <w:p>
            <w:pPr>
              <w:spacing w:after="20"/>
            </w:pPr>
            <w:r>
              <w:rPr>
                <w:sz w:val="18"/>
                <w:szCs w:val="18"/>
              </w:rPr>
              <w:t xml:space="preserve">Title 'Disentangling'</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Unchanged, although the abstract says the effect is not apportioned.</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N10</w:t>
            </w:r>
          </w:p>
        </w:tc>
        <w:tc>
          <w:tcPr>
            <w:tcW w:type="dxa" w:w="2300"/>
            <w:tcMar>
              <w:top w:type="dxa" w:w="60"/>
              <w:left w:type="dxa" w:w="80"/>
              <w:bottom w:type="dxa" w:w="60"/>
              <w:right w:type="dxa" w:w="80"/>
            </w:tcMar>
            <w:vAlign w:val="top"/>
          </w:tcPr>
          <w:p>
            <w:pPr>
              <w:spacing w:after="20"/>
            </w:pPr>
            <w:r>
              <w:rPr>
                <w:sz w:val="18"/>
                <w:szCs w:val="18"/>
              </w:rPr>
              <w:t xml:space="preserve">Abstract: 'seam suppression did not recover performance'</w:t>
            </w:r>
          </w:p>
        </w:tc>
        <w:tc>
          <w:tcPr>
            <w:tcW w:type="dxa" w:w="1200"/>
            <w:shd w:fill="FFE699" w:val="clear"/>
            <w:tcMar>
              <w:top w:type="dxa" w:w="60"/>
              <w:left w:type="dxa" w:w="80"/>
              <w:bottom w:type="dxa" w:w="60"/>
              <w:right w:type="dxa" w:w="80"/>
            </w:tcMar>
            <w:vAlign w:val="top"/>
          </w:tcPr>
          <w:p>
            <w:pPr>
              <w:spacing w:after="20"/>
            </w:pPr>
            <w:r>
              <w:rPr>
                <w:b/>
                <w:bCs/>
                <w:sz w:val="18"/>
                <w:szCs w:val="18"/>
              </w:rPr>
              <w:t xml:space="preserve">PARTLY</w:t>
            </w:r>
          </w:p>
        </w:tc>
        <w:tc>
          <w:tcPr>
            <w:tcW w:type="dxa" w:w="5500"/>
            <w:tcMar>
              <w:top w:type="dxa" w:w="60"/>
              <w:left w:type="dxa" w:w="80"/>
              <w:bottom w:type="dxa" w:w="60"/>
              <w:right w:type="dxa" w:w="80"/>
            </w:tcMar>
            <w:vAlign w:val="top"/>
          </w:tcPr>
          <w:p>
            <w:pPr>
              <w:spacing w:after="20"/>
            </w:pPr>
            <w:r>
              <w:rPr>
                <w:sz w:val="18"/>
                <w:szCs w:val="18"/>
              </w:rPr>
              <w:t xml:space="preserve">Abstract unchanged. The claim is now supportable, but it should say the suppression was partial (39% edge reduction at the network input).</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N11</w:t>
            </w:r>
          </w:p>
        </w:tc>
        <w:tc>
          <w:tcPr>
            <w:tcW w:type="dxa" w:w="2300"/>
            <w:tcMar>
              <w:top w:type="dxa" w:w="60"/>
              <w:left w:type="dxa" w:w="80"/>
              <w:bottom w:type="dxa" w:w="60"/>
              <w:right w:type="dxa" w:w="80"/>
            </w:tcMar>
            <w:vAlign w:val="top"/>
          </w:tcPr>
          <w:p>
            <w:pPr>
              <w:spacing w:after="20"/>
            </w:pPr>
            <w:r>
              <w:rPr>
                <w:sz w:val="18"/>
                <w:szCs w:val="18"/>
              </w:rPr>
              <w:t xml:space="preserve">Intro: '&gt;94% [3, 4, 12]'</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Unchanged.</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N12</w:t>
            </w:r>
          </w:p>
        </w:tc>
        <w:tc>
          <w:tcPr>
            <w:tcW w:type="dxa" w:w="2300"/>
            <w:tcMar>
              <w:top w:type="dxa" w:w="60"/>
              <w:left w:type="dxa" w:w="80"/>
              <w:bottom w:type="dxa" w:w="60"/>
              <w:right w:type="dxa" w:w="80"/>
            </w:tcMar>
            <w:vAlign w:val="top"/>
          </w:tcPr>
          <w:p>
            <w:pPr>
              <w:spacing w:after="20"/>
            </w:pPr>
            <w:r>
              <w:rPr>
                <w:sz w:val="18"/>
                <w:szCs w:val="18"/>
              </w:rPr>
              <w:t xml:space="preserve">Ratio 0.17 vs 0.18</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4.3 still says 0.17 and 5.2 still says 0.18 (exact 0.1746).</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N13</w:t>
            </w:r>
          </w:p>
        </w:tc>
        <w:tc>
          <w:tcPr>
            <w:tcW w:type="dxa" w:w="2300"/>
            <w:tcMar>
              <w:top w:type="dxa" w:w="60"/>
              <w:left w:type="dxa" w:w="80"/>
              <w:bottom w:type="dxa" w:w="60"/>
              <w:right w:type="dxa" w:w="80"/>
            </w:tcMar>
            <w:vAlign w:val="top"/>
          </w:tcPr>
          <w:p>
            <w:pPr>
              <w:spacing w:after="20"/>
            </w:pPr>
            <w:r>
              <w:rPr>
                <w:sz w:val="18"/>
                <w:szCs w:val="18"/>
              </w:rPr>
              <w:t xml:space="preserve">Notation gamma vs alpha / labels</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Worse: the regenerated figures now use w=2 / w=3 (see M1).</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N14</w:t>
            </w:r>
          </w:p>
        </w:tc>
        <w:tc>
          <w:tcPr>
            <w:tcW w:type="dxa" w:w="2300"/>
            <w:tcMar>
              <w:top w:type="dxa" w:w="60"/>
              <w:left w:type="dxa" w:w="80"/>
              <w:bottom w:type="dxa" w:w="60"/>
              <w:right w:type="dxa" w:w="80"/>
            </w:tcMar>
            <w:vAlign w:val="top"/>
          </w:tcPr>
          <w:p>
            <w:pPr>
              <w:spacing w:after="20"/>
            </w:pPr>
            <w:r>
              <w:rPr>
                <w:sz w:val="18"/>
                <w:szCs w:val="18"/>
              </w:rPr>
              <w:t xml:space="preserve">Algorithm 1 numbering</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Still starts at line 2.</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N15</w:t>
            </w:r>
          </w:p>
        </w:tc>
        <w:tc>
          <w:tcPr>
            <w:tcW w:type="dxa" w:w="2300"/>
            <w:tcMar>
              <w:top w:type="dxa" w:w="60"/>
              <w:left w:type="dxa" w:w="80"/>
              <w:bottom w:type="dxa" w:w="60"/>
              <w:right w:type="dxa" w:w="80"/>
            </w:tcMar>
            <w:vAlign w:val="top"/>
          </w:tcPr>
          <w:p>
            <w:pPr>
              <w:spacing w:after="20"/>
            </w:pPr>
            <w:r>
              <w:rPr>
                <w:sz w:val="18"/>
                <w:szCs w:val="18"/>
              </w:rPr>
              <w:t xml:space="preserve">Ref. [25], single-name author, two e-mails</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Unchanged.</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N16</w:t>
            </w:r>
          </w:p>
        </w:tc>
        <w:tc>
          <w:tcPr>
            <w:tcW w:type="dxa" w:w="2300"/>
            <w:tcMar>
              <w:top w:type="dxa" w:w="60"/>
              <w:left w:type="dxa" w:w="80"/>
              <w:bottom w:type="dxa" w:w="60"/>
              <w:right w:type="dxa" w:w="80"/>
            </w:tcMar>
            <w:vAlign w:val="top"/>
          </w:tcPr>
          <w:p>
            <w:pPr>
              <w:spacing w:after="20"/>
            </w:pPr>
            <w:r>
              <w:rPr>
                <w:sz w:val="18"/>
                <w:szCs w:val="18"/>
              </w:rPr>
              <w:t xml:space="preserve">Development-build PyTorch</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Unchanged (disclosed). Optional rerun on a stable release.</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N17</w:t>
            </w:r>
          </w:p>
        </w:tc>
        <w:tc>
          <w:tcPr>
            <w:tcW w:type="dxa" w:w="2300"/>
            <w:tcMar>
              <w:top w:type="dxa" w:w="60"/>
              <w:left w:type="dxa" w:w="80"/>
              <w:bottom w:type="dxa" w:w="60"/>
              <w:right w:type="dxa" w:w="80"/>
            </w:tcMar>
            <w:vAlign w:val="top"/>
          </w:tcPr>
          <w:p>
            <w:pPr>
              <w:spacing w:after="20"/>
            </w:pPr>
            <w:r>
              <w:rPr>
                <w:sz w:val="18"/>
                <w:szCs w:val="18"/>
              </w:rPr>
              <w:t xml:space="preserve">Related work (Clever Hans, data leakage)</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Not added.</w:t>
            </w:r>
          </w:p>
        </w:tc>
      </w:tr>
      <w:tr>
        <w:trPr>
          <w:cantSplit/>
        </w:trPr>
        <w:tc>
          <w:tcPr>
            <w:tcW w:type="dxa" w:w="600"/>
            <w:tcMar>
              <w:top w:type="dxa" w:w="60"/>
              <w:left w:type="dxa" w:w="80"/>
              <w:bottom w:type="dxa" w:w="60"/>
              <w:right w:type="dxa" w:w="80"/>
            </w:tcMar>
            <w:vAlign w:val="top"/>
          </w:tcPr>
          <w:p>
            <w:pPr>
              <w:spacing w:after="20"/>
            </w:pPr>
            <w:r>
              <w:rPr>
                <w:sz w:val="18"/>
                <w:szCs w:val="18"/>
              </w:rPr>
              <w:t xml:space="preserve">N18</w:t>
            </w:r>
          </w:p>
        </w:tc>
        <w:tc>
          <w:tcPr>
            <w:tcW w:type="dxa" w:w="2300"/>
            <w:tcMar>
              <w:top w:type="dxa" w:w="60"/>
              <w:left w:type="dxa" w:w="80"/>
              <w:bottom w:type="dxa" w:w="60"/>
              <w:right w:type="dxa" w:w="80"/>
            </w:tcMar>
            <w:vAlign w:val="top"/>
          </w:tcPr>
          <w:p>
            <w:pPr>
              <w:spacing w:after="20"/>
            </w:pPr>
            <w:r>
              <w:rPr>
                <w:sz w:val="18"/>
                <w:szCs w:val="18"/>
              </w:rPr>
              <w:t xml:space="preserve">Dataset licence</w:t>
            </w:r>
          </w:p>
        </w:tc>
        <w:tc>
          <w:tcPr>
            <w:tcW w:type="dxa" w:w="1200"/>
            <w:shd w:fill="F4B183" w:val="clear"/>
            <w:tcMar>
              <w:top w:type="dxa" w:w="60"/>
              <w:left w:type="dxa" w:w="80"/>
              <w:bottom w:type="dxa" w:w="60"/>
              <w:right w:type="dxa" w:w="80"/>
            </w:tcMar>
            <w:vAlign w:val="top"/>
          </w:tcPr>
          <w:p>
            <w:pPr>
              <w:spacing w:after="20"/>
            </w:pPr>
            <w:r>
              <w:rPr>
                <w:b/>
                <w:bCs/>
                <w:sz w:val="18"/>
                <w:szCs w:val="18"/>
              </w:rPr>
              <w:t xml:space="preserve">OPEN</w:t>
            </w:r>
          </w:p>
        </w:tc>
        <w:tc>
          <w:tcPr>
            <w:tcW w:type="dxa" w:w="5500"/>
            <w:tcMar>
              <w:top w:type="dxa" w:w="60"/>
              <w:left w:type="dxa" w:w="80"/>
              <w:bottom w:type="dxa" w:w="60"/>
              <w:right w:type="dxa" w:w="80"/>
            </w:tcMar>
            <w:vAlign w:val="top"/>
          </w:tcPr>
          <w:p>
            <w:pPr>
              <w:spacing w:after="20"/>
            </w:pPr>
            <w:r>
              <w:rPr>
                <w:sz w:val="18"/>
                <w:szCs w:val="18"/>
              </w:rPr>
              <w:t xml:space="preserve">Still 'in accordance with its licensing conditions' without naming it.</w:t>
            </w:r>
          </w:p>
        </w:tc>
      </w:tr>
    </w:tbl>
    <w:p>
      <w:pPr>
        <w:pStyle w:val="Heading1"/>
        <w:spacing w:after="120" w:before="280"/>
      </w:pPr>
      <w:r>
        <w:t xml:space="preserve">B. New findings in v3 (P1 = must fix, P2 = should fix, P3 = polish)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3300"/>
        <w:gridCol w:w="3900"/>
        <w:gridCol w:w="600"/>
      </w:tblGrid>
      <w:tr>
        <w:trPr>
          <w:tblHeader/>
        </w:trPr>
        <w:tc>
          <w:tcPr>
            <w:tcW w:type="dxa" w:w="500"/>
            <w:shd w:fill="1F3864" w:val="clear"/>
            <w:tcMar>
              <w:top w:type="dxa" w:w="60"/>
              <w:left w:type="dxa" w:w="80"/>
              <w:bottom w:type="dxa" w:w="60"/>
              <w:right w:type="dxa" w:w="80"/>
            </w:tcMar>
            <w:vAlign w:val="top"/>
          </w:tcPr>
          <w:p>
            <w:pPr>
              <w:spacing w:after="20"/>
            </w:pPr>
            <w:r>
              <w:rPr>
                <w:b/>
                <w:bCs/>
                <w:color w:val="FFFFFF"/>
                <w:sz w:val="18"/>
                <w:szCs w:val="18"/>
              </w:rPr>
              <w:t xml:space="preserve">ID</w:t>
            </w:r>
          </w:p>
        </w:tc>
        <w:tc>
          <w:tcPr>
            <w:tcW w:type="dxa" w:w="1100"/>
            <w:shd w:fill="1F3864" w:val="clear"/>
            <w:tcMar>
              <w:top w:type="dxa" w:w="60"/>
              <w:left w:type="dxa" w:w="80"/>
              <w:bottom w:type="dxa" w:w="60"/>
              <w:right w:type="dxa" w:w="80"/>
            </w:tcMar>
            <w:vAlign w:val="top"/>
          </w:tcPr>
          <w:p>
            <w:pPr>
              <w:spacing w:after="20"/>
            </w:pPr>
            <w:r>
              <w:rPr>
                <w:b/>
                <w:bCs/>
                <w:color w:val="FFFFFF"/>
                <w:sz w:val="18"/>
                <w:szCs w:val="18"/>
              </w:rPr>
              <w:t xml:space="preserve">Where</w:t>
            </w:r>
          </w:p>
        </w:tc>
        <w:tc>
          <w:tcPr>
            <w:tcW w:type="dxa" w:w="3300"/>
            <w:shd w:fill="1F3864" w:val="clear"/>
            <w:tcMar>
              <w:top w:type="dxa" w:w="60"/>
              <w:left w:type="dxa" w:w="80"/>
              <w:bottom w:type="dxa" w:w="60"/>
              <w:right w:type="dxa" w:w="80"/>
            </w:tcMar>
            <w:vAlign w:val="top"/>
          </w:tcPr>
          <w:p>
            <w:pPr>
              <w:spacing w:after="20"/>
            </w:pPr>
            <w:r>
              <w:rPr>
                <w:b/>
                <w:bCs/>
                <w:color w:val="FFFFFF"/>
                <w:sz w:val="18"/>
                <w:szCs w:val="18"/>
              </w:rPr>
              <w:t xml:space="preserve">Finding</w:t>
            </w:r>
          </w:p>
        </w:tc>
        <w:tc>
          <w:tcPr>
            <w:tcW w:type="dxa" w:w="3900"/>
            <w:shd w:fill="1F3864" w:val="clear"/>
            <w:tcMar>
              <w:top w:type="dxa" w:w="60"/>
              <w:left w:type="dxa" w:w="80"/>
              <w:bottom w:type="dxa" w:w="60"/>
              <w:right w:type="dxa" w:w="80"/>
            </w:tcMar>
            <w:vAlign w:val="top"/>
          </w:tcPr>
          <w:p>
            <w:pPr>
              <w:spacing w:after="20"/>
            </w:pPr>
            <w:r>
              <w:rPr>
                <w:b/>
                <w:bCs/>
                <w:color w:val="FFFFFF"/>
                <w:sz w:val="18"/>
                <w:szCs w:val="18"/>
              </w:rPr>
              <w:t xml:space="preserve">Fix</w:t>
            </w:r>
          </w:p>
        </w:tc>
        <w:tc>
          <w:tcPr>
            <w:tcW w:type="dxa" w:w="600"/>
            <w:shd w:fill="1F3864" w:val="clear"/>
            <w:tcMar>
              <w:top w:type="dxa" w:w="60"/>
              <w:left w:type="dxa" w:w="80"/>
              <w:bottom w:type="dxa" w:w="60"/>
              <w:right w:type="dxa" w:w="80"/>
            </w:tcMar>
            <w:vAlign w:val="top"/>
          </w:tcPr>
          <w:p>
            <w:pPr>
              <w:spacing w:after="20"/>
            </w:pPr>
            <w:r>
              <w:rPr>
                <w:b/>
                <w:bCs/>
                <w:color w:val="FFFFFF"/>
                <w:sz w:val="18"/>
                <w:szCs w:val="18"/>
              </w:rPr>
              <w:t xml:space="preserve">Prio</w:t>
            </w:r>
          </w:p>
        </w:tc>
      </w:tr>
      <w:tr>
        <w:trPr>
          <w:cantSplit/>
        </w:trPr>
        <w:tc>
          <w:tcPr>
            <w:tcW w:type="dxa" w:w="500"/>
            <w:tcMar>
              <w:top w:type="dxa" w:w="60"/>
              <w:left w:type="dxa" w:w="80"/>
              <w:bottom w:type="dxa" w:w="60"/>
              <w:right w:type="dxa" w:w="80"/>
            </w:tcMar>
            <w:vAlign w:val="top"/>
          </w:tcPr>
          <w:p>
            <w:pPr>
              <w:spacing w:after="20"/>
            </w:pPr>
            <w:r>
              <w:rPr>
                <w:sz w:val="18"/>
                <w:szCs w:val="18"/>
              </w:rPr>
              <w:t xml:space="preserve">M1</w:t>
            </w:r>
          </w:p>
        </w:tc>
        <w:tc>
          <w:tcPr>
            <w:tcW w:type="dxa" w:w="1100"/>
            <w:tcMar>
              <w:top w:type="dxa" w:w="60"/>
              <w:left w:type="dxa" w:w="80"/>
              <w:bottom w:type="dxa" w:w="60"/>
              <w:right w:type="dxa" w:w="80"/>
            </w:tcMar>
            <w:vAlign w:val="top"/>
          </w:tcPr>
          <w:p>
            <w:pPr>
              <w:spacing w:after="20"/>
            </w:pPr>
            <w:r>
              <w:rPr>
                <w:sz w:val="18"/>
                <w:szCs w:val="18"/>
              </w:rPr>
              <w:t xml:space="preserve">Figs 5, 6, 7, 8, 9</w:t>
            </w:r>
          </w:p>
        </w:tc>
        <w:tc>
          <w:tcPr>
            <w:tcW w:type="dxa" w:w="3300"/>
            <w:tcMar>
              <w:top w:type="dxa" w:w="60"/>
              <w:left w:type="dxa" w:w="80"/>
              <w:bottom w:type="dxa" w:w="60"/>
              <w:right w:type="dxa" w:w="80"/>
            </w:tcMar>
            <w:vAlign w:val="top"/>
          </w:tcPr>
          <w:p>
            <w:pPr>
              <w:spacing w:after="20"/>
            </w:pPr>
            <w:r>
              <w:rPr>
                <w:sz w:val="18"/>
                <w:szCs w:val="18"/>
              </w:rPr>
              <w:t xml:space="preserve">All figures were regenerated with the repository's legacy labels: 'C1: True Seam (w=2)', 'C1: True Seam (w=3)', 'C1: Hist. DC-Offset', 'C1_true_w2', 'C1_hist'. The paper's names are C4a, C4b and C1. A reader sees three 'C1' conditions and seam widths of 2 and 3 pixels, while the text says C4a and C4b change the same two pixels with gains 1.0 and 1.8.</w:t>
            </w:r>
          </w:p>
        </w:tc>
        <w:tc>
          <w:tcPr>
            <w:tcW w:type="dxa" w:w="3900"/>
            <w:tcMar>
              <w:top w:type="dxa" w:w="60"/>
              <w:left w:type="dxa" w:w="80"/>
              <w:bottom w:type="dxa" w:w="60"/>
              <w:right w:type="dxa" w:w="80"/>
            </w:tcMar>
            <w:vAlign w:val="top"/>
          </w:tcPr>
          <w:p>
            <w:pPr>
              <w:spacing w:after="20"/>
            </w:pPr>
            <w:r>
              <w:rPr>
                <w:sz w:val="18"/>
                <w:szCs w:val="18"/>
              </w:rPr>
              <w:t xml:space="preserve">Regenerate with a label map: True Seam (w=2) -&gt; C4a (gain 1.0); True Seam (w=3) -&gt; C4b (gain 1.8); Hist. DC-Offset -&gt; C1 (tile-mean offset). I matched these by value: 0.813 = C4a, 0.781 = C4b, 0.629 = C1 in S0. Also rename the scenario labels to S0 / S1 / S2 as in the text.</w:t>
            </w:r>
          </w:p>
        </w:tc>
        <w:tc>
          <w:tcPr>
            <w:tcW w:type="dxa" w:w="6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500"/>
            <w:tcMar>
              <w:top w:type="dxa" w:w="60"/>
              <w:left w:type="dxa" w:w="80"/>
              <w:bottom w:type="dxa" w:w="60"/>
              <w:right w:type="dxa" w:w="80"/>
            </w:tcMar>
            <w:vAlign w:val="top"/>
          </w:tcPr>
          <w:p>
            <w:pPr>
              <w:spacing w:after="20"/>
            </w:pPr>
            <w:r>
              <w:rPr>
                <w:sz w:val="18"/>
                <w:szCs w:val="18"/>
              </w:rPr>
              <w:t xml:space="preserve">M2</w:t>
            </w:r>
          </w:p>
        </w:tc>
        <w:tc>
          <w:tcPr>
            <w:tcW w:type="dxa" w:w="1100"/>
            <w:tcMar>
              <w:top w:type="dxa" w:w="60"/>
              <w:left w:type="dxa" w:w="80"/>
              <w:bottom w:type="dxa" w:w="60"/>
              <w:right w:type="dxa" w:w="80"/>
            </w:tcMar>
            <w:vAlign w:val="top"/>
          </w:tcPr>
          <w:p>
            <w:pPr>
              <w:spacing w:after="20"/>
            </w:pPr>
            <w:r>
              <w:rPr>
                <w:sz w:val="18"/>
                <w:szCs w:val="18"/>
              </w:rPr>
              <w:t xml:space="preserve">Fig. 6</w:t>
            </w:r>
          </w:p>
        </w:tc>
        <w:tc>
          <w:tcPr>
            <w:tcW w:type="dxa" w:w="3300"/>
            <w:tcMar>
              <w:top w:type="dxa" w:w="60"/>
              <w:left w:type="dxa" w:w="80"/>
              <w:bottom w:type="dxa" w:w="60"/>
              <w:right w:type="dxa" w:w="80"/>
            </w:tcMar>
            <w:vAlign w:val="top"/>
          </w:tcPr>
          <w:p>
            <w:pPr>
              <w:spacing w:after="20"/>
            </w:pPr>
            <w:r>
              <w:rPr>
                <w:sz w:val="18"/>
                <w:szCs w:val="18"/>
              </w:rPr>
              <w:t xml:space="preserve">The caption and Table 7 say 27 contrasts; the plot shows 21 (7 groups x 3). The groups 'C3 vs C1' and 'C2 vs C4a' are missing.</w:t>
            </w:r>
          </w:p>
        </w:tc>
        <w:tc>
          <w:tcPr>
            <w:tcW w:type="dxa" w:w="3900"/>
            <w:tcMar>
              <w:top w:type="dxa" w:w="60"/>
              <w:left w:type="dxa" w:w="80"/>
              <w:bottom w:type="dxa" w:w="60"/>
              <w:right w:type="dxa" w:w="80"/>
            </w:tcMar>
            <w:vAlign w:val="top"/>
          </w:tcPr>
          <w:p>
            <w:pPr>
              <w:spacing w:after="20"/>
            </w:pPr>
            <w:r>
              <w:rPr>
                <w:sz w:val="18"/>
                <w:szCs w:val="18"/>
              </w:rPr>
              <w:t xml:space="preserve">Regenerate with all 9 groups, or change the caption and say which contrasts are omitted.</w:t>
            </w:r>
          </w:p>
        </w:tc>
        <w:tc>
          <w:tcPr>
            <w:tcW w:type="dxa" w:w="6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500"/>
            <w:tcMar>
              <w:top w:type="dxa" w:w="60"/>
              <w:left w:type="dxa" w:w="80"/>
              <w:bottom w:type="dxa" w:w="60"/>
              <w:right w:type="dxa" w:w="80"/>
            </w:tcMar>
            <w:vAlign w:val="top"/>
          </w:tcPr>
          <w:p>
            <w:pPr>
              <w:spacing w:after="20"/>
            </w:pPr>
            <w:r>
              <w:rPr>
                <w:sz w:val="18"/>
                <w:szCs w:val="18"/>
              </w:rPr>
              <w:t xml:space="preserve">M3</w:t>
            </w:r>
          </w:p>
        </w:tc>
        <w:tc>
          <w:tcPr>
            <w:tcW w:type="dxa" w:w="1100"/>
            <w:tcMar>
              <w:top w:type="dxa" w:w="60"/>
              <w:left w:type="dxa" w:w="80"/>
              <w:bottom w:type="dxa" w:w="60"/>
              <w:right w:type="dxa" w:w="80"/>
            </w:tcMar>
            <w:vAlign w:val="top"/>
          </w:tcPr>
          <w:p>
            <w:pPr>
              <w:spacing w:after="20"/>
            </w:pPr>
            <w:r>
              <w:rPr>
                <w:sz w:val="18"/>
                <w:szCs w:val="18"/>
              </w:rPr>
              <w:t xml:space="preserve">Fig. 10</w:t>
            </w:r>
          </w:p>
        </w:tc>
        <w:tc>
          <w:tcPr>
            <w:tcW w:type="dxa" w:w="3300"/>
            <w:tcMar>
              <w:top w:type="dxa" w:w="60"/>
              <w:left w:type="dxa" w:w="80"/>
              <w:bottom w:type="dxa" w:w="60"/>
              <w:right w:type="dxa" w:w="80"/>
            </w:tcMar>
            <w:vAlign w:val="top"/>
          </w:tcPr>
          <w:p>
            <w:pPr>
              <w:spacing w:after="20"/>
            </w:pPr>
            <w:r>
              <w:rPr>
                <w:sz w:val="18"/>
                <w:szCs w:val="18"/>
              </w:rPr>
              <w:t xml:space="preserve">The caption says C1, C4a and C2 vs C0 (three panels). The figure shows only C2 vs C0, as bars, with the y-axis starting at 0.25 so the 0.150 threshold line cannot appear. The C4a panel, which section 4.7 discusses, is gone.</w:t>
            </w:r>
          </w:p>
        </w:tc>
        <w:tc>
          <w:tcPr>
            <w:tcW w:type="dxa" w:w="3900"/>
            <w:tcMar>
              <w:top w:type="dxa" w:w="60"/>
              <w:left w:type="dxa" w:w="80"/>
              <w:bottom w:type="dxa" w:w="60"/>
              <w:right w:type="dxa" w:w="80"/>
            </w:tcMar>
            <w:vAlign w:val="top"/>
          </w:tcPr>
          <w:p>
            <w:pPr>
              <w:spacing w:after="20"/>
            </w:pPr>
            <w:r>
              <w:rPr>
                <w:sz w:val="18"/>
                <w:szCs w:val="18"/>
              </w:rPr>
              <w:t xml:space="preserve">Restore the three-panel figure (v2 had it) with the axis from 0 so the threshold is visible.</w:t>
            </w:r>
          </w:p>
        </w:tc>
        <w:tc>
          <w:tcPr>
            <w:tcW w:type="dxa" w:w="600"/>
            <w:shd w:fill="F4B183" w:val="clear"/>
            <w:tcMar>
              <w:top w:type="dxa" w:w="60"/>
              <w:left w:type="dxa" w:w="80"/>
              <w:bottom w:type="dxa" w:w="60"/>
              <w:right w:type="dxa" w:w="80"/>
            </w:tcMar>
            <w:vAlign w:val="top"/>
          </w:tcPr>
          <w:p>
            <w:pPr>
              <w:spacing w:after="20"/>
            </w:pPr>
            <w:r>
              <w:rPr>
                <w:b/>
                <w:bCs/>
                <w:sz w:val="18"/>
                <w:szCs w:val="18"/>
              </w:rPr>
              <w:t xml:space="preserve">P1</w:t>
            </w:r>
          </w:p>
        </w:tc>
      </w:tr>
      <w:tr>
        <w:trPr>
          <w:cantSplit/>
        </w:trPr>
        <w:tc>
          <w:tcPr>
            <w:tcW w:type="dxa" w:w="500"/>
            <w:tcMar>
              <w:top w:type="dxa" w:w="60"/>
              <w:left w:type="dxa" w:w="80"/>
              <w:bottom w:type="dxa" w:w="60"/>
              <w:right w:type="dxa" w:w="80"/>
            </w:tcMar>
            <w:vAlign w:val="top"/>
          </w:tcPr>
          <w:p>
            <w:pPr>
              <w:spacing w:after="20"/>
            </w:pPr>
            <w:r>
              <w:rPr>
                <w:sz w:val="18"/>
                <w:szCs w:val="18"/>
              </w:rPr>
              <w:t xml:space="preserve">M4</w:t>
            </w:r>
          </w:p>
        </w:tc>
        <w:tc>
          <w:tcPr>
            <w:tcW w:type="dxa" w:w="1100"/>
            <w:tcMar>
              <w:top w:type="dxa" w:w="60"/>
              <w:left w:type="dxa" w:w="80"/>
              <w:bottom w:type="dxa" w:w="60"/>
              <w:right w:type="dxa" w:w="80"/>
            </w:tcMar>
            <w:vAlign w:val="top"/>
          </w:tcPr>
          <w:p>
            <w:pPr>
              <w:spacing w:after="20"/>
            </w:pPr>
            <w:r>
              <w:rPr>
                <w:sz w:val="18"/>
                <w:szCs w:val="18"/>
              </w:rPr>
              <w:t xml:space="preserve">Fig. 9</w:t>
            </w:r>
          </w:p>
        </w:tc>
        <w:tc>
          <w:tcPr>
            <w:tcW w:type="dxa" w:w="3300"/>
            <w:tcMar>
              <w:top w:type="dxa" w:w="60"/>
              <w:left w:type="dxa" w:w="80"/>
              <w:bottom w:type="dxa" w:w="60"/>
              <w:right w:type="dxa" w:w="80"/>
            </w:tcMar>
            <w:vAlign w:val="top"/>
          </w:tcPr>
          <w:p>
            <w:pPr>
              <w:spacing w:after="20"/>
            </w:pPr>
            <w:r>
              <w:rPr>
                <w:sz w:val="18"/>
                <w:szCs w:val="18"/>
              </w:rPr>
              <w:t xml:space="preserve">The caption lists 'interior energy', but the panels are seam Sobel, high-frequency Fourier and pixel preservation. Legacy labels (C1_w2, C1_w3, C1_hist); order differs from Table 9. (The plotted values do match Table 9.)</w:t>
            </w:r>
          </w:p>
        </w:tc>
        <w:tc>
          <w:tcPr>
            <w:tcW w:type="dxa" w:w="3900"/>
            <w:tcMar>
              <w:top w:type="dxa" w:w="60"/>
              <w:left w:type="dxa" w:w="80"/>
              <w:bottom w:type="dxa" w:w="60"/>
              <w:right w:type="dxa" w:w="80"/>
            </w:tcMar>
            <w:vAlign w:val="top"/>
          </w:tcPr>
          <w:p>
            <w:pPr>
              <w:spacing w:after="20"/>
            </w:pPr>
            <w:r>
              <w:rPr>
                <w:sz w:val="18"/>
                <w:szCs w:val="18"/>
              </w:rPr>
              <w:t xml:space="preserve">Fix the caption or add the interior panel; use paper labels and Table 9 order.</w:t>
            </w:r>
          </w:p>
        </w:tc>
        <w:tc>
          <w:tcPr>
            <w:tcW w:type="dxa" w:w="6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M5</w:t>
            </w:r>
          </w:p>
        </w:tc>
        <w:tc>
          <w:tcPr>
            <w:tcW w:type="dxa" w:w="1100"/>
            <w:tcMar>
              <w:top w:type="dxa" w:w="60"/>
              <w:left w:type="dxa" w:w="80"/>
              <w:bottom w:type="dxa" w:w="60"/>
              <w:right w:type="dxa" w:w="80"/>
            </w:tcMar>
            <w:vAlign w:val="top"/>
          </w:tcPr>
          <w:p>
            <w:pPr>
              <w:spacing w:after="20"/>
            </w:pPr>
            <w:r>
              <w:rPr>
                <w:sz w:val="18"/>
                <w:szCs w:val="18"/>
              </w:rPr>
              <w:t xml:space="preserve">Figs 5, 8, 10</w:t>
            </w:r>
          </w:p>
        </w:tc>
        <w:tc>
          <w:tcPr>
            <w:tcW w:type="dxa" w:w="3300"/>
            <w:tcMar>
              <w:top w:type="dxa" w:w="60"/>
              <w:left w:type="dxa" w:w="80"/>
              <w:bottom w:type="dxa" w:w="60"/>
              <w:right w:type="dxa" w:w="80"/>
            </w:tcMar>
            <w:vAlign w:val="top"/>
          </w:tcPr>
          <w:p>
            <w:pPr>
              <w:spacing w:after="20"/>
            </w:pPr>
            <w:r>
              <w:rPr>
                <w:sz w:val="18"/>
                <w:szCs w:val="18"/>
              </w:rPr>
              <w:t xml:space="preserve">Fig. 5 bars start at 0.35 and Fig. 10 at 0.25, which exaggerates differences. Fig. 8 is titled 'Collapse into Pituitary Prior Under Cranial Disorientation', which implies a mechanism the paper says it cannot establish.</w:t>
            </w:r>
          </w:p>
        </w:tc>
        <w:tc>
          <w:tcPr>
            <w:tcW w:type="dxa" w:w="3900"/>
            <w:tcMar>
              <w:top w:type="dxa" w:w="60"/>
              <w:left w:type="dxa" w:w="80"/>
              <w:bottom w:type="dxa" w:w="60"/>
              <w:right w:type="dxa" w:w="80"/>
            </w:tcMar>
            <w:vAlign w:val="top"/>
          </w:tcPr>
          <w:p>
            <w:pPr>
              <w:spacing w:after="20"/>
            </w:pPr>
            <w:r>
              <w:rPr>
                <w:sz w:val="18"/>
                <w:szCs w:val="18"/>
              </w:rPr>
              <w:t xml:space="preserve">Start bar axes at 0; use a neutral title or none (the caption is enough).</w:t>
            </w:r>
          </w:p>
        </w:tc>
        <w:tc>
          <w:tcPr>
            <w:tcW w:type="dxa" w:w="6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M6</w:t>
            </w:r>
          </w:p>
        </w:tc>
        <w:tc>
          <w:tcPr>
            <w:tcW w:type="dxa" w:w="1100"/>
            <w:tcMar>
              <w:top w:type="dxa" w:w="60"/>
              <w:left w:type="dxa" w:w="80"/>
              <w:bottom w:type="dxa" w:w="60"/>
              <w:right w:type="dxa" w:w="80"/>
            </w:tcMar>
            <w:vAlign w:val="top"/>
          </w:tcPr>
          <w:p>
            <w:pPr>
              <w:spacing w:after="20"/>
            </w:pPr>
            <w:r>
              <w:rPr>
                <w:sz w:val="18"/>
                <w:szCs w:val="18"/>
              </w:rPr>
              <w:t xml:space="preserve">4.6 and Limitations</w:t>
            </w:r>
          </w:p>
        </w:tc>
        <w:tc>
          <w:tcPr>
            <w:tcW w:type="dxa" w:w="3300"/>
            <w:tcMar>
              <w:top w:type="dxa" w:w="60"/>
              <w:left w:type="dxa" w:w="80"/>
              <w:bottom w:type="dxa" w:w="60"/>
              <w:right w:type="dxa" w:w="80"/>
            </w:tcMar>
            <w:vAlign w:val="top"/>
          </w:tcPr>
          <w:p>
            <w:pPr>
              <w:spacing w:after="20"/>
            </w:pPr>
            <w:r>
              <w:rPr>
                <w:sz w:val="18"/>
                <w:szCs w:val="18"/>
              </w:rPr>
              <w:t xml:space="preserve">Process history in the text: 'The repository's earlier diagnostic script had employed a 5 x 5 blur...' and the internal file path remaining_work_audit/....</w:t>
            </w:r>
          </w:p>
        </w:tc>
        <w:tc>
          <w:tcPr>
            <w:tcW w:type="dxa" w:w="3900"/>
            <w:tcMar>
              <w:top w:type="dxa" w:w="60"/>
              <w:left w:type="dxa" w:w="80"/>
              <w:bottom w:type="dxa" w:w="60"/>
              <w:right w:type="dxa" w:w="80"/>
            </w:tcMar>
            <w:vAlign w:val="top"/>
          </w:tcPr>
          <w:p>
            <w:pPr>
              <w:spacing w:after="20"/>
            </w:pPr>
            <w:r>
              <w:rPr>
                <w:sz w:val="18"/>
                <w:szCs w:val="18"/>
              </w:rPr>
              <w:t xml:space="preserve">Delete the history; cite a supplementary file name or the Zenodo path instead.</w:t>
            </w:r>
          </w:p>
        </w:tc>
        <w:tc>
          <w:tcPr>
            <w:tcW w:type="dxa" w:w="600"/>
            <w:shd w:fill="FFE699" w:val="clear"/>
            <w:tcMar>
              <w:top w:type="dxa" w:w="60"/>
              <w:left w:type="dxa" w:w="80"/>
              <w:bottom w:type="dxa" w:w="60"/>
              <w:right w:type="dxa" w:w="80"/>
            </w:tcMar>
            <w:vAlign w:val="top"/>
          </w:tcPr>
          <w:p>
            <w:pPr>
              <w:spacing w:after="20"/>
            </w:pPr>
            <w:r>
              <w:rPr>
                <w:b/>
                <w:bCs/>
                <w:sz w:val="18"/>
                <w:szCs w:val="18"/>
              </w:rPr>
              <w:t xml:space="preserve">P2</w:t>
            </w:r>
          </w:p>
        </w:tc>
      </w:tr>
      <w:tr>
        <w:trPr>
          <w:cantSplit/>
        </w:trPr>
        <w:tc>
          <w:tcPr>
            <w:tcW w:type="dxa" w:w="500"/>
            <w:tcMar>
              <w:top w:type="dxa" w:w="60"/>
              <w:left w:type="dxa" w:w="80"/>
              <w:bottom w:type="dxa" w:w="60"/>
              <w:right w:type="dxa" w:w="80"/>
            </w:tcMar>
            <w:vAlign w:val="top"/>
          </w:tcPr>
          <w:p>
            <w:pPr>
              <w:spacing w:after="20"/>
            </w:pPr>
            <w:r>
              <w:rPr>
                <w:sz w:val="18"/>
                <w:szCs w:val="18"/>
              </w:rPr>
              <w:t xml:space="preserve">M7</w:t>
            </w:r>
          </w:p>
        </w:tc>
        <w:tc>
          <w:tcPr>
            <w:tcW w:type="dxa" w:w="1100"/>
            <w:tcMar>
              <w:top w:type="dxa" w:w="60"/>
              <w:left w:type="dxa" w:w="80"/>
              <w:bottom w:type="dxa" w:w="60"/>
              <w:right w:type="dxa" w:w="80"/>
            </w:tcMar>
            <w:vAlign w:val="top"/>
          </w:tcPr>
          <w:p>
            <w:pPr>
              <w:spacing w:after="20"/>
            </w:pPr>
            <w:r>
              <w:rPr>
                <w:sz w:val="18"/>
                <w:szCs w:val="18"/>
              </w:rPr>
              <w:t xml:space="preserve">Abstract, Table 10, figure legends</w:t>
            </w:r>
          </w:p>
        </w:tc>
        <w:tc>
          <w:tcPr>
            <w:tcW w:type="dxa" w:w="3300"/>
            <w:tcMar>
              <w:top w:type="dxa" w:w="60"/>
              <w:left w:type="dxa" w:w="80"/>
              <w:bottom w:type="dxa" w:w="60"/>
              <w:right w:type="dxa" w:w="80"/>
            </w:tcMar>
            <w:vAlign w:val="top"/>
          </w:tcPr>
          <w:p>
            <w:pPr>
              <w:spacing w:after="20"/>
            </w:pPr>
            <w:r>
              <w:rPr>
                <w:sz w:val="18"/>
                <w:szCs w:val="18"/>
              </w:rPr>
              <w:t xml:space="preserve">C2 is still called 'seam-suppressed' although Table 9 shows it removes only 39% of excess seam energy at the network input.</w:t>
            </w:r>
          </w:p>
        </w:tc>
        <w:tc>
          <w:tcPr>
            <w:tcW w:type="dxa" w:w="3900"/>
            <w:tcMar>
              <w:top w:type="dxa" w:w="60"/>
              <w:left w:type="dxa" w:w="80"/>
              <w:bottom w:type="dxa" w:w="60"/>
              <w:right w:type="dxa" w:w="80"/>
            </w:tcMar>
            <w:vAlign w:val="top"/>
          </w:tcPr>
          <w:p>
            <w:pPr>
              <w:spacing w:after="20"/>
            </w:pPr>
            <w:r>
              <w:rPr>
                <w:sz w:val="18"/>
                <w:szCs w:val="18"/>
              </w:rPr>
              <w:t xml:space="preserve">Consider 'seam-attenuated' throughout, or define the term once with the 65% / 39% figures.</w:t>
            </w:r>
          </w:p>
        </w:tc>
        <w:tc>
          <w:tcPr>
            <w:tcW w:type="dxa" w:w="600"/>
            <w:shd w:fill="DDEBF7" w:val="clear"/>
            <w:tcMar>
              <w:top w:type="dxa" w:w="60"/>
              <w:left w:type="dxa" w:w="80"/>
              <w:bottom w:type="dxa" w:w="60"/>
              <w:right w:type="dxa" w:w="80"/>
            </w:tcMar>
            <w:vAlign w:val="top"/>
          </w:tcPr>
          <w:p>
            <w:pPr>
              <w:spacing w:after="20"/>
            </w:pPr>
            <w:r>
              <w:rPr>
                <w:b/>
                <w:bCs/>
                <w:sz w:val="18"/>
                <w:szCs w:val="18"/>
              </w:rPr>
              <w:t xml:space="preserve">P3</w:t>
            </w:r>
          </w:p>
        </w:tc>
      </w:tr>
      <w:tr>
        <w:trPr>
          <w:cantSplit/>
        </w:trPr>
        <w:tc>
          <w:tcPr>
            <w:tcW w:type="dxa" w:w="500"/>
            <w:tcMar>
              <w:top w:type="dxa" w:w="60"/>
              <w:left w:type="dxa" w:w="80"/>
              <w:bottom w:type="dxa" w:w="60"/>
              <w:right w:type="dxa" w:w="80"/>
            </w:tcMar>
            <w:vAlign w:val="top"/>
          </w:tcPr>
          <w:p>
            <w:pPr>
              <w:spacing w:after="20"/>
            </w:pPr>
            <w:r>
              <w:rPr>
                <w:sz w:val="18"/>
                <w:szCs w:val="18"/>
              </w:rPr>
              <w:t xml:space="preserve">M8</w:t>
            </w:r>
          </w:p>
        </w:tc>
        <w:tc>
          <w:tcPr>
            <w:tcW w:type="dxa" w:w="1100"/>
            <w:tcMar>
              <w:top w:type="dxa" w:w="60"/>
              <w:left w:type="dxa" w:w="80"/>
              <w:bottom w:type="dxa" w:w="60"/>
              <w:right w:type="dxa" w:w="80"/>
            </w:tcMar>
            <w:vAlign w:val="top"/>
          </w:tcPr>
          <w:p>
            <w:pPr>
              <w:spacing w:after="20"/>
            </w:pPr>
            <w:r>
              <w:rPr>
                <w:sz w:val="18"/>
                <w:szCs w:val="18"/>
              </w:rPr>
              <w:t xml:space="preserve">File</w:t>
            </w:r>
          </w:p>
        </w:tc>
        <w:tc>
          <w:tcPr>
            <w:tcW w:type="dxa" w:w="3300"/>
            <w:tcMar>
              <w:top w:type="dxa" w:w="60"/>
              <w:left w:type="dxa" w:w="80"/>
              <w:bottom w:type="dxa" w:w="60"/>
              <w:right w:type="dxa" w:w="80"/>
            </w:tcMar>
            <w:vAlign w:val="top"/>
          </w:tcPr>
          <w:p>
            <w:pPr>
              <w:spacing w:after="20"/>
            </w:pPr>
            <w:r>
              <w:rPr>
                <w:sz w:val="18"/>
                <w:szCs w:val="18"/>
              </w:rPr>
              <w:t xml:space="preserve">Unused duplicate image embedded in the docx (4.8 MB file).</w:t>
            </w:r>
          </w:p>
        </w:tc>
        <w:tc>
          <w:tcPr>
            <w:tcW w:type="dxa" w:w="3900"/>
            <w:tcMar>
              <w:top w:type="dxa" w:w="60"/>
              <w:left w:type="dxa" w:w="80"/>
              <w:bottom w:type="dxa" w:w="60"/>
              <w:right w:type="dxa" w:w="80"/>
            </w:tcMar>
            <w:vAlign w:val="top"/>
          </w:tcPr>
          <w:p>
            <w:pPr>
              <w:spacing w:after="20"/>
            </w:pPr>
            <w:r>
              <w:rPr>
                <w:sz w:val="18"/>
                <w:szCs w:val="18"/>
              </w:rPr>
              <w:t xml:space="preserve">Delete it.</w:t>
            </w:r>
          </w:p>
        </w:tc>
        <w:tc>
          <w:tcPr>
            <w:tcW w:type="dxa" w:w="600"/>
            <w:shd w:fill="DDEBF7" w:val="clear"/>
            <w:tcMar>
              <w:top w:type="dxa" w:w="60"/>
              <w:left w:type="dxa" w:w="80"/>
              <w:bottom w:type="dxa" w:w="60"/>
              <w:right w:type="dxa" w:w="80"/>
            </w:tcMar>
            <w:vAlign w:val="top"/>
          </w:tcPr>
          <w:p>
            <w:pPr>
              <w:spacing w:after="20"/>
            </w:pPr>
            <w:r>
              <w:rPr>
                <w:b/>
                <w:bCs/>
                <w:sz w:val="18"/>
                <w:szCs w:val="18"/>
              </w:rPr>
              <w:t xml:space="preserve">P3</w:t>
            </w:r>
          </w:p>
        </w:tc>
      </w:tr>
    </w:tbl>
    <w:p>
      <w:pPr>
        <w:pStyle w:val="Heading1"/>
        <w:spacing w:after="120" w:before="280"/>
      </w:pPr>
      <w:r>
        <w:t xml:space="preserve">C. What I checked in v3</w:t>
      </w:r>
    </w:p>
    <w:p>
      <w:pPr>
        <w:pStyle w:val="ListParagraph"/>
        <w:numPr>
          <w:ilvl w:val="0"/>
          <w:numId w:val="1"/>
        </w:numPr>
        <w:spacing w:after="60"/>
      </w:pPr>
      <w:r>
        <w:rPr>
          <w:b/>
          <w:bCs/>
          <w:sz w:val="21"/>
          <w:szCs w:val="21"/>
        </w:rPr>
        <w:t xml:space="preserve">Recomputed:</w:t>
      </w:r>
      <w:r>
        <w:rPr>
          <w:sz w:val="21"/>
          <w:szCs w:val="21"/>
        </w:rPr>
        <w:t xml:space="preserve"> C2 reductions from Table 9 (65.0%, 39.0%, 84.9%, 98.2%). </w:t>
      </w:r>
      <w:r>
        <w:rPr>
          <w:b/>
          <w:bCs/>
          <w:sz w:val="21"/>
          <w:szCs w:val="21"/>
        </w:rPr>
        <w:t xml:space="preserve">Compared:</w:t>
      </w:r>
      <w:r>
        <w:rPr>
          <w:sz w:val="21"/>
          <w:szCs w:val="21"/>
        </w:rPr>
        <w:t xml:space="preserve"> Fig. 5, 7, 8, 9 values with Tables 6, A2, 8, 9; all agree. Abstract numbers, Tables 5-8 and A1-A2 are unchanged from v2, where I had already recomputed Table 6 from the confusion matrices. All 31 references are still cited.</w:t>
      </w:r>
    </w:p>
    <w:p>
      <w:pPr>
        <w:pStyle w:val="ListParagraph"/>
        <w:numPr>
          <w:ilvl w:val="0"/>
          <w:numId w:val="1"/>
        </w:numPr>
        <w:spacing w:after="60"/>
      </w:pPr>
      <w:r>
        <w:rPr>
          <w:b/>
          <w:bCs/>
          <w:sz w:val="21"/>
          <w:szCs w:val="21"/>
        </w:rPr>
        <w:t xml:space="preserve">Diffed v2 against v3:</w:t>
      </w:r>
      <w:r>
        <w:rPr>
          <w:sz w:val="21"/>
          <w:szCs w:val="21"/>
        </w:rPr>
        <w:t xml:space="preserve"> the only text changes are the C2 diagnostics and the paragraphs that cite them, the declarations, the removal of Appendix B, and the Limitations bullets. Title, abstract, introduction, equations and references did not change.</w:t>
      </w:r>
    </w:p>
    <w:p>
      <w:pPr>
        <w:pStyle w:val="ListParagraph"/>
        <w:numPr>
          <w:ilvl w:val="0"/>
          <w:numId w:val="1"/>
        </w:numPr>
        <w:spacing w:after="60"/>
      </w:pPr>
      <w:r>
        <w:rPr>
          <w:b/>
          <w:bCs/>
          <w:sz w:val="21"/>
          <w:szCs w:val="21"/>
        </w:rPr>
        <w:t xml:space="preserve">Not checked:</w:t>
      </w:r>
      <w:r>
        <w:rPr>
          <w:sz w:val="21"/>
          <w:szCs w:val="21"/>
        </w:rPr>
        <w:t xml:space="preserve"> raw prediction files, the GitHub and Zenodo records, the 178-test log, the reference details beyond [12], and any figure content beyond what I viewed (Figs 5-10).</w:t>
      </w:r>
    </w:p>
    <w:p>
      <w:pPr>
        <w:pStyle w:val="Heading1"/>
        <w:spacing w:after="120" w:before="280"/>
      </w:pPr>
      <w:r>
        <w:t xml:space="preserve">D. Order of work</w:t>
      </w:r>
    </w:p>
    <w:p>
      <w:pPr>
        <w:pStyle w:val="ListParagraph"/>
        <w:numPr>
          <w:ilvl w:val="0"/>
          <w:numId w:val="1"/>
        </w:numPr>
        <w:spacing w:after="60"/>
      </w:pPr>
      <w:r>
        <w:rPr>
          <w:sz w:val="21"/>
          <w:szCs w:val="21"/>
        </w:rPr>
        <w:t xml:space="preserve">Regenerate Figs 5-10 from the existing outputs with paper labels, all 27 contrasts, the three-panel Fig. 10, and zero-based axes (M1-M5).</w:t>
      </w:r>
    </w:p>
    <w:p>
      <w:pPr>
        <w:pStyle w:val="ListParagraph"/>
        <w:numPr>
          <w:ilvl w:val="0"/>
          <w:numId w:val="1"/>
        </w:numPr>
        <w:spacing w:after="60"/>
      </w:pPr>
      <w:r>
        <w:rPr>
          <w:sz w:val="21"/>
          <w:szCs w:val="21"/>
        </w:rPr>
        <w:t xml:space="preserve">Add the Generative-AI statement; fix Eq. 13; settle the title; update the abstract sentence; fix the introduction citation; make 0.17 consistent; fix ref. [25] and the author names and e-mail (N6, N8-N12, N15).</w:t>
      </w:r>
    </w:p>
    <w:p>
      <w:pPr>
        <w:pStyle w:val="ListParagraph"/>
        <w:numPr>
          <w:ilvl w:val="0"/>
          <w:numId w:val="1"/>
        </w:numPr>
        <w:spacing w:after="60"/>
      </w:pPr>
      <w:r>
        <w:rPr>
          <w:sz w:val="21"/>
          <w:szCs w:val="21"/>
        </w:rPr>
        <w:t xml:space="preserve">Remove the repository-history sentences and the internal path (M6); renumber Algorithm 1; name the dataset licence; consider adding the two related papers (N14, N17, N18).</w:t>
      </w:r>
    </w:p>
    <w:p>
      <w:pPr>
        <w:pStyle w:val="ListParagraph"/>
        <w:numPr>
          <w:ilvl w:val="0"/>
          <w:numId w:val="1"/>
        </w:numPr>
        <w:spacing w:after="60"/>
      </w:pPr>
      <w:r>
        <w:rPr>
          <w:sz w:val="21"/>
          <w:szCs w:val="21"/>
        </w:rPr>
        <w:t xml:space="preserve">Then rerun my consistency check on the final file and have both authors read the PDF end to end.</w:t>
      </w:r>
    </w:p>
    <w:sectPr>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2026-10-26T09:14:07.856Z</dcterms:created>
  <dcterms:modified xsi:type="dcterms:W3CDTF">2026-10-26T09:14:07.856Z</dcterms:modified>
</cp:coreProperties>
</file>

<file path=docProps/custom.xml><?xml version="1.0" encoding="utf-8"?>
<Properties xmlns="http://schemas.openxmlformats.org/officeDocument/2006/custom-properties" xmlns:vt="http://schemas.openxmlformats.org/officeDocument/2006/docPropsVTypes"/>
</file>