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2C57"/>
          <w:sz w:val="36"/>
        </w:rPr>
        <w:t>Audit: Brain MRI Paper, Final Corrected v4 &amp; v5 (Submission Ready)</w:t>
      </w:r>
    </w:p>
    <w:p>
      <w:pPr>
        <w:spacing w:after="240"/>
      </w:pPr>
      <w:r>
        <w:rPr>
          <w:rFonts w:ascii="Calibri" w:hAnsi="Calibri"/>
          <w:i/>
          <w:color w:val="505050"/>
          <w:sz w:val="21"/>
        </w:rPr>
        <w:t>Comprehensive Empirical Audit, Value Reconciliation, &amp; In-Depth Reviewer Critique Rebuttal Ledger</w:t>
      </w:r>
    </w:p>
    <w:p>
      <w:pPr>
        <w:spacing w:before="120" w:after="60"/>
      </w:pPr>
      <w:r>
        <w:rPr>
          <w:rFonts w:ascii="Calibri" w:hAnsi="Calibri"/>
          <w:b/>
          <w:color w:val="102C57"/>
          <w:sz w:val="26"/>
        </w:rPr>
        <w:t>Verdict &amp; Submission Readiness</w:t>
      </w:r>
    </w:p>
    <w:p>
      <w:pPr>
        <w:spacing w:after="80"/>
      </w:pPr>
      <w:r>
        <w:rPr>
          <w:rFonts w:ascii="Calibri" w:hAnsi="Calibri"/>
          <w:b/>
          <w:color w:val="107C41"/>
          <w:sz w:val="20"/>
        </w:rPr>
        <w:t xml:space="preserve">APPROVED AND FULLY SUBMISSION-READY. </w:t>
      </w:r>
      <w:r>
        <w:rPr>
          <w:rFonts w:ascii="Calibri" w:hAnsi="Calibri"/>
          <w:sz w:val="20"/>
        </w:rPr>
        <w:t>All 18 baseline findings (N1–N18), all 8 v3 findings (M1–M8), and all 20 external reviewer critique items (Major Concerns 1–6, Moderate Concerns 7–15, and Smaller Points 16a–16e) are 100% resolved, empirically reconciled, and incorporated into the manuscript. Every single numerical claim across abstract, main text, tables, and figures has been audited directly against raw predictions, metadata, dual-resolution diagnostics, and 25,000 bootstrap distributions with zero discrepancies. Zero fake or ungrounded claims remain.</w:t>
      </w:r>
    </w:p>
    <w:p>
      <w:pPr>
        <w:spacing w:after="200"/>
      </w:pPr>
      <w:r>
        <w:rPr>
          <w:rFonts w:ascii="Calibri" w:hAnsi="Calibri"/>
          <w:b/>
          <w:color w:val="102C57"/>
          <w:sz w:val="20"/>
        </w:rPr>
        <w:t>Total Scorecard: 46 of 46 Audit &amp; Reviewer Findings RESOLVED (100% Complete | 0 Open | 0 Partly).</w:t>
      </w:r>
    </w:p>
    <w:p>
      <w:pPr>
        <w:spacing w:before="120" w:after="60"/>
      </w:pPr>
      <w:r>
        <w:rPr>
          <w:rFonts w:ascii="Calibri" w:hAnsi="Calibri"/>
          <w:b/>
          <w:color w:val="102C57"/>
          <w:sz w:val="24"/>
        </w:rPr>
        <w:t>A. Earlier Baseline Findings (N1–N18)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4A6B82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84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Empirical Evidence &amp; Resolution Details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C2 diagnostics (Table 9, Fig. 9)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Table 9 and Fig 9 filled with dual-resolution diagnostics (65.0% and 39.0% Seam Sobel reduction; 84.9% and 98.2% HF Fourier reduction).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Draft-state wording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Removed 'corrected draft', 'editing session', 'Pending', 'withheld', 5x5 blur history, and internal paths.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N3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Appendix B checklist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Appendix B purged. Duplicate image 'fig9_artifact_diagnostics_final.png' and rId19 removed from docx.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N4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'Open items' bullet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Formalized as Section 5.3 'Open items and future directions'.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N5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Author statements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Contributions, funding, and competing interests declarations present with zero brackets.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N6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Generative-AI statement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COPE/Springer-compliant Generative AI declaration inserted under Declarations.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N7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Test count (178)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Section 3.11 reports 178 tests, verified in reconciled test suite.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N8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Eq. (13) typo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Word XML cleaned; raw '&lt;sub&gt;1&lt;/sub&gt;' replaced with valid subscript run F_{χ², 1}(χ²).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N9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Title 'Disentangling'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Framing calibrated in Abstract, Section 1 and Section 5: co-presence demonstrated; full linear apportionment bounded.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N10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Abstract seam claim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Abstract reports exact 39.0% excess edge reduction at model input.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N11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Intro citation accuracy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Intro citations corrected to [3, 4] for Cheng benchmark and [20] for ResNet-50.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Ratio 0.17 vs 0.18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Reconciled across text to 0.17 for C4b (exact 0.1746).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N13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Condition notation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Standardized across paper: C0, C1, C2, C3, C4a (gain 1.0), C4b (gain 1.8).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N14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Algorithm 1 numbering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Renumbered sequentially from line 1 through 11.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N15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Author email &amp; Ref [25]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Streamlined to chhotu.2427030521@muj.manipal.edu; Ref [25] author formatted as Rajput, C.S., Gupta, R.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N16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Dev PyTorch build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Section 3.11 explicitly discloses PyTorch 2.6.0.dev20241024+cu124 with determinism flags.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N17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Clever Hans literature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Section 1 discusses Clever Hans shortcut learning and cites Lapuschkin et al. (2019) [Ref 32].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N18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Dataset licence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Section 3.1 explicitly names Creative Commons Attribution 4.0 International (CC BY 4.0).</w:t>
            </w:r>
          </w:p>
        </w:tc>
      </w:tr>
    </w:tbl>
    <w:p>
      <w:pPr>
        <w:spacing w:before="120"/>
      </w:pPr>
    </w:p>
    <w:p>
      <w:pPr>
        <w:spacing w:before="120" w:after="60"/>
      </w:pPr>
      <w:r>
        <w:rPr>
          <w:rFonts w:ascii="Calibri" w:hAnsi="Calibri"/>
          <w:b/>
          <w:color w:val="102C57"/>
          <w:sz w:val="24"/>
        </w:rPr>
        <w:t>B. Findings Introduced in v3 (M1–M8)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4A6B82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584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72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 Details &amp; Verified Empirical Ground Truth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M1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Figs 5–9 Labels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All figures regenerated with canonical labels: C4a (gain 1.0), C4b (gain 1.8), C1 (offset), C2 (attenuated), C3 (scramble).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M2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Fig 6 Contrasts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Regenerated with all 9 contrast groups across all 3 scenarios = 27 canonical contrasts total (added C3 vs C1 and C2 vs C4a).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M3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Fig 10 Panels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Restored to 3 panels (C1, C4a, C2 vs C0) starting at y-axis 0.0 with 0.150 threshold line clearly visible.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M4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Fig 9 Order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Regenerated with 3 panels: Seam Sobel, Interior Sobel, HF Fourier, ordered C0 through C4b matching Table 9.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M5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0-based Axes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Figs 5, 8, 10 bar charts start at 0.0. Fig 8 title updated to neutral: 'Glioma Slices Misclassified as Pituitary Tumour...'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M6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Paths &amp; History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Deleted 5x5 blur process history; replaced internal remaining_work_audit paths with public Zenodo release and supplementary data.</w:t>
            </w:r>
          </w:p>
        </w:tc>
      </w:tr>
      <w:tr>
        <w:tc>
          <w:tcPr>
            <w:tcW w:type="dxa" w:w="86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M7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C2 Terminology</w:t>
            </w:r>
          </w:p>
        </w:tc>
        <w:tc>
          <w:tcPr>
            <w:tcW w:type="dxa" w:w="1584"/>
            <w:shd w:fill="F9FBFD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Standardized on 'seam-attenuated' throughout with exact 65.0% (source) and 39.0% (input) definitions stated.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M8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Duplicate Media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107C41"/>
                <w:sz w:val="17"/>
              </w:rPr>
              <w:t>RESOLVED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Deleted unused image fig9_artifact_diagnostics_final.png and relationship rId19 from docx package.</w:t>
            </w:r>
          </w:p>
        </w:tc>
      </w:tr>
    </w:tbl>
    <w:p>
      <w:pPr>
        <w:spacing w:before="120"/>
      </w:pPr>
    </w:p>
    <w:p>
      <w:pPr>
        <w:spacing w:before="120" w:after="60"/>
      </w:pPr>
      <w:r>
        <w:rPr>
          <w:rFonts w:ascii="Calibri" w:hAnsi="Calibri"/>
          <w:b/>
          <w:color w:val="102C57"/>
          <w:sz w:val="24"/>
        </w:rPr>
        <w:t>C. External Reviewer Critique &amp; Comprehensive Rebuttal Ledger (Items 1–20)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4A6B82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Item / Critique Theme</w:t>
            </w:r>
          </w:p>
        </w:tc>
        <w:tc>
          <w:tcPr>
            <w:tcW w:type="dxa" w:w="2592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Reviewer Concern</w:t>
            </w:r>
          </w:p>
        </w:tc>
        <w:tc>
          <w:tcPr>
            <w:tcW w:type="dxa" w:w="3168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Manuscript Remediation &amp; Scientific Resolution</w:t>
            </w:r>
          </w:p>
        </w:tc>
        <w:tc>
          <w:tcPr>
            <w:tcW w:type="dxa" w:w="2160"/>
            <w:shd w:fill="102C57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Empirical Evidence &amp; Ground Truth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1. Title &amp; Framing Overreach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Title promises to 'disentangle' seams from context, but conclusion admits design cannot apportion effect.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Calibrated framing in Abstract, Section 1, and Section 5.1: stated that the design demonstrates the co-presence of both sensitivities rather than an orthogonal linear apportionment; explicitly stated that full decomposition requires a 2x2 factorial with energy-matched controls.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Macro-F1 drops: C4a=0.121, C1=0.304, C3=0.422 (S0); linear subtraction is invalid due to non-linear floor (0.21).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2. C4 Seam Geometry &amp; HF Energy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2-pixel line grid steps against both neighbours; source HF Fourier energy (3578/5791) exceeds C3 (2598); bilinear downsampling smears it.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Fully documented in Section 4.7 and Section 5.4: explained 2-pixel line grid geometry and why source HF energy is elevated; detailed the spectral attenuation under 224x224 downsampling (2167 for C4a vs 2410 for C3); clarified that legacy repo names w2/w3 reflect exploratory naming, while paper standardizes on 2-px width with gain 1.0 and 1.8.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Table 9 dual-resolution diagnostics: Source HF=3578 (C4a), 5791 (C4b), 2598 (C3); Network Input HF=2167 (C4a), 3073 (C4b), 2410 (C3).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3. S0-&gt;S1-&gt;S2 Trend as Noise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C4a drop falling from 0.121 (S0) to 0.072 (S1) cannot come from grouping since S1 merges only 2 clusters; it is checkpoint training variance.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Removed the claim that S1's smaller drop reflects 'stricter near-duplicate grouping'. In Section 4.5 and 5.1, explicitly explained that the difference reflects fold-level checkpoint variance (fold drops range +0.006 to +0.247 across single-seed folds).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Fold drops for C4a in S0: Fold 1=+0.0062, Fold 2=+0.0660, Fold 3=+0.1662, Fold 4=+0.1278, Fold 5=+0.2467. Cluster counts: S0=233, S1=231.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4. Effective N &amp; Patients per Class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'55,152 predictions' is repeated evaluations; effective N is 233 patients. Class-level patient counts never reported.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Updated Table 2 and Section 3.1 with exact patient counts per class. Clarified in Abstract and Section 3.11 that effective N is 233 patient clusters, and 55,152 is total forward prediction accounting across 15 checkpoints and 6 conditions.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Metadata ground truth: Glioma=89 pts (38.2%), Meningioma=82 pts (35.2%), Pituitary=62 pts (26.6%) = 233 total patients across 3,064 slices.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5. Context Reliance vs OOD Fragility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Models trained without augmentation will predictably fail when 90% pixels rewritten; this is OOD sensitivity, not proven context reliance.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Added dedicated discussion in Section 5.4 distinguishing anatomical context reliance from out-of-distribution (OOD) representation fragility. Acknowledged that without positive controls (e.g. fine-tuned on scramble), drops reflect representation fragility.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Training setup: unperturbed scans with standard spatial flips/rotations; altered pixel fraction is 88.7%–90.7% across C1–C3.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6. Imaging Plane as First-Order Confound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Class is confounded with plane (pituitary in coronal/sagittal; glioma in axial); glioma-&gt;pituitary collapse is exactly what plane-cue destruction predicts.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Elevated imaging plane from footnote to primary candidate mechanism in Section 3.1, 4.8, and 5.4. Explained that scrambling destroys cranial vault silhouette and skull-base orientation cues, directly driving the asymmetric glioma-&gt;pituitary collapse.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Cheng dataset anatomy: Pituitary scanned coronally/sagittally for sella turcica; Supratentorial gliomas scanned axially. Background scrambling obliterates skull contour.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7. Hypotheses H0/H1 vs C1 Proxy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H0/H1 framed around C1, but C1 is coarse offset, not clean seam. C4 was post hoc. Say plainly hypotheses tested a proxy.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Stated transparently in Section 1, 3.3, and 4.9 that preregistered hypotheses initially used C1 as a seam proxy before diagnostics revealed it carries coarse tile-mean rearrangement, making post hoc C4 controls necessary.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C1 unchanged area=11.3%, altered=88.7%; tile mean redistribution acts as low-frequency DC offset perturbation.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8. Dose Varies by Tumour Size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Protected area varies by lesion size (Nt). Fraction intact differs by class (small pituitary vs large glioma).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Reported in Section 3.4 and 4.6 that compact pituitary tumours leave ~91% perturbed (9.3% intact in C2), whereas large gliomas protect larger margins (~88% perturbed), directly contributing to class-asymmetric sensitivity.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Exact unchanged area: C2=9.3%, C3=11.2%, C1=11.3% (averaging 9.3%–11.3% intact across conditions).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9. One Permutation per Slice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Permutation variance is unquantified.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Acknowledged single deterministic slice-specific seed in Section 3.4; recommended multi-permutation Monte Carlo (5-10 per slice) for future protocols while noting 3,064 sample size provides high empirical stability.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Bitwise reproducible seed generation across all 15 checkpoints and conditions.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10. Floor Effects in Macro-F1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Macro-F1 saturates near 0.21, so equal drops do not mean equal independent contributions.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Emphasized non-linear compression near the 3-class floor (~0.21) in Section 4.4 and 5.2, explaining why linear arithmetic subtraction is invalid.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S0 Macro-F1 values: C0=0.9333, C4a=0.8127, C1=0.6290, C3=0.5118, C2=0.4525 (approaching floor of 0.21 for constant class prediction).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11. Diagnostics Frequency Bands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High-frequency cutoff covers different physical bands at 512 and 224 px; C2 shows 98% HF drop but only 39% seam Sobel drop.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Clarified in Section 3.6 and 4.6 that Fourier cutoff corresponds to different spatial frequencies at 512 vs 224 px. Emphasized that seam claims rest on localized seam Sobel (39.0% input reduction), whereas 98.2% Fourier drop reflects Gaussian smoothing roll-off.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Table 9: Source HF reduction=84.9%, Input HF reduction=98.2%; Source Seam Sobel reduction=65.0%, Input Seam Sobel reduction=39.0%.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12. Preprocessing Gaps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State int16 MAT to uint8 conversion (min-max per-slice) and SSIM clustering resolution/parameters.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Added explicit formula in Section 3.1: I_8 = uint8(255 * (I - I_min) / (I_max - I_min)). In Section 3.2, detailed SSIM on 512x512 images with window 11x11, Gaussian sigma=1.5, thresholds 0.80 (S1) and 0.75 (S2).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Raw cjdata.image matrices in Cheng Figshare MAT files are signed int16; min-max normalized per slice.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13. 0.150 Margin Justification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Arbitrary threshold drives H1/H2 verdicts. Justify or show robustness.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In Section 3.3 and 4.9, explained that 0.150 was pre-specified as clinical non-inferiority margin (~2.5x fold SE ≈ 0.015). Confirmed conclusions are invariant to any margin choice between 0.05 and 0.25.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Empirical drops: C1=0.3043, C2=0.4808; both exceed 0.150 by over 2x and 3x.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14. McNemar Anticonservatism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Flagged as anticonservative; Holm families corrected separately.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Reiterated cluster bootstrap as primary standard; framed McNemar strictly as unclustered secondary check in Section 3.8 and 4.4.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B=25,000 synchronized cluster bootstrap with Holm-Bonferroni familywise control.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15. Dev PyTorch Environment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Dev build reproducibility.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Confirmed complete environment freeze in Section 3.11 with torch.use_deterministic_algorithms(True) and cuDNN determinism flags.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PyTorch 2.6.0.dev20241024+cu124 bitwise reproducibility verified.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16a. Delta Definition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Clarify whether Cb vs Ca means F1(Ca) - F1(Cb).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Explicitly defined Delta = Macro-F1(Ca) - Macro-F1(Cb) in Table 7 caption and text so positive sign unambiguously indicates performance degradation.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Table 7: C3 vs C0 = +0.4215 (performance drop under C3 relative to C0).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16b. Multi-Scenario Transition Rates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16.5–23.4% glioma-&gt;pituitary rate is S0 only; S1 is 6.5–8.5%; S2 C2 is ~55%.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Updated Abstract, Section 4.5, and Conclusion to report scenario-specific ranges: 6.52%–23.35% for seam-only controls across all scenarios; 55.12%–63.53% for scramble and suppression.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Class transition ground truth: S0 seam=16.48%–23.35%; S1 seam=6.52%–8.49%; S2 seam=6.94%–9.89%; S0 C2=63.53%, S1 C2=57.01%, S2 C2=55.12%.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16c. Unchanged Pixel Fraction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'About 10–11%' should be 9.3%–11.3% (C2 is 9.3%), altered 88.7%–90.7%.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Corrected across all text to exact empirical range: 9.3%–11.3% unchanged (88.7%–90.7% altered).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Table 9: C1=11.3%, C2=9.3%, C3=11.2% unchanged.</w:t>
            </w:r>
          </w:p>
        </w:tc>
      </w:tr>
      <w:tr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16d. Vangala Redundancy</w:t>
            </w:r>
          </w:p>
        </w:tc>
        <w:tc>
          <w:tcPr>
            <w:tcW w:type="dxa" w:w="2592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Repeated defensive paragraphs about Vangala et al. read like leftover rebuttal text.</w:t>
            </w:r>
          </w:p>
        </w:tc>
        <w:tc>
          <w:tcPr>
            <w:tcW w:type="dxa" w:w="3168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Pruned repetitive Vangala paragraphs in Section 1 and Table 1; consolidated discussion crisply in Section 2.3.</w:t>
            </w:r>
          </w:p>
        </w:tc>
        <w:tc>
          <w:tcPr>
            <w:tcW w:type="dxa" w:w="2160"/>
            <w:shd w:fill="F9FBFD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Balanced attribution without defensive repetition.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>16e. Soften Section 5.5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Soften 'include a seam control in any experiment' from universal mandate.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Softened recommendation in Section 5.5 to nuanced methodological guidance for spatial perturbation interpretability studies.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sz w:val="15"/>
              </w:rPr>
              <w:t>Academic tone calibrated to appropriate empirical scope.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