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t>Tile scrambling is widely used as an interpretability probe for spatial-context reliance, but it inherently introduces artificial boundary seams that can confound performance evaluation. We examine this on the Cheng Figshare cohort (233 patients across three classes; 3,064 slices) using 15 frozen ResNet-50 checkpoints across three evaluation scenarios and six input conditions: baseline (C0), tile-mean-offset (C1), seam-attenuated permutation (C2), raw scramble (C3) and two seam-only controls (C4a, C4b) that perturb only two pixels flanking each seam. Tumour core and a 15-pixel margin were strictly preserved. Over 55,152 forward predictions evaluated on 233 independent patient clusters with paired cluster-bootstrap inference (B = 25,000) and Holm–Bonferroni control, patient-disjoint Macro-F1 fell from 0.9333 (C0) to 0.8127 (C4a) and 0.7811 (C4b), 0.6290 (C1), 0.5118 (C3) and 0.4525 (C2) in S0. Seam steps alone reliably degrade performance, but the decline varies across checkpoints and is much smaller than under scrambling; partial seam attenuation (39.0% excess boundary reduction at input) does not restore accuracy. Misclassifications show an asymmetric collapse: glioma slices were disproportionately labelled pituitary tumour under perturbation (0.1% baseline; 6.5–23.4% under seam steps; 55–64% under scrambling or suppression across scenarios), consistent with loss of orientation and cranial-contour priors. These results demonstrate the co-presence of both boundary-artifact sensitivity and distant-content sensitivity, but caution that complete linear apportionment requires full 2×2 factorial designs with energy-matched controls, as tumour class is partially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benchmarks [3, 4], frequently employing deep convolutional neural network (CNN) backbones such as ResNet-50 [20].</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(the “Clever Hans” effect [5, 32])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t>The hypotheses were formulated in the phased research protocol before model execution: H0, the C1 perturbation accounts for the entire scrambling decline (i.e. C3 is not worse than C1); H1, the C1 perturbation alone degrades performance; H2, the seam-suppressed rearrangement degrades performance by more than a pre-specified clinical margin of 0.150 Macro-F1 (approximately 2.5 times the fold-level standard error, SE ≈ 0.015); H3, a mixed outcome where H1 and H2 are both supported. Importantly, H0 and H1 were originally framed around C1 as a proxy for boundary artifacts; subsequent diagnostic measurements revealed that C1 carries coarse tile-mean rearrangement, making the post hoc C4a and C4b interventions essential to isolate clean boundary steps. Section 4.9 provides verdicts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t>Experiments use the public Cheng brain-tumour dataset (Figshare article 1512427, DOI 10.6084/m9.figshare.1512427) [3, 4]: 3,064 two-dimensional T1-weighted contrast-enhanced slices acquired between 2005 and 2010 at Nanfang Hospital (Guangzhou) and General Hospital, Tianjin Medical University. Original raw MATLAB v7.3 .mat files containing 16-bit signed integer pixel matrices (cjdata.image) were converted to 8-bit unsigned integer arrays via deterministic per-slice min-max normalization: I_8 = uint8(255 * (I - I_min) / (I_max - I_min)). Paired binary tumour masks (cjdata.tumorMask) were verified for strict binary integrity ({0, 1}), and tumour border coordinates and patient identifiers (PID) were extracted. The 233 unique patient identifiers comprise 89 glioma (38.2%), 82 meningioma (35.2%), and 62 pituitary tumour (26.6%) patients (Table 2).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Patients (%)</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Slices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before="40" w:after="40"/>
            </w:pPr>
            <w:r>
              <w:rPr>
                <w:rFonts w:ascii="Calibri" w:hAnsi="Calibri"/>
                <w:sz w:val="17"/>
              </w:rPr>
              <w:t>Typical Anatomical Location &amp; Acquisition Views</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82 (35.19%)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708 (23.11%)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Dural-based, extra-axial (parasagittal, convexity); primarily axial &amp; coronal views</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89 (38.20%)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1,426 (46.54%)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40" w:after="40"/>
            </w:pPr>
            <w:r>
              <w:rPr>
                <w:rFonts w:ascii="Calibri" w:hAnsi="Calibri"/>
                <w:sz w:val="17"/>
              </w:rPr>
              <w:t>Intra-axial cerebral/cerebellar parenchyma; predominantly axial views</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62 (26.61%)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930 (30.35%)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before="40" w:after="40"/>
            </w:pPr>
            <w:r>
              <w:rPr>
                <w:rFonts w:ascii="Calibri" w:hAnsi="Calibri"/>
                <w:sz w:val="17"/>
              </w:rPr>
              <w:t>Sella turcica &amp; skull base; predominantly coronal &amp; sagittal views</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(100.0%)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3,064 (100.0%)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before="40" w:after="40"/>
            </w:pPr>
            <w:r>
              <w:rPr>
                <w:rFonts w:ascii="Calibri" w:hAnsi="Calibri"/>
                <w:sz w:val="17"/>
              </w:rPr>
              <w:t>233 unique patient clusters (mean 13.2 slices/patient)</w:t>
            </w:r>
          </w:p>
        </w:tc>
      </w:tr>
    </w:tbl>
    <w:p>
      <w:pPr>
        <w:spacing w:after="100" w:before="100" w:line="264"/>
        <w:jc w:val="both"/>
      </w:pPr>
      <w:r>
        <w:t>The example slices in Fig. 2 have visual appearances consistent with different viewing orientations. Clinical MRI protocols routinely acquire pituitary tumours in coronal and sagittal planes to evaluate the sella turcica, pituitary stalk, and optic chiasm, whereas supratentorial gliomas are predominantly imaged in axial planes. Because the source Cheng MAT files lack embedded acquisition-plane headers or orientation matrices, tumour class and imaging plane are partially confounded. Distant background permutations obliterate cranial-vault silhouettes, orbital landmarks, and skull-base contours that provide strong orientation cues. Imaging plane was not recorded as an explicit stratification variable in the original repository, representing a first-order anatomical confound that directly informs the directional error collapse documented below. The repository also lacks full acquisition parameters (field strength, TR, TE, slice thickness), precluding scanner-level stratification.</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t>Three five-fold scenarios were evaluated to examine sensitivity to leakage control and patient grouping. Candidate near-duplicate grouping was performed on full-resolution 512×512 images using structural similarity (SSIM, window size 11×11, Gaussian weighting sigma = 1.5). S0 groups slices strictly by patient identifier (233 clusters), so no patient appears in both training and held-out folds. S1 additionally merges patient clusters that contain slice pairs with structural similarity SSIM &gt;= 0.80 [21], resulting in 231 clusters (a merge of only two patient clusters relative to S0). S2 applies a broader threshold SSIM &gt;= 0.75, yielding 217 clusters. Merging is performed over connected components of the similarity graph. Because S1 merges only two clusters, differences in fold sizes and performance drops between S0 and S1 reflect fold-level checkpoint training variance rather than grouping stringency (Table 3).</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χ²,1</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t>The aggregate performance drop conceals a pronounced directional error structure (Table 8, Fig. 7, Fig. 8). In S0, the proportion of the 1,426 glioma slices misclassified as pituitary tumour rises from 0.14% (C0) to 16.48% (C4a) and 23.35% (C4b), escalating to 31.28% (C1), 56.45% (C3), and 63.53% (C2). Across all three evaluation scenarios, seam-only misclassification spans 6.52%–23.35% (6.52% in S1, 6.94% in S2 for C4a; 8.49% in S1, 9.89% in S2 for C4b), while scrambling and suppression induce 55.12%–63.53% misclassification (57.01% in S1, 55.12% in S2 for C2; 60.66% in S1, 57.29% in S2 for C3). Glioma recall drops from 0.950 at baseline to 0.806 (C4a), 0.747 (C4b), 0.425 (C1), 0.183 (C3), and 0.086 (C2) in S0. Conversely, pituitary slices labelled glioma remain near zero across all conditions (0.0% under C2 and 0.9% under C3), demonstrating that distant scrambling systematically pushes predictions toward the pituitary prior.</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t>Table 9 and Fig. 9 report image diagnostics computed across all 3,064 slices using the evaluated C2 operator (9 × 9 Gaussian, σ = 2.5, distance-weighted blend, w = 4 px). Evaluation with this matching operator reveals resolution-dependent attenuation. At source resolution (512 × 512), C2 achieves 65.0% excess Sobel seam reduction (81.5 vs 174.4, baseline 31.5) and 84.9% excess high-frequency Fourier energy reduction (715.4 vs 2598.4, baseline 379.8) relative to C3. However, on the 224 × 224 network input, excess seam Sobel reduction is more moderate at 39.0% (132.0 vs 183.7, baseline 51.0), while high-frequency Fourier reduction remains strong at 98.2% (1079.6 vs 2410.1, baseline 1055.9). Because the CNN operates on the 224 × 224 resized input, the persistence of 61.0% residual excess seam discontinuity indicates that C2 attenuates but does not fully eliminate artificial boundary steps before classification. Complete per-image and aggregate dual-resolution tables are archived in the supplementary materials and the project Zenodo release.</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t>Fig. 9.  Image diagnostics of all six conditions at source resolution (512×512) and model input resolution (224×224). Seam Sobel energy, interior energy and high-frequency Fourier energy for C0–C3, C4a and C4b. Diagnostics computed across all 3,064 slices using the evaluated C2 operator (9×9 Gaussian, σ = 2.5, distance-weighted blend, w = 4 px; scripts/run_dual_resolution_diagnostics.py). C2 seam suppression achieves 65.0% excess Sobel reduction and 84.9% excess Fourier energy reduction at source resolution, and 39.0% excess Sobel reduction and 98.2% Fourier energy reduction on the 224×224 model input.</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t>The seam-suppressed permutation did not recover performance (C3 vs C2 is inconsistent in sign across scenarios); although C2 reduces seam step discontinuities (by 65.0% at source resolution and 39.0% at 224 × 224 model input resolution, Table 9), substantial residual boundary edge energy remains at the network input alongside new blending artifacts.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t>The study asked whether a performance drop under distant-context scrambling can be attributed to synthetic seams introduced by the intervention, to rearrangement of distant context, or to both. Four observations bear on this. (i) A seam-only perturbation modifying only the two pixels flanking each seam reliably lowers Macro-F1 across all scenarios (by 0.05–0.12 at gain 1.0 and 0.07–0.15 at gain 1.8), establishing that boundary discontinuities alone suffice to degrade frozen checkpoints. (ii) The magnitude of this drop varies substantially between checkpoints and folds (ranging from +0.006 to +0.247 across single-seed folds in S0), indicating that the apparent decline between S0 and S1 reflects training and fold-level variance rather than near-duplicate grouping stringency (as S1 merges only two patient clusters). (iii) The tile-mean-offset control (C1), raw scramble (C3) and seam-attenuated permutation (C2) produce drops of 0.29–0.48 Macro-F1, substantially exceeding the seam-only drop, and C3 is reliably worse than C1. (iv) Seam attenuation (39.0% excess boundary reduction at model input) did not recover performance. Together, these observations demonstrate the co-presence of both boundary-artifact sensitivity and distant-content sensitivity, while demonstrating that complete mathematical apportionment requires a full 2×2 factorial design with energy-matched controls.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0.17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t>Why C2 is not better than C3 is open. Possible reasons include residual discontinuity (on the 224 × 224 network input, C2 excess seam Sobel reduction is only 39.0%, so noticeable step discontinuities persist; Table 9), the new artefact of blurred bands and reduced within-tile contrast, and the fact that the permutation is identical in C2 and C3,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t>Acquisition plane as a first-order confound. The Cheng Figshare cohort pools axial, coronal, and sagittal scans without embedded plane metadata. Slices with pituitary tumours are predominantly acquired in coronal and sagittal orientations to capture sellar anatomy, whereas gliomas are primarily imaged axially. Scrambling the distant anatomy destroys skull-vault geometry, orbital landmarks, and cranial orientation cues that implicitly encode scan orientation. The directional collapse of glioma slices into pituitary tumour under scrambling and seam attenuation (rising from 0.1% to 55–64% across scenarios) is exactly what the loss of plane-specific anatomical priors predicts. Establishing true lesion-context reliance versus orientation-cue destruction requires plane-stratified controls or tumour-only baselines.</w:t>
      </w:r>
    </w:p>
    <w:p>
      <w:pPr>
        <w:pStyle w:val="ListParagraph"/>
        <w:numPr>
          <w:ilvl w:val="0"/>
          <w:numId w:val="4"/>
        </w:numPr>
        <w:spacing w:after="60" w:line="264"/>
        <w:jc w:val="both"/>
      </w:pPr>
      <w:r>
        <w:t>Scale of interventions and OOD representation fragility. C1, C2, and C3 alter 88.7%–90.7% of image pixels (leaving 9.3%–11.3% intact). Because the ResNet-50 checkpoints were trained on unperturbed images using standard spatial flips and rotations, rewriting ~90% of pixels presents an extreme out-of-distribution (OOD) shift. The resulting accuracy decline may reflect representation fragility to unnatural image statistics rather than loss of clinically meaningful anatomical context. Furthermore, C4 perturbs a 2-pixel band flanking tile boundaries while leaving tile interiors unchanged, producing a thin line grid whose source high-frequency Fourier energy (3578 and 5791) exceeds that of C3 (2598). Bilinear resizing to 224×224 partially attenuates this thin boundary feature (reducing input HF energy to 2167 and 3073). Finally, perturbation dose varies systematically with tumour size: compact pituitary tumours leave ~91% of the background perturbed, whereas large gliomas protect larger contiguous margins (~88% perturbed), contributing to class-asymmetric sensitivity.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t>For researchers designing spatial perturbation experiments as interpretability probes, these findings highlight three methodological recommendations. First, boundary-localized artifact controls should be routinely tested alongside scramble interventions to establish whether performance declines arise from artificial seam discontinuities. Second, dual-resolution diagnostics (quantifying boundary gradients and spectral energy at both source and network-input resolutions) should accompany accuracy metrics. Third, performance drops should not be conflated with anatomical context reliance without testing for out-of-distribution fragility, positive controls (e.g. models fine-tuned on scrambled inputs), and potential acquisition-plane confounds.</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t>Diagnostics and dual-resolution attenuation. The dual-resolution diagnostics reported in Table 9 were recalculated across all 3,064 slices using the matching evaluated C2 operator (archived in the project Zenodo release and supplementary data). While seam Sobel attenuation reaches 65.0% at source resolution, it drops to 39.0% on the 224 × 224 network input, indicating that bilinear downsampling preserves substantial boundary step energy at the classifier input. Furthermore, the interior Sobel statistic is affected by the Sobel footprint at the interior boundary, and the unmodified block surrounding the protected zone is not smoothed at its junction with permuted context.</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t>Open items and future directions. While C2 dual-resolution diagnostics have been reconciled across all 3,064 slices with the evaluated operator, key methodological extensions remain for future work: plane-stratified analysis to disentangle tumour class from acquisition plane, dose–response seam controls with energy matching, multi-seed checkpoint retraining, and independent multi-center external validation.</w:t>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Generative AI and AI-assisted technologies.</w:t>
      </w:r>
      <w:r>
        <w:rPr>
          <w:rFonts w:ascii="Times New Roman" w:cs="Times New Roman" w:eastAsia="Times New Roman" w:hAnsi="Times New Roman"/>
          <w:sz w:val="22"/>
          <w:szCs w:val="22"/>
        </w:rPr>
        <w:t xml:space="preserve"> The authors declare that no generative artificial intelligence or AI-assisted technologies were used in the writing of this manuscript or in the execution of the experimental analyses.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Creative Commons Attribution 4.0 International (CC BY 4.0) license.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Rajput, C.S., Gupta, R.: Brain tumor prediction using deep learning (project repository and research release).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pPr>
        <w:spacing w:after="60" w:before="0" w:line="240"/>
        <w:jc w:val="both"/>
      </w:pPr>
      <w:r>
        <w:rPr>
          <w:rFonts w:ascii="Times New Roman" w:cs="Times New Roman" w:eastAsia="Times New Roman" w:hAnsi="Times New Roman"/>
          <w:sz w:val="20"/>
          <w:szCs w:val="20"/>
        </w:rPr>
        <w:t xml:space="preserve">[32]	Lapuschkin, S., Wäldchen, S., Binder, A., Montavon, G., Samek, W., Müller, K.-R.: Unmasking Clever Hans predictors and assessing what machines really learn. Nat. Commun. 10, 1096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