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
        <w:jc w:val="center"/>
      </w:pPr>
      <w:r>
        <w:t>Seam Artefacts and Spatial-Context Sensitivity in Brain MRI Tumour Classification: A Multi-Control Spatial Intervention Study</w:t>
      </w:r>
    </w:p>
    <w:p>
      <w:pPr>
        <w:spacing w:after="60" w:before="0" w:line="264"/>
        <w:jc w:val="center"/>
      </w:pPr>
      <w:r>
        <w:rPr>
          <w:rFonts w:ascii="Times New Roman" w:cs="Times New Roman" w:eastAsia="Times New Roman" w:hAnsi="Times New Roman"/>
          <w:sz w:val="24"/>
          <w:szCs w:val="24"/>
        </w:rPr>
        <w:t xml:space="preserve">Chhotu</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Rishi Gupta</w:t>
      </w:r>
      <w:r>
        <w:rPr>
          <w:rFonts w:ascii="Times New Roman" w:cs="Times New Roman" w:eastAsia="Times New Roman" w:hAnsi="Times New Roman"/>
          <w:sz w:val="24"/>
          <w:szCs w:val="24"/>
          <w:vertAlign w:val="superscript"/>
        </w:rPr>
        <w:t xml:space="preserve">2</w:t>
      </w:r>
    </w:p>
    <w:p>
      <w:pPr>
        <w:spacing w:after="30" w:before="0" w:line="264"/>
        <w:jc w:val="center"/>
      </w:pPr>
      <w:r>
        <w:rPr>
          <w:rFonts w:ascii="Times New Roman" w:cs="Times New Roman" w:eastAsia="Times New Roman" w:hAnsi="Times New Roman"/>
          <w:sz w:val="21"/>
          <w:szCs w:val="21"/>
          <w:vertAlign w:val="superscript"/>
        </w:rPr>
        <w:t xml:space="preserve">1</w:t>
      </w:r>
      <w:r>
        <w:rPr>
          <w:rFonts w:ascii="Times New Roman" w:cs="Times New Roman" w:eastAsia="Times New Roman" w:hAnsi="Times New Roman"/>
          <w:sz w:val="21"/>
          <w:szCs w:val="21"/>
        </w:rPr>
        <w:t xml:space="preserve"> Manipal University Jaipur, Jaipur, Rajasthan, India</w:t>
      </w:r>
    </w:p>
    <w:p>
      <w:pPr>
        <w:spacing w:after="60" w:before="0" w:line="264"/>
        <w:jc w:val="center"/>
      </w:pP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Department of Computer Science &amp; Engineering, School of Computer Science and Engineering, Faculty of Science, Technology and Architecture, Manipal University Jaipur, Jaipur, Rajasthan, India</w:t>
      </w:r>
    </w:p>
    <w:p>
      <w:pPr>
        <w:spacing w:after="300" w:before="0" w:line="264"/>
        <w:jc w:val="center"/>
      </w:pPr>
      <w:r>
        <w:rPr>
          <w:rFonts w:ascii="Times New Roman" w:cs="Times New Roman" w:eastAsia="Times New Roman" w:hAnsi="Times New Roman"/>
          <w:sz w:val="21"/>
          <w:szCs w:val="21"/>
        </w:rPr>
        <w:t xml:space="preserve">*Corresponding author. E-mail: chhotu.2427030521@muj.manipal.edu</w:t>
      </w:r>
    </w:p>
    <w:p>
      <w:pPr>
        <w:spacing w:after="80" w:before="0" w:line="264"/>
        <w:jc w:val="center"/>
      </w:pPr>
      <w:r>
        <w:rPr>
          <w:rFonts w:ascii="Times New Roman" w:cs="Times New Roman" w:eastAsia="Times New Roman" w:hAnsi="Times New Roman"/>
          <w:b/>
          <w:bCs/>
          <w:sz w:val="20"/>
          <w:szCs w:val="20"/>
        </w:rPr>
        <w:t xml:space="preserve">Abstract</w:t>
      </w:r>
    </w:p>
    <w:p>
      <w:pPr>
        <w:spacing w:after="120" w:before="0" w:line="264"/>
        <w:ind w:left="360" w:right="360"/>
        <w:jc w:val="both"/>
      </w:pPr>
      <w:r>
        <w:t>Tile scrambling is widely used as an interpretability probe for spatial-context reliance, but it inherently introduces artificial boundary seams that can confound performance evaluation. We examine this on the Cheng Figshare cohort (233 patients across three classes; 3,064 slices) using 15 frozen ResNet-50 checkpoints across three evaluation scenarios and six input conditions: baseline (C0), tile-mean-offset (C1), seam-attenuated permutation (C2), raw scramble (C3) and two seam-only controls (C4a, C4b) that perturb only two pixels flanking each seam. Tumour core and a 15-pixel margin were strictly preserved. Over 55,152 forward predictions evaluated on 233 independent patient clusters with paired cluster-bootstrap inference (B = 25,000) and Holm–Bonferroni control, patient-disjoint Macro-F1 fell from 0.9333 (C0) to 0.8127 (C4a) and 0.7811 (C4b), 0.6290 (C1), 0.5118 (C3) and 0.4525 (C2) in S0. Seam steps alone reliably degrade performance, but the decline varies across checkpoints and is much smaller than under scrambling; partial seam attenuation (39.0% excess boundary reduction at input) does not restore accuracy. Misclassifications show an asymmetric collapse: glioma slices were disproportionately labelled pituitary tumour under perturbation (0.1% baseline; 6.5–23.4% under seam steps; 55–64% under scrambling or suppression across scenarios), a pattern that could reflect loss of orientation cues, which this design cannot confirm because tumour class is confounded with imaging plane. These results are consistent with the presence of both boundary-artifact sensitivity and distant-content sensitivity, but caution that complete linear apportionment requires full 2×2 factorial designs with energy-matched controls, as tumour class is partially confounded with imaging plane.</w:t>
      </w:r>
    </w:p>
    <w:p>
      <w:pPr>
        <w:spacing w:after="200" w:before="0" w:line="264"/>
        <w:ind w:left="360" w:right="360"/>
        <w:jc w:val="both"/>
      </w:pPr>
      <w:r>
        <w:rPr>
          <w:rFonts w:ascii="Times New Roman" w:cs="Times New Roman" w:eastAsia="Times New Roman" w:hAnsi="Times New Roman"/>
          <w:b/>
          <w:bCs/>
          <w:sz w:val="19"/>
          <w:szCs w:val="19"/>
        </w:rPr>
        <w:t xml:space="preserve">Keywords:</w:t>
      </w:r>
      <w:r>
        <w:rPr>
          <w:rFonts w:ascii="Times New Roman" w:cs="Times New Roman" w:eastAsia="Times New Roman" w:hAnsi="Times New Roman"/>
          <w:sz w:val="19"/>
          <w:szCs w:val="19"/>
        </w:rPr>
        <w:t xml:space="preserve"> Brain tumour classification; Convolutional neural networks; Magnetic resonance imaging; Shortcut learning; Spatial context; Image perturbation; Artifact disentanglement; Reproducibility</w:t>
      </w:r>
    </w:p>
    <w:p>
      <w:pPr>
        <w:pStyle w:val="Heading1"/>
        <w:keepNext/>
        <w:spacing w:after="140" w:before="300"/>
      </w:pPr>
      <w:r>
        <w:rPr>
          <w:rFonts w:ascii="Times New Roman" w:cs="Times New Roman" w:eastAsia="Times New Roman" w:hAnsi="Times New Roman"/>
          <w:b/>
          <w:bCs/>
          <w:sz w:val="28"/>
          <w:szCs w:val="28"/>
        </w:rPr>
        <w:t xml:space="preserve">Nomenclature</w:t>
      </w:r>
    </w:p>
    <w:p>
      <w:pPr>
        <w:spacing w:after="30" w:before="0" w:line="264"/>
        <w:ind w:left="360" w:hanging="360"/>
        <w:jc w:val="left"/>
      </w:pPr>
      <w:r>
        <w:rPr>
          <w:rFonts w:ascii="Times New Roman" w:cs="Times New Roman" w:eastAsia="Times New Roman" w:hAnsi="Times New Roman"/>
          <w:b/>
          <w:bCs/>
          <w:sz w:val="22"/>
          <w:szCs w:val="22"/>
        </w:rPr>
        <w:t xml:space="preserve">CNN</w:t>
      </w:r>
      <w:r>
        <w:rPr>
          <w:rFonts w:ascii="Times New Roman" w:cs="Times New Roman" w:eastAsia="Times New Roman" w:hAnsi="Times New Roman"/>
          <w:sz w:val="22"/>
          <w:szCs w:val="22"/>
        </w:rPr>
        <w:t xml:space="preserve"> – Convolutional neural network</w:t>
      </w:r>
    </w:p>
    <w:p>
      <w:pPr>
        <w:spacing w:after="30" w:before="0" w:line="264"/>
        <w:ind w:left="360" w:hanging="360"/>
        <w:jc w:val="left"/>
      </w:pPr>
      <w:r>
        <w:rPr>
          <w:rFonts w:ascii="Times New Roman" w:cs="Times New Roman" w:eastAsia="Times New Roman" w:hAnsi="Times New Roman"/>
          <w:b/>
          <w:bCs/>
          <w:sz w:val="22"/>
          <w:szCs w:val="22"/>
        </w:rPr>
        <w:t xml:space="preserve">T1-CE</w:t>
      </w:r>
      <w:r>
        <w:rPr>
          <w:rFonts w:ascii="Times New Roman" w:cs="Times New Roman" w:eastAsia="Times New Roman" w:hAnsi="Times New Roman"/>
          <w:sz w:val="22"/>
          <w:szCs w:val="22"/>
        </w:rPr>
        <w:t xml:space="preserve"> – T1-weighted contrast-enhanced magnetic resonance imaging</w:t>
      </w:r>
    </w:p>
    <w:p>
      <w:pPr>
        <w:spacing w:after="30" w:before="0" w:line="264"/>
        <w:ind w:left="360" w:hanging="360"/>
        <w:jc w:val="left"/>
      </w:pPr>
      <w:r>
        <w:rPr>
          <w:rFonts w:ascii="Times New Roman" w:cs="Times New Roman" w:eastAsia="Times New Roman" w:hAnsi="Times New Roman"/>
          <w:b/>
          <w:bCs/>
          <w:sz w:val="22"/>
          <w:szCs w:val="22"/>
        </w:rPr>
        <w:t xml:space="preserve">PID</w:t>
      </w:r>
      <w:r>
        <w:rPr>
          <w:rFonts w:ascii="Times New Roman" w:cs="Times New Roman" w:eastAsia="Times New Roman" w:hAnsi="Times New Roman"/>
          <w:sz w:val="22"/>
          <w:szCs w:val="22"/>
        </w:rPr>
        <w:t xml:space="preserve"> – Patient identifier in the source data</w:t>
      </w:r>
    </w:p>
    <w:p>
      <w:pPr>
        <w:spacing w:after="30" w:before="0" w:line="264"/>
        <w:ind w:left="360" w:hanging="360"/>
        <w:jc w:val="left"/>
      </w:pPr>
      <w:r>
        <w:rPr>
          <w:rFonts w:ascii="Times New Roman" w:cs="Times New Roman" w:eastAsia="Times New Roman" w:hAnsi="Times New Roman"/>
          <w:b/>
          <w:bCs/>
          <w:sz w:val="22"/>
          <w:szCs w:val="22"/>
        </w:rPr>
        <w:t xml:space="preserve">SSIM</w:t>
      </w:r>
      <w:r>
        <w:rPr>
          <w:rFonts w:ascii="Times New Roman" w:cs="Times New Roman" w:eastAsia="Times New Roman" w:hAnsi="Times New Roman"/>
          <w:sz w:val="22"/>
          <w:szCs w:val="22"/>
        </w:rPr>
        <w:t xml:space="preserve"> – Structural similarity index, used to flag candidate near-duplicate slices</w:t>
      </w:r>
    </w:p>
    <w:p>
      <w:pPr>
        <w:spacing w:after="30" w:before="0" w:line="264"/>
        <w:ind w:left="360" w:hanging="360"/>
        <w:jc w:val="left"/>
      </w:pP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 S</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 S</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sz w:val="22"/>
          <w:szCs w:val="22"/>
        </w:rPr>
        <w:t xml:space="preserve"> – Evaluation scenarios: patient-disjoint; patient + SSIM ≥ 0.80 grouping; patient + SSIM ≥ 0.75 grouping</w:t>
      </w:r>
    </w:p>
    <w:p>
      <w:pPr>
        <w:spacing w:after="30" w:before="0" w:line="264"/>
        <w:ind w:left="360" w:hanging="360"/>
        <w:jc w:val="left"/>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3</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sz w:val="22"/>
          <w:szCs w:val="22"/>
        </w:rPr>
        <w:t xml:space="preserve"> – Input conditions: baseline; tile-mean-offset control; seam-suppressed rearrangement; raw scramble; true seam-only controls (gain 1.0, 1.8)</w:t>
      </w:r>
    </w:p>
    <w:p>
      <w:pPr>
        <w:spacing w:after="30" w:before="0" w:line="264"/>
        <w:ind w:left="360" w:hanging="360"/>
        <w:jc w:val="left"/>
      </w:pPr>
      <w:r>
        <w:rPr>
          <w:rFonts w:ascii="Times New Roman" w:cs="Times New Roman" w:eastAsia="Times New Roman" w:hAnsi="Times New Roman"/>
          <w:b/>
          <w:bCs/>
          <w:sz w:val="22"/>
          <w:szCs w:val="22"/>
        </w:rPr>
        <w:t xml:space="preserve">M</w:t>
      </w:r>
      <w:r>
        <w:rPr>
          <w:rFonts w:ascii="Times New Roman" w:cs="Times New Roman" w:eastAsia="Times New Roman" w:hAnsi="Times New Roman"/>
          <w:b/>
          <w:bCs/>
          <w:sz w:val="22"/>
          <w:szCs w:val="22"/>
          <w:vertAlign w:val="subscript"/>
        </w:rPr>
        <w:t xml:space="preserve">tumor</w:t>
      </w:r>
      <w:r>
        <w:rPr>
          <w:rFonts w:ascii="Times New Roman" w:cs="Times New Roman" w:eastAsia="Times New Roman" w:hAnsi="Times New Roman"/>
          <w:b/>
          <w:bCs/>
          <w:sz w:val="22"/>
          <w:szCs w:val="22"/>
        </w:rPr>
        <w:t xml:space="preserve">, M</w:t>
      </w:r>
      <w:r>
        <w:rPr>
          <w:rFonts w:ascii="Times New Roman" w:cs="Times New Roman" w:eastAsia="Times New Roman" w:hAnsi="Times New Roman"/>
          <w:b/>
          <w:bCs/>
          <w:sz w:val="22"/>
          <w:szCs w:val="22"/>
          <w:vertAlign w:val="subscript"/>
        </w:rPr>
        <w:t xml:space="preserve">margin</w:t>
      </w:r>
      <w:r>
        <w:rPr>
          <w:rFonts w:ascii="Times New Roman" w:cs="Times New Roman" w:eastAsia="Times New Roman" w:hAnsi="Times New Roman"/>
          <w:b/>
          <w:bCs/>
          <w:sz w:val="22"/>
          <w:szCs w:val="22"/>
        </w:rPr>
        <w:t xml:space="preserve">, M</w:t>
      </w:r>
      <w:r>
        <w:rPr>
          <w:rFonts w:ascii="Times New Roman" w:cs="Times New Roman" w:eastAsia="Times New Roman" w:hAnsi="Times New Roman"/>
          <w:b/>
          <w:bCs/>
          <w:sz w:val="22"/>
          <w:szCs w:val="22"/>
          <w:vertAlign w:val="subscript"/>
        </w:rPr>
        <w:t xml:space="preserve">prot</w:t>
      </w:r>
      <w:r>
        <w:rPr>
          <w:rFonts w:ascii="Times New Roman" w:cs="Times New Roman" w:eastAsia="Times New Roman" w:hAnsi="Times New Roman"/>
          <w:sz w:val="22"/>
          <w:szCs w:val="22"/>
        </w:rPr>
        <w:t xml:space="preserve"> – Tumour mask; 15-pixel peritumoral ring; protected zone (their union)</w:t>
      </w:r>
    </w:p>
    <w:p>
      <w:pPr>
        <w:spacing w:after="30" w:before="0" w:line="264"/>
        <w:ind w:left="360" w:hanging="360"/>
        <w:jc w:val="left"/>
      </w:pPr>
      <w:r>
        <w:rPr>
          <w:rFonts w:ascii="Times New Roman" w:cs="Times New Roman" w:eastAsia="Times New Roman" w:hAnsi="Times New Roman"/>
          <w:b/>
          <w:bCs/>
          <w:i/>
          <w:iCs/>
          <w:sz w:val="22"/>
          <w:szCs w:val="22"/>
        </w:rPr>
        <w:t xml:space="preserve">s</w:t>
      </w:r>
      <w:r>
        <w:rPr>
          <w:rFonts w:ascii="Times New Roman" w:cs="Times New Roman" w:eastAsia="Times New Roman" w:hAnsi="Times New Roman"/>
          <w:b/>
          <w:bCs/>
          <w:sz w:val="22"/>
          <w:szCs w:val="22"/>
        </w:rPr>
        <w:t xml:space="preserve">, Ω</w:t>
      </w:r>
      <w:r>
        <w:rPr>
          <w:rFonts w:ascii="Times New Roman" w:cs="Times New Roman" w:eastAsia="Times New Roman" w:hAnsi="Times New Roman"/>
          <w:b/>
          <w:bCs/>
          <w:sz w:val="22"/>
          <w:szCs w:val="22"/>
          <w:vertAlign w:val="subscript"/>
        </w:rPr>
        <w:t xml:space="preserve">distant</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i/>
          <w:iCs/>
          <w:sz w:val="22"/>
          <w:szCs w:val="22"/>
        </w:rPr>
        <w:t xml:space="preserve">N</w:t>
      </w:r>
      <w:r>
        <w:rPr>
          <w:rFonts w:ascii="Times New Roman" w:cs="Times New Roman" w:eastAsia="Times New Roman" w:hAnsi="Times New Roman"/>
          <w:b/>
          <w:bCs/>
          <w:sz w:val="22"/>
          <w:szCs w:val="22"/>
          <w:vertAlign w:val="subscript"/>
        </w:rPr>
        <w:t xml:space="preserve">t</w:t>
      </w:r>
      <w:r>
        <w:rPr>
          <w:rFonts w:ascii="Times New Roman" w:cs="Times New Roman" w:eastAsia="Times New Roman" w:hAnsi="Times New Roman"/>
          <w:sz w:val="22"/>
          <w:szCs w:val="22"/>
        </w:rPr>
        <w:t xml:space="preserve"> – Tile edge length (16 px); set of eligible distant tiles; its size</w:t>
      </w:r>
    </w:p>
    <w:p>
      <w:pPr>
        <w:spacing w:after="30" w:before="0" w:line="264"/>
        <w:ind w:left="360" w:hanging="360"/>
        <w:jc w:val="left"/>
      </w:pPr>
      <w:r>
        <w:rPr>
          <w:rFonts w:ascii="Times New Roman" w:cs="Times New Roman" w:eastAsia="Times New Roman" w:hAnsi="Times New Roman"/>
          <w:b/>
          <w:bCs/>
          <w:sz w:val="22"/>
          <w:szCs w:val="22"/>
        </w:rPr>
        <w:t xml:space="preserve">δ</w:t>
      </w:r>
      <w:r>
        <w:rPr>
          <w:rFonts w:ascii="Times New Roman" w:cs="Times New Roman" w:eastAsia="Times New Roman" w:hAnsi="Times New Roman"/>
          <w:b/>
          <w:bCs/>
          <w:i/>
          <w:iCs/>
          <w:sz w:val="22"/>
          <w:szCs w:val="22"/>
          <w:vertAlign w:val="subscript"/>
        </w:rPr>
        <w:t xml:space="preserve">i</w:t>
      </w:r>
      <w:r>
        <w:rPr>
          <w:rFonts w:ascii="Times New Roman" w:cs="Times New Roman" w:eastAsia="Times New Roman" w:hAnsi="Times New Roman"/>
          <w:sz w:val="22"/>
          <w:szCs w:val="22"/>
        </w:rPr>
        <w:t xml:space="preserve"> – Tile-level intensity offset applied in C</w:t>
      </w:r>
      <w:r>
        <w:rPr>
          <w:rFonts w:ascii="Times New Roman" w:cs="Times New Roman" w:eastAsia="Times New Roman" w:hAnsi="Times New Roman"/>
          <w:sz w:val="22"/>
          <w:szCs w:val="22"/>
          <w:vertAlign w:val="subscript"/>
        </w:rPr>
        <w:t xml:space="preserve">1</w:t>
      </w:r>
    </w:p>
    <w:p>
      <w:pPr>
        <w:spacing w:after="30" w:before="0" w:line="264"/>
        <w:ind w:left="360" w:hanging="360"/>
        <w:jc w:val="left"/>
      </w:pPr>
      <w:r>
        <w:rPr>
          <w:rFonts w:ascii="Times New Roman" w:cs="Times New Roman" w:eastAsia="Times New Roman" w:hAnsi="Times New Roman"/>
          <w:b/>
          <w:bCs/>
          <w:sz w:val="22"/>
          <w:szCs w:val="22"/>
        </w:rPr>
        <w:t xml:space="preserve">λ</w:t>
      </w:r>
      <w:r>
        <w:rPr>
          <w:rFonts w:ascii="Times New Roman" w:cs="Times New Roman" w:eastAsia="Times New Roman" w:hAnsi="Times New Roman"/>
          <w:sz w:val="22"/>
          <w:szCs w:val="22"/>
        </w:rPr>
        <w:t xml:space="preserve"> – Seam-distance blending weight in C</w:t>
      </w:r>
      <w:r>
        <w:rPr>
          <w:rFonts w:ascii="Times New Roman" w:cs="Times New Roman" w:eastAsia="Times New Roman" w:hAnsi="Times New Roman"/>
          <w:sz w:val="22"/>
          <w:szCs w:val="22"/>
          <w:vertAlign w:val="subscript"/>
        </w:rPr>
        <w:t xml:space="preserve">2</w:t>
      </w:r>
    </w:p>
    <w:p>
      <w:pPr>
        <w:spacing w:after="30" w:before="0" w:line="264"/>
        <w:ind w:left="360" w:hanging="360"/>
        <w:jc w:val="left"/>
      </w:pPr>
      <w:r>
        <w:rPr>
          <w:rFonts w:ascii="Times New Roman" w:cs="Times New Roman" w:eastAsia="Times New Roman" w:hAnsi="Times New Roman"/>
          <w:b/>
          <w:bCs/>
          <w:sz w:val="22"/>
          <w:szCs w:val="22"/>
        </w:rPr>
        <w:t xml:space="preserve">κ</w:t>
      </w:r>
      <w:r>
        <w:rPr>
          <w:rFonts w:ascii="Times New Roman" w:cs="Times New Roman" w:eastAsia="Times New Roman" w:hAnsi="Times New Roman"/>
          <w:sz w:val="22"/>
          <w:szCs w:val="22"/>
        </w:rPr>
        <w:t xml:space="preserve"> – Ratio of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(descriptive)</w:t>
      </w:r>
    </w:p>
    <w:p>
      <w:pPr>
        <w:spacing w:after="30" w:before="0" w:line="264"/>
        <w:ind w:left="360" w:hanging="360"/>
        <w:jc w:val="left"/>
      </w:pPr>
      <w:r>
        <w:rPr>
          <w:rFonts w:ascii="Times New Roman" w:cs="Times New Roman" w:eastAsia="Times New Roman" w:hAnsi="Times New Roman"/>
          <w:b/>
          <w:bCs/>
          <w:sz w:val="22"/>
          <w:szCs w:val="22"/>
        </w:rPr>
        <w:t xml:space="preserve">π</w:t>
      </w:r>
      <w:r>
        <w:rPr>
          <w:rFonts w:ascii="Times New Roman" w:cs="Times New Roman" w:eastAsia="Times New Roman" w:hAnsi="Times New Roman"/>
          <w:sz w:val="22"/>
          <w:szCs w:val="22"/>
        </w:rPr>
        <w:t xml:space="preserve"> – Per-slice pseudo-random permutation of eligible tiles</w:t>
      </w:r>
    </w:p>
    <w:p>
      <w:pPr>
        <w:spacing w:after="30" w:before="0" w:line="264"/>
        <w:ind w:left="360" w:hanging="360"/>
        <w:jc w:val="left"/>
      </w:pPr>
      <w:r>
        <w:rPr>
          <w:rFonts w:ascii="Times New Roman" w:cs="Times New Roman" w:eastAsia="Times New Roman" w:hAnsi="Times New Roman"/>
          <w:b/>
          <w:bCs/>
          <w:sz w:val="22"/>
          <w:szCs w:val="22"/>
        </w:rPr>
        <w:t xml:space="preserve">Δ</w:t>
      </w:r>
      <w:r>
        <w:rPr>
          <w:rFonts w:ascii="Times New Roman" w:cs="Times New Roman" w:eastAsia="Times New Roman" w:hAnsi="Times New Roman"/>
          <w:sz w:val="22"/>
          <w:szCs w:val="22"/>
        </w:rPr>
        <w:t xml:space="preserve"> – Signed contrast, Macro-F1(A) − Macro-F1(B)</w:t>
      </w:r>
    </w:p>
    <w:p>
      <w:pPr>
        <w:spacing w:after="30" w:before="0" w:line="264"/>
        <w:ind w:left="360" w:hanging="360"/>
        <w:jc w:val="left"/>
      </w:pPr>
      <w:r>
        <w:rPr>
          <w:rFonts w:ascii="Times New Roman" w:cs="Times New Roman" w:eastAsia="Times New Roman" w:hAnsi="Times New Roman"/>
          <w:b/>
          <w:bCs/>
          <w:sz w:val="22"/>
          <w:szCs w:val="22"/>
        </w:rPr>
        <w:t xml:space="preserve">OOF</w:t>
      </w:r>
      <w:r>
        <w:rPr>
          <w:rFonts w:ascii="Times New Roman" w:cs="Times New Roman" w:eastAsia="Times New Roman" w:hAnsi="Times New Roman"/>
          <w:sz w:val="22"/>
          <w:szCs w:val="22"/>
        </w:rPr>
        <w:t xml:space="preserve"> – Out-of-fold (held-out fold of the checkpoint that evaluates it)</w:t>
      </w:r>
    </w:p>
    <w:p>
      <w:pPr>
        <w:spacing w:after="30" w:before="0" w:line="264"/>
        <w:ind w:left="360" w:hanging="360"/>
        <w:jc w:val="left"/>
      </w:pPr>
      <w:r>
        <w:rPr>
          <w:rFonts w:ascii="Times New Roman" w:cs="Times New Roman" w:eastAsia="Times New Roman" w:hAnsi="Times New Roman"/>
          <w:b/>
          <w:bCs/>
          <w:sz w:val="22"/>
          <w:szCs w:val="22"/>
        </w:rPr>
        <w:t xml:space="preserve">B</w:t>
      </w:r>
      <w:r>
        <w:rPr>
          <w:rFonts w:ascii="Times New Roman" w:cs="Times New Roman" w:eastAsia="Times New Roman" w:hAnsi="Times New Roman"/>
          <w:sz w:val="22"/>
          <w:szCs w:val="22"/>
        </w:rPr>
        <w:t xml:space="preserve"> – Number of bootstrap resamples (25,000)</w:t>
      </w:r>
    </w:p>
    <w:p>
      <w:pPr>
        <w:spacing w:after="30" w:before="0" w:line="264"/>
        <w:ind w:left="360" w:hanging="360"/>
        <w:jc w:val="left"/>
      </w:pPr>
      <w:r>
        <w:rPr>
          <w:rFonts w:ascii="Times New Roman" w:cs="Times New Roman" w:eastAsia="Times New Roman" w:hAnsi="Times New Roman"/>
          <w:b/>
          <w:bCs/>
          <w:sz w:val="22"/>
          <w:szCs w:val="22"/>
        </w:rPr>
        <w:t xml:space="preserve">γ</w:t>
      </w:r>
      <w:r>
        <w:rPr>
          <w:rFonts w:ascii="Times New Roman" w:cs="Times New Roman" w:eastAsia="Times New Roman" w:hAnsi="Times New Roman"/>
          <w:sz w:val="22"/>
          <w:szCs w:val="22"/>
        </w:rPr>
        <w:t xml:space="preserve"> – Seam gain of the true seam-only controls (1.0 for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1.8 for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w:t>
      </w:r>
    </w:p>
    <w:p>
      <w:pPr>
        <w:spacing w:after="30" w:before="0" w:line="264"/>
        <w:ind w:left="360" w:hanging="360"/>
        <w:jc w:val="left"/>
      </w:pPr>
      <w:r>
        <w:rPr>
          <w:rFonts w:ascii="Times New Roman" w:cs="Times New Roman" w:eastAsia="Times New Roman" w:hAnsi="Times New Roman"/>
          <w:b/>
          <w:bCs/>
          <w:sz w:val="22"/>
          <w:szCs w:val="22"/>
        </w:rPr>
        <w:t xml:space="preserve">FWER</w:t>
      </w:r>
      <w:r>
        <w:rPr>
          <w:rFonts w:ascii="Times New Roman" w:cs="Times New Roman" w:eastAsia="Times New Roman" w:hAnsi="Times New Roman"/>
          <w:sz w:val="22"/>
          <w:szCs w:val="22"/>
        </w:rPr>
        <w:t xml:space="preserve"> – Family-wise error rate (Holm–Bonferroni control, α = 0.05)</w:t>
      </w:r>
    </w:p>
    <w:p>
      <w:pPr>
        <w:pStyle w:val="Heading1"/>
        <w:keepNext/>
        <w:spacing w:after="140" w:before="300"/>
      </w:pPr>
      <w:r>
        <w:rPr>
          <w:rFonts w:ascii="Times New Roman" w:cs="Times New Roman" w:eastAsia="Times New Roman" w:hAnsi="Times New Roman"/>
          <w:b/>
          <w:bCs/>
          <w:sz w:val="28"/>
          <w:szCs w:val="28"/>
        </w:rPr>
        <w:t xml:space="preserve">1  Introduction</w:t>
      </w:r>
    </w:p>
    <w:p>
      <w:pPr>
        <w:spacing w:after="100" w:before="0" w:line="264"/>
        <w:jc w:val="both"/>
      </w:pPr>
      <w:r>
        <w:rPr>
          <w:rFonts w:ascii="Times New Roman" w:cs="Times New Roman" w:eastAsia="Times New Roman" w:hAnsi="Times New Roman"/>
          <w:sz w:val="22"/>
          <w:szCs w:val="22"/>
        </w:rPr>
        <w:t xml:space="preserve">Deep learning models have achieved expert-level nominal performance across diverse medical image classification tasks, including dermatological lesion classification [27], chest radiograph screening [28] and brain-tumour diagnosis from magnetic resonance imaging (MRI) [3, 4]. In neuro-oncology, accurate classification of primary brain tumours into meningioma, glioma, and pituitary tumour on contrast-enhanced T1-weighted MRI is clinically vital for surgical planning, radiotherapy, and targeted chemotherapy [3, 4]. Numerous published studies report classification accuracies exceeding 94% on public brain tumour benchmarks [3, 4], frequently employing deep convolutional neural network (CNN) backbones such as ResNet-50 [20].</w:t>
      </w:r>
    </w:p>
    <w:p>
      <w:pPr>
        <w:spacing w:after="100" w:before="0" w:line="264"/>
        <w:jc w:val="both"/>
      </w:pPr>
      <w:r>
        <w:rPr>
          <w:rFonts w:ascii="Times New Roman" w:cs="Times New Roman" w:eastAsia="Times New Roman" w:hAnsi="Times New Roman"/>
          <w:sz w:val="22"/>
          <w:szCs w:val="22"/>
        </w:rPr>
        <w:t xml:space="preserve">However, high predictive accuracy in machine learning does not guarantee that models have learned clinically meaningful, disease-specific features [5, 6]. Deep neural networks are known to exploit “shortcuts”—unintended statistical correlations between non-pathological background image features and target diagnostic labels (the “Clever Hans” effect [5, 32]) that hold within training distributions but fail under clinical distribution shifts [5, 6]. Landmark studies have documented profound shortcut reliance in medical imaging: convolutional classifiers have been shown to predict COVID-19 and pneumonia from hospital-specific radiograph annotations and radiographic projection markers [2, 6], draw on patient and healthcare-process variables when predicting hip fractures [7], and show altered melanoma-classifier performance in the presence of surgical skin markings or non-lesion image content [1, 8].</w:t>
      </w:r>
    </w:p>
    <w:p>
      <w:pPr>
        <w:spacing w:after="100" w:before="0" w:line="264"/>
        <w:jc w:val="both"/>
      </w:pPr>
      <w:r>
        <w:rPr>
          <w:rFonts w:ascii="Times New Roman" w:cs="Times New Roman" w:eastAsia="Times New Roman" w:hAnsi="Times New Roman"/>
          <w:sz w:val="22"/>
          <w:szCs w:val="22"/>
        </w:rPr>
        <w:t>To probe whether medical classifiers rely on pathological lesions or extraneous surrounding image context, researchers employ spatial perturbation interventions such as focal occlusions, bounding-box cropping, and tile scrambling [9–11]. Vangala et al. [12] recently audited contamination in public brain-tumour benchmarks, including duplicate-, patient-, and source-level leakage. Their preprint does not report the distant-context tile-scrambling experiment or a greater-than-40-percentage-point Macro-F1 drop. We therefore do not attribute that numerical result to [12]; the performance changes reported here come from the experiments described in this study. A collapse under spatial scrambling can have multiple explanations, including the artificial boundaries created by the intervention itself.</w:t>
      </w:r>
    </w:p>
    <w:p>
      <w:pPr>
        <w:spacing w:after="100" w:before="0" w:line="264"/>
        <w:jc w:val="both"/>
      </w:pPr>
      <w:r>
        <w:rPr>
          <w:rFonts w:ascii="Times New Roman" w:cs="Times New Roman" w:eastAsia="Times New Roman" w:hAnsi="Times New Roman"/>
          <w:sz w:val="22"/>
          <w:szCs w:val="22"/>
        </w:rPr>
        <w:t xml:space="preserve">Nevertheless, an overlooked methodological vulnerability compromises this spatial perturbation paradigm: </w:t>
      </w:r>
      <w:r>
        <w:rPr>
          <w:rFonts w:ascii="Times New Roman" w:cs="Times New Roman" w:eastAsia="Times New Roman" w:hAnsi="Times New Roman"/>
          <w:b/>
          <w:bCs/>
          <w:sz w:val="22"/>
          <w:szCs w:val="22"/>
        </w:rPr>
        <w:t xml:space="preserve">tile scrambling introduces high-frequency artificial boundary step discontinuities at every tile seam.</w:t>
      </w:r>
      <w:r>
        <w:rPr>
          <w:rFonts w:ascii="Times New Roman" w:cs="Times New Roman" w:eastAsia="Times New Roman" w:hAnsi="Times New Roman"/>
          <w:sz w:val="22"/>
          <w:szCs w:val="22"/>
        </w:rPr>
        <w:t xml:space="preserve"> Natural brain MRI slices are characterized by smooth intensity gradients and continuous anatomical contours governed by biological tissue architecture. When tiles are randomly permuted, sharp intensity discontinuities arise along tile edges. Deep convolutional networks are known to be biased toward high-frequency spectral components and local edge textures [13–15, 29, 30]. Consequently, an acute scientific ambiguity arises:</w:t>
      </w:r>
    </w:p>
    <w:p>
      <w:pPr>
        <w:spacing w:after="120" w:before="0" w:line="264"/>
        <w:ind w:left="540" w:right="540"/>
        <w:jc w:val="both"/>
      </w:pPr>
      <w:r>
        <w:rPr>
          <w:rFonts w:ascii="Times New Roman" w:cs="Times New Roman" w:eastAsia="Times New Roman" w:hAnsi="Times New Roman"/>
          <w:i/>
          <w:iCs/>
          <w:sz w:val="22"/>
          <w:szCs w:val="22"/>
        </w:rPr>
        <w:t xml:space="preserve">Does the observed performance collapse under distant tile scrambling reflect true neural network reliance on macroscopic cranial spatial arrangement, or is it an artifactual vulnerability to synthetic high-frequency edge seams introduced by the intervention itself?</w:t>
      </w:r>
    </w:p>
    <w:p>
      <w:pPr>
        <w:spacing w:after="100" w:before="0" w:line="264"/>
        <w:jc w:val="both"/>
      </w:pPr>
      <w:r>
        <w:rPr>
          <w:rFonts w:ascii="Times New Roman" w:cs="Times New Roman" w:eastAsia="Times New Roman" w:hAnsi="Times New Roman"/>
          <w:sz w:val="22"/>
          <w:szCs w:val="22"/>
        </w:rPr>
        <w:t xml:space="preserve">In this study, we address this question through a controlled multi-intervention experiment on the benchmark Cheng Figshare brain tumour MRI cohort (3,064 slices across 233 patient clusters) [3]. We design a </w:t>
      </w:r>
      <w:r>
        <w:rPr>
          <w:rFonts w:ascii="Times New Roman" w:cs="Times New Roman" w:eastAsia="Times New Roman" w:hAnsi="Times New Roman"/>
          <w:b/>
          <w:bCs/>
          <w:sz w:val="22"/>
          <w:szCs w:val="22"/>
        </w:rPr>
        <w:t xml:space="preserve">tile-mean-offset control (C</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imposes the tile-level mean-intensity steps of the scramble onto tiles left in place, a </w:t>
      </w:r>
      <w:r>
        <w:rPr>
          <w:rFonts w:ascii="Times New Roman" w:cs="Times New Roman" w:eastAsia="Times New Roman" w:hAnsi="Times New Roman"/>
          <w:b/>
          <w:bCs/>
          <w:sz w:val="22"/>
          <w:szCs w:val="22"/>
        </w:rPr>
        <w:t xml:space="preserve">seam-suppressed rearrangement (C</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permutes tiles while locally blurring seams, and, in a later extension, two </w:t>
      </w:r>
      <w:r>
        <w:rPr>
          <w:rFonts w:ascii="Times New Roman" w:cs="Times New Roman" w:eastAsia="Times New Roman" w:hAnsi="Times New Roman"/>
          <w:b/>
          <w:bCs/>
          <w:sz w:val="22"/>
          <w:szCs w:val="22"/>
        </w:rPr>
        <w:t xml:space="preserve">true seam-only controls (C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change only the pixels adjacent to the seams. We compare them with the unmodified baseline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the raw scramble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while recognizing that the interventions alter multiple image statistics. Evaluated across 15 frozen ResNet-50 checkpoints and three cross-validation regimes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 study evaluates a multi-control design for distinguishing seam-related degradation from degradation under spatial rearrangement in this benchmark.</w:t>
      </w:r>
    </w:p>
    <w:p>
      <w:pPr>
        <w:spacing w:after="60" w:before="0" w:line="264"/>
        <w:jc w:val="both"/>
      </w:pPr>
      <w:r>
        <w:rPr>
          <w:rFonts w:ascii="Times New Roman" w:cs="Times New Roman" w:eastAsia="Times New Roman" w:hAnsi="Times New Roman"/>
          <w:sz w:val="22"/>
          <w:szCs w:val="22"/>
        </w:rPr>
        <w:t xml:space="preserve">This study’s objectives are: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quantify how much of the raw-scramble performance collapse is reproduced by a tile-mean-offset perturbation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by true seam-only perturbations that change only seam pixels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test whether a tile permutation whose boundary seams are partly suppressed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still degrades classification beyond a practical-significance threshold of ΔMacro-F1 = 0.150.</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characterize the class-level error transitions produced by the interventions, in particular the direction and asymmetry of glioma–pituitary confusion.</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state, with the diagnostics measured on the interventions themselves, which alternative explanations the present design cannot exclude.</w:t>
      </w:r>
    </w:p>
    <w:p>
      <w:pPr>
        <w:spacing w:after="100" w:before="60" w:line="264"/>
        <w:jc w:val="both"/>
      </w:pPr>
      <w:r>
        <w:t>The hypotheses were formulated in the phased research protocol before model execution. They were not deposited on an immutable external registry, and repository timestamps cannot prove the order of configuration and predictions. They were: H0, the C1 perturbation accounts for the entire scrambling decline (i.e. C3 is not worse than C1); H1, the C1 perturbation alone degrades performance; H2, the seam-suppressed rearrangement degrades performance by more than a pre-specified practical-significance threshold of 0.150 Macro-F1 (a project convention, not a clinically derived margin); H3, a mixed outcome where H1 and H2 are both supported. Importantly, H0 and H1 were originally framed around C1 as a proxy for boundary artifacts; subsequent diagnostic measurements revealed that C1 carries coarse tile-mean rearrangement, making the post hoc C4a and C4b interventions essential to isolate clean boundary steps. Section 4.9 provides verdicts for each.</w:t>
      </w:r>
    </w:p>
    <w:p>
      <w:pPr>
        <w:spacing w:after="60" w:before="0" w:line="264"/>
        <w:jc w:val="both"/>
      </w:pPr>
      <w:r>
        <w:rPr>
          <w:rFonts w:ascii="Times New Roman" w:cs="Times New Roman" w:eastAsia="Times New Roman" w:hAnsi="Times New Roman"/>
          <w:sz w:val="22"/>
          <w:szCs w:val="22"/>
        </w:rPr>
        <w:t xml:space="preserve">The contributions of this paper are:</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six-condition intervention design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plus two true seam-only controls) with an exact protected-zone invariant (zero altered pixels inside tumour + 15-pixel margin) and deterministic, slice-specific permutations.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matched evaluation of 15 frozen ResNet-50 checkpoints under three leakage-controlled split regimes, yielding 55,152 out-of-fold predictions with complete prediction accounting.</w:t>
      </w:r>
    </w:p>
    <w:p>
      <w:pPr>
        <w:pStyle w:val="ListParagraph"/>
        <w:numPr>
          <w:ilvl w:val="0"/>
          <w:numId w:val="3"/>
        </w:numPr>
        <w:spacing w:after="60" w:line="264"/>
        <w:jc w:val="both"/>
      </w:pPr>
      <w:r>
        <w:rPr>
          <w:rFonts w:ascii="Times New Roman" w:cs="Times New Roman" w:eastAsia="Times New Roman" w:hAnsi="Times New Roman"/>
          <w:sz w:val="22"/>
          <w:szCs w:val="22"/>
        </w:rPr>
        <w:t xml:space="preserve">Measured image diagnostics for every condition at source resolution and on the 224 × 224 network input (Sobel seam, junction and interior energy, high-frequency Fourier energy, unchanged-pixel fraction), reported alongside the performance results.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clustered, paired inference protocol (synchronized cluster bootstrap, B = 25,000, with Holm–Bonferroni control in three declared families, plus McNemar tests as a supplement) and a candid account of what the interventions do and do not identify.</w:t>
      </w:r>
    </w:p>
    <w:p>
      <w:pPr>
        <w:spacing w:after="100" w:before="60" w:line="264"/>
        <w:jc w:val="both"/>
      </w:pPr>
      <w:r>
        <w:rPr>
          <w:rFonts w:ascii="Times New Roman" w:cs="Times New Roman" w:eastAsia="Times New Roman" w:hAnsi="Times New Roman"/>
          <w:sz w:val="22"/>
          <w:szCs w:val="22"/>
        </w:rPr>
        <w:t xml:space="preserve">The remainder of the paper is organized as follows. Section 2 reviews shortcut learning, perturbation-based attribution and brain-tumour dataset audits, and states the research gap. Section 3 describes the data, models, interventions, diagnostics and statistics. Section 4 reports the experimental setup and results. Section 5 discusses interpretation, alternative explanations and methodological implications (with follow-up controls), Section 6 lists limitations, and Section 7 concludes.</w:t>
      </w:r>
    </w:p>
    <w:p>
      <w:pPr>
        <w:pStyle w:val="Heading1"/>
        <w:keepNext/>
        <w:spacing w:after="140" w:before="300"/>
      </w:pPr>
      <w:r>
        <w:rPr>
          <w:rFonts w:ascii="Times New Roman" w:cs="Times New Roman" w:eastAsia="Times New Roman" w:hAnsi="Times New Roman"/>
          <w:b/>
          <w:bCs/>
          <w:sz w:val="28"/>
          <w:szCs w:val="28"/>
        </w:rPr>
        <w:t xml:space="preserve">2  Related Work</w:t>
      </w:r>
    </w:p>
    <w:p>
      <w:pPr>
        <w:spacing w:after="100" w:before="0" w:line="264"/>
        <w:jc w:val="both"/>
      </w:pPr>
      <w:r>
        <w:rPr>
          <w:rFonts w:ascii="Times New Roman" w:cs="Times New Roman" w:eastAsia="Times New Roman" w:hAnsi="Times New Roman"/>
          <w:sz w:val="22"/>
          <w:szCs w:val="22"/>
        </w:rPr>
        <w:t xml:space="preserve">Prior work relevant to this study falls into three groups: (i) shortcut learning and confounding in medical image classifiers, (ii) input-perturbation methods used to detect context reliance, and (iii) benchmark-specific work on the public brain-tumour MRI dataset used here. We review them in turn and then state the gap addressed.</w:t>
      </w:r>
    </w:p>
    <w:p>
      <w:pPr>
        <w:pStyle w:val="Heading2"/>
        <w:keepNext/>
        <w:spacing w:after="100" w:before="200"/>
      </w:pPr>
      <w:r>
        <w:rPr>
          <w:rFonts w:ascii="Times New Roman" w:cs="Times New Roman" w:eastAsia="Times New Roman" w:hAnsi="Times New Roman"/>
          <w:b/>
          <w:bCs/>
          <w:sz w:val="24"/>
          <w:szCs w:val="24"/>
        </w:rPr>
        <w:t xml:space="preserve">2.1  Shortcut learning in medical image analysis</w:t>
      </w:r>
    </w:p>
    <w:p>
      <w:pPr>
        <w:spacing w:after="100" w:before="0" w:line="264"/>
        <w:jc w:val="both"/>
      </w:pPr>
      <w:r>
        <w:rPr>
          <w:rFonts w:ascii="Times New Roman" w:cs="Times New Roman" w:eastAsia="Times New Roman" w:hAnsi="Times New Roman"/>
          <w:sz w:val="22"/>
          <w:szCs w:val="22"/>
        </w:rPr>
        <w:t xml:space="preserve">Shortcut learning occurs when a model optimizes performance on the training distribution through decision rules that do not transfer, and it is now recognized as a general failure mode of deep networks [5]. In medical imaging the consequence is a model that scores well on internal validation while remaining clinically invalid. DeGrave et al. showed that radiograph-based COVID-19 detectors relied on non-pathological image features rather than pulmonary findings [6]. Zech et al. reported that a pneumonia classifier trained on chest radiographs generalized unevenly across hospital systems, consistent with the use of site-related cues [2]. Badgeley et al. found that a hip-fracture model drew on patient and healthcare-process variables [7]. In dermatology, Winkler et al. associated surgical skin markings with altered diagnostic performance of a melanoma CNN [1], and Bissoto et al. analysed bias in skin-lesion datasets, showing that non-lesion regions carry predictive signal [8]. Oakden-Rayner et al. described hidden stratification, where an aggregate metric masks systematic failure on clinically relevant subsets [18]; this is directly relevant when tumour class and acquisition characteristics are correlated (Section 5.4).</w:t>
      </w:r>
    </w:p>
    <w:p>
      <w:pPr>
        <w:pStyle w:val="Heading2"/>
        <w:keepNext/>
        <w:spacing w:after="100" w:before="200"/>
      </w:pPr>
      <w:r>
        <w:rPr>
          <w:rFonts w:ascii="Times New Roman" w:cs="Times New Roman" w:eastAsia="Times New Roman" w:hAnsi="Times New Roman"/>
          <w:b/>
          <w:bCs/>
          <w:sz w:val="24"/>
          <w:szCs w:val="24"/>
        </w:rPr>
        <w:t xml:space="preserve">2.2  Spatial interventions and attribution by perturbation</w:t>
      </w:r>
    </w:p>
    <w:p>
      <w:pPr>
        <w:spacing w:after="100" w:before="0" w:line="264"/>
        <w:jc w:val="both"/>
      </w:pPr>
      <w:r>
        <w:rPr>
          <w:rFonts w:ascii="Times New Roman" w:cs="Times New Roman" w:eastAsia="Times New Roman" w:hAnsi="Times New Roman"/>
          <w:sz w:val="22"/>
          <w:szCs w:val="22"/>
        </w:rPr>
        <w:t xml:space="preserve">Perturbation-based analyses ask how predictions change when image content is removed or rearranged. Zeiler and Fergus introduced systematic patch occlusion to visualize which regions drive activations [9]. Fong and Vedaldi formalized “meaningful perturbation” and noted that deletion operators can themselves create artefactual evidence [10]. In natural images, Xiao et al. showed that backgrounds alone can support classification and that background swaps change predictions [11]; inpainting-style and generative fills have also been used to remove content [16, 31]. For medical images, Castro et al. argued that causal conclusions about medical-imaging models require explicit assumptions about how images are generated [17], and Rossi et al. proposed tumour-aware counterfactual editing [19]. A general lesson of this literature is that the perturbation operator is part of the experiment: a perturbation that introduces unnatural high-frequency structure is expected to affect networks that are sensitive to such structure [13–15, 29, 30].</w:t>
      </w:r>
    </w:p>
    <w:p>
      <w:pPr>
        <w:pStyle w:val="Heading2"/>
        <w:keepNext/>
        <w:spacing w:after="100" w:before="200"/>
      </w:pPr>
      <w:r>
        <w:rPr>
          <w:rFonts w:ascii="Times New Roman" w:cs="Times New Roman" w:eastAsia="Times New Roman" w:hAnsi="Times New Roman"/>
          <w:b/>
          <w:bCs/>
          <w:sz w:val="24"/>
          <w:szCs w:val="24"/>
        </w:rPr>
        <w:t xml:space="preserve">2.3  Brain-tumour MRI classification and dataset audits</w:t>
      </w:r>
    </w:p>
    <w:p>
      <w:pPr>
        <w:spacing w:after="100" w:before="0" w:line="264"/>
        <w:jc w:val="both"/>
      </w:pPr>
      <w:r>
        <w:rPr>
          <w:rFonts w:ascii="Times New Roman" w:cs="Times New Roman" w:eastAsia="Times New Roman" w:hAnsi="Times New Roman"/>
          <w:sz w:val="22"/>
          <w:szCs w:val="22"/>
        </w:rPr>
        <w:t>The Cheng Figshare collection [3, 4] is a widely used resource for three-class brain-tumour classification. Earlier studies have sometimes used slice-level random splits, which can place slices from the same patient on both sides of a split. Vangala et al. [12] audit benchmark contamination and discuss duplicate-level, patient-level, and source-level leakage. Their preprint does not report the specific distant-context tile-scrambling experiment examined here, so no scrambling-induced Macro-F1 drop is attributed to that work. Patient-aware evaluation addresses one aspect of data leakage, but does not, by itself, reveal which image features a classifier uses. The present study examines model responses to spatial perturbations while acknowledging that those interventions alter multiple image properties.</w:t>
      </w:r>
    </w:p>
    <w:p>
      <w:pPr>
        <w:pStyle w:val="Heading2"/>
        <w:keepNext/>
        <w:spacing w:after="100" w:before="200"/>
      </w:pPr>
      <w:r>
        <w:rPr>
          <w:rFonts w:ascii="Times New Roman" w:cs="Times New Roman" w:eastAsia="Times New Roman" w:hAnsi="Times New Roman"/>
          <w:b/>
          <w:bCs/>
          <w:sz w:val="24"/>
          <w:szCs w:val="24"/>
        </w:rPr>
        <w:t xml:space="preserve">2.4  Research gap</w:t>
      </w:r>
    </w:p>
    <w:p>
      <w:pPr>
        <w:spacing w:after="100" w:before="0" w:line="264"/>
        <w:jc w:val="both"/>
      </w:pPr>
      <w:r>
        <w:rPr>
          <w:rFonts w:ascii="Times New Roman" w:cs="Times New Roman" w:eastAsia="Times New Roman" w:hAnsi="Times New Roman"/>
          <w:sz w:val="22"/>
          <w:szCs w:val="22"/>
        </w:rPr>
        <w:t>Table 1 summarizes representative context-reliance studies. Three gaps motivate this work. First, shortcut analyses in medical imaging have mostly identified which non-pathological cue is exploited (a marker, a site tag, a variable), not how the perturbation used to detect it contributes to the observed failure. Second, interpreting a distant-context tile-scrambling result as evidence of anatomical-layout reliance requires controls that add boundary seams without moving tile content. Third, prior perturbation results on this dataset have generally not reported diagnostics (edge energy, spectral energy, changed-pixel fraction) for the perturbed images. This study supplies a tile-mean-offset control, a locally blended rearrangement, true seam-only controls and corresponding diagnostics.</w:t>
      </w:r>
      <w:r>
        <w:rPr>
          <w:rFonts w:ascii="Times New Roman" w:cs="Times New Roman" w:eastAsia="Times New Roman" w:hAnsi="Times New Roman"/>
          <w:i/>
          <w:iCs/>
          <w:sz w:val="22"/>
          <w:szCs w:val="22"/>
        </w:rPr>
      </w:r>
      <w:r>
        <w:rPr>
          <w:rFonts w:ascii="Times New Roman" w:cs="Times New Roman" w:eastAsia="Times New Roman" w:hAnsi="Times New Roman"/>
          <w:sz w:val="22"/>
          <w:szCs w:val="22"/>
        </w:rPr>
      </w:r>
    </w:p>
    <w:p>
      <w:pPr>
        <w:keepNext/>
        <w:spacing w:after="80" w:before="160" w:line="240"/>
        <w:jc w:val="both"/>
      </w:pPr>
      <w:r>
        <w:rPr>
          <w:rFonts w:ascii="Times New Roman" w:cs="Times New Roman" w:eastAsia="Times New Roman" w:hAnsi="Times New Roman"/>
          <w:b/>
          <w:bCs/>
          <w:sz w:val="19"/>
          <w:szCs w:val="19"/>
        </w:rPr>
        <w:t xml:space="preserve">Table 1  </w:t>
      </w:r>
      <w:r>
        <w:rPr>
          <w:rFonts w:ascii="Times New Roman" w:cs="Times New Roman" w:eastAsia="Times New Roman" w:hAnsi="Times New Roman"/>
          <w:sz w:val="19"/>
          <w:szCs w:val="19"/>
        </w:rPr>
        <w:t xml:space="preserve">Representative studies on context or shortcut reliance in image classifiers, and the aspect relevant to the present design. Statements summarize the cited authors’ reported focus.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500"/>
        <w:gridCol w:w="3000"/>
        <w:gridCol w:w="2372"/>
      </w:tblGrid>
      <w:tr>
        <w:trPr>
          <w:tblHeader/>
        </w:trPr>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Study</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Year</w:t>
            </w:r>
          </w:p>
        </w:tc>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Domain</w:t>
            </w:r>
          </w:p>
        </w:tc>
        <w:tc>
          <w:tcPr>
            <w:tcW w:type="dxa" w:w="3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Reported focus</w:t>
            </w:r>
          </w:p>
        </w:tc>
        <w:tc>
          <w:tcPr>
            <w:tcW w:type="dxa" w:w="23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Relation to this study</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Winkler et al. [1]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Dermoscopy</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Surgical skin markings associated with altered melanoma-CNN performance</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Non-lesion marker; no perturbation control</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Zech et al. [2]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Chest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Uneven generalization across hospital systems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Site-related cues; no spatial intervention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Badgeley et al. [7]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Hip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Prediction used patient and healthcare-process variables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Confounder identification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Bissoto et al. [8]</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Dermoscopy</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Bias analysis of skin-lesion datasets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Predictive signal outside the lesion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DeGrave et al. [6]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Chest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COVID-19 detectors relying on non-pathological features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Shortcut identified; perturbation artefacts not isolated</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Xiao et al. [11]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Background-only and background-swap evaluation</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Context reliance; no seam control</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Zeiler &amp; Fergus [9]</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2014</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Patch-occlusion sensitivity</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Occluder shape/edges not controlled</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Fong &amp; Vedaldi [10]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2017</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Meaningful perturbation; deletion artefacts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Motivates controlling the operator</w:t>
            </w:r>
          </w:p>
        </w:tc>
      </w:tr>
      <w:tr>
        <w:trPr>
          <w:cantSplit/>
        </w:trPr>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Vangala et al. [12]</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2026</w:t>
            </w:r>
          </w:p>
        </w:tc>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Brain MRI (Cheng)</w:t>
            </w:r>
          </w:p>
        </w:tc>
        <w:tc>
          <w:tcPr>
            <w:tcW w:type="dxa" w:w="3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Dataset-contamination audit (preprint); does not report the tile-scrambling result discussed here</w:t>
            </w:r>
          </w:p>
        </w:tc>
        <w:tc>
          <w:tcPr>
            <w:tcW w:type="dxa" w:w="23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Supports benchmark-integrity discussion; not evidence for a scrambling-induced Macro-F1 drop</w:t>
            </w:r>
          </w:p>
        </w:tc>
      </w:tr>
    </w:tbl>
    <w:p>
      <w:pPr>
        <w:spacing w:after="60" w:before="0" w:line="264"/>
        <w:jc w:val="both"/>
      </w:pPr>
    </w:p>
    <w:p>
      <w:pPr>
        <w:pStyle w:val="Heading1"/>
        <w:keepNext/>
        <w:spacing w:after="140" w:before="300"/>
      </w:pPr>
      <w:r>
        <w:rPr>
          <w:rFonts w:ascii="Times New Roman" w:cs="Times New Roman" w:eastAsia="Times New Roman" w:hAnsi="Times New Roman"/>
          <w:b/>
          <w:bCs/>
          <w:sz w:val="28"/>
          <w:szCs w:val="28"/>
        </w:rPr>
        <w:t xml:space="preserve">3  Methods</w:t>
      </w:r>
    </w:p>
    <w:p>
      <w:pPr>
        <w:spacing w:after="100" w:before="0" w:line="264"/>
        <w:jc w:val="both"/>
      </w:pPr>
      <w:r>
        <w:rPr>
          <w:rFonts w:ascii="Times New Roman" w:cs="Times New Roman" w:eastAsia="Times New Roman" w:hAnsi="Times New Roman"/>
          <w:sz w:val="22"/>
          <w:szCs w:val="22"/>
        </w:rPr>
        <w:t xml:space="preserve">This section describes the data, evaluation scenarios, model and training configuration, the protected-zone invariant, the six input conditions, the image diagnostics and the statistical protocol. Figure 1 gives an overview.</w:t>
      </w:r>
    </w:p>
    <w:p>
      <w:pPr>
        <w:keepNext/>
        <w:spacing w:after="40" w:before="120"/>
        <w:jc w:val="center"/>
      </w:pPr>
      <w:r>
        <w:drawing>
          <wp:inline distT="0" distB="0" distL="0" distR="0">
            <wp:extent cx="5667375" cy="25336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5336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1  </w:t>
      </w:r>
      <w:r>
        <w:rPr>
          <w:rFonts w:ascii="Times New Roman" w:cs="Times New Roman" w:eastAsia="Times New Roman" w:hAnsi="Times New Roman"/>
          <w:sz w:val="19"/>
          <w:szCs w:val="19"/>
        </w:rPr>
        <w:t xml:space="preserve">Overview of the experimental pipeline. Fifteen frozen ResNet-50 checkpoints (three scenarios × five folds) each evaluate only their own held-out fold under six input conditions; predictions are pooled per scenario and analysed with paired cluster statistics.</w:t>
      </w:r>
    </w:p>
    <w:p>
      <w:pPr>
        <w:pStyle w:val="Heading2"/>
        <w:keepNext/>
        <w:spacing w:after="100" w:before="200"/>
      </w:pPr>
      <w:r>
        <w:rPr>
          <w:rFonts w:ascii="Times New Roman" w:cs="Times New Roman" w:eastAsia="Times New Roman" w:hAnsi="Times New Roman"/>
          <w:b/>
          <w:bCs/>
          <w:sz w:val="24"/>
          <w:szCs w:val="24"/>
        </w:rPr>
        <w:t xml:space="preserve">3.1  Dataset</w:t>
      </w:r>
    </w:p>
    <w:p>
      <w:pPr>
        <w:spacing w:after="100" w:before="0" w:line="264"/>
        <w:jc w:val="both"/>
      </w:pPr>
      <w:r>
        <w:t>Experiments use the public Cheng brain-tumour dataset (Figshare article 1512427, DOI 10.6084/m9.figshare.1512427) [3, 4]: 3,064 two-dimensional T1-weighted contrast-enhanced slices acquired between 2005 and 2010 at Nanfang Hospital (Guangzhou) and General Hospital, Tianjin Medical University. Original raw MATLAB v7.3 .mat files containing 16-bit signed integer pixel matrices (cjdata.image) were converted to 8-bit unsigned integer arrays via deterministic per-slice min-max normalization: I_8 = uint8(255 * (I - I_min) / (I_max - I_min)). Paired binary tumour masks (cjdata.tumorMask) were verified for strict binary integrity ({0, 1}), and tumour border coordinates and patient identifiers (PID) were extracted. The 233 unique patient identifiers comprise 89 glioma (38.2%), 82 meningioma (35.2%), and 62 pituitary tumour (26.6%) patients (Table 2). The target is a three-class slice label, not a patient-level clinical diagnosis.</w:t>
      </w:r>
    </w:p>
    <w:p>
      <w:pPr>
        <w:keepNext/>
        <w:spacing w:after="80" w:before="160" w:line="240"/>
        <w:jc w:val="both"/>
      </w:pPr>
      <w:r>
        <w:rPr>
          <w:rFonts w:ascii="Times New Roman" w:cs="Times New Roman" w:eastAsia="Times New Roman" w:hAnsi="Times New Roman"/>
          <w:b/>
          <w:bCs/>
          <w:sz w:val="19"/>
          <w:szCs w:val="19"/>
        </w:rPr>
        <w:t xml:space="preserve">Table 2  </w:t>
      </w:r>
      <w:r>
        <w:rPr>
          <w:rFonts w:ascii="Times New Roman" w:cs="Times New Roman" w:eastAsia="Times New Roman" w:hAnsi="Times New Roman"/>
          <w:sz w:val="19"/>
          <w:szCs w:val="19"/>
        </w:rPr>
        <w:t xml:space="preserve">Dataset composition by tumour class.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672"/>
      </w:tblGrid>
      <w:tr>
        <w:trPr>
          <w:tblHeader/>
        </w:trPr>
        <w:tc>
          <w:tcPr>
            <w:tcW w:type="dxa" w:w="2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before="40" w:after="40"/>
            </w:pPr>
            <w:r>
              <w:rPr>
                <w:rFonts w:ascii="Calibri" w:hAnsi="Calibri"/>
                <w:sz w:val="17"/>
              </w:rPr>
              <w:t>Class</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before="40" w:after="40"/>
            </w:pPr>
            <w:r>
              <w:rPr>
                <w:rFonts w:ascii="Calibri" w:hAnsi="Calibri"/>
                <w:sz w:val="17"/>
              </w:rPr>
              <w:t>Patients (%)</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before="40" w:after="40"/>
            </w:pPr>
            <w:r>
              <w:rPr>
                <w:rFonts w:ascii="Calibri" w:hAnsi="Calibri"/>
                <w:sz w:val="17"/>
              </w:rPr>
              <w:t>Slices (%)</w:t>
            </w:r>
          </w:p>
        </w:tc>
        <w:tc>
          <w:tcPr>
            <w:tcW w:type="dxa" w:w="46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before="40" w:after="40"/>
            </w:pPr>
            <w:r>
              <w:rPr>
                <w:rFonts w:ascii="Calibri" w:hAnsi="Calibri"/>
                <w:sz w:val="17"/>
              </w:rPr>
              <w:t>Typical anatomical location and commonly used imaging planes (not verified in this dataset)</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Meningioma</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82 (35.19%)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708 (23.11%)</w:t>
            </w:r>
          </w:p>
        </w:tc>
        <w:tc>
          <w:tcPr>
            <w:tcW w:type="dxa" w:w="4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Dural-based, extra-axial (parasagittal, convexity); typically axial &amp; coronal views [AUTHOR ACTION: cite source or remove plane claim]</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Glioma</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89 (38.20%)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1,426 (46.54%)</w:t>
            </w:r>
          </w:p>
        </w:tc>
        <w:tc>
          <w:tcPr>
            <w:tcW w:type="dxa" w:w="4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Intra-axial cerebral/cerebellar parenchyma; typically axial views [AUTHOR ACTION: cite source or remove plane claim]</w:t>
            </w:r>
          </w:p>
        </w:tc>
      </w:tr>
      <w:tr>
        <w:trPr>
          <w:cantSplit/>
        </w:trPr>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before="40" w:after="40"/>
            </w:pPr>
            <w:r>
              <w:rPr>
                <w:rFonts w:ascii="Calibri" w:hAnsi="Calibri"/>
                <w:sz w:val="17"/>
              </w:rPr>
              <w:t>Pituitary tumour</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before="40" w:after="40"/>
            </w:pPr>
            <w:r>
              <w:rPr>
                <w:rFonts w:ascii="Calibri" w:hAnsi="Calibri"/>
                <w:sz w:val="17"/>
              </w:rPr>
              <w:t>62 (26.61%)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before="40" w:after="40"/>
            </w:pPr>
            <w:r>
              <w:rPr>
                <w:rFonts w:ascii="Calibri" w:hAnsi="Calibri"/>
                <w:sz w:val="17"/>
              </w:rPr>
              <w:t>930 (30.35%)</w:t>
            </w:r>
          </w:p>
        </w:tc>
        <w:tc>
          <w:tcPr>
            <w:tcW w:type="dxa" w:w="46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before="40" w:after="40"/>
            </w:pPr>
            <w:r>
              <w:rPr>
                <w:rFonts w:ascii="Calibri" w:hAnsi="Calibri"/>
                <w:sz w:val="17"/>
              </w:rPr>
              <w:t>Sella turcica &amp; skull base; typically coronal &amp; sagittal views [AUTHOR ACTION: cite source or remove plane claim]</w:t>
            </w:r>
          </w:p>
        </w:tc>
      </w:tr>
      <w:tr>
        <w:trPr>
          <w:cantSplit/>
        </w:trPr>
        <w:tc>
          <w:tcPr>
            <w:tcW w:type="dxa" w:w="2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before="40" w:after="40"/>
            </w:pPr>
            <w:r>
              <w:rPr>
                <w:rFonts w:ascii="Calibri" w:hAnsi="Calibri"/>
                <w:sz w:val="17"/>
              </w:rPr>
              <w:t>Total</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before="40" w:after="40"/>
            </w:pPr>
            <w:r>
              <w:rPr>
                <w:rFonts w:ascii="Calibri" w:hAnsi="Calibri"/>
                <w:sz w:val="17"/>
              </w:rPr>
              <w:t>233 (100.0%)</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before="40" w:after="40"/>
            </w:pPr>
            <w:r>
              <w:rPr>
                <w:rFonts w:ascii="Calibri" w:hAnsi="Calibri"/>
                <w:sz w:val="17"/>
              </w:rPr>
              <w:t>3,064 (100.0%)</w:t>
            </w:r>
          </w:p>
        </w:tc>
        <w:tc>
          <w:tcPr>
            <w:tcW w:type="dxa" w:w="46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before="40" w:after="40"/>
            </w:pPr>
            <w:r>
              <w:rPr>
                <w:rFonts w:ascii="Calibri" w:hAnsi="Calibri"/>
                <w:sz w:val="17"/>
              </w:rPr>
              <w:t>233 unique patient clusters (mean 13.2 slices/patient)</w:t>
            </w:r>
          </w:p>
        </w:tc>
      </w:tr>
    </w:tbl>
    <w:p>
      <w:pPr>
        <w:spacing w:after="100" w:before="100" w:line="264"/>
        <w:jc w:val="both"/>
      </w:pPr>
      <w:r>
        <w:t>The example slices in Fig. 2 have visual appearances consistent with different viewing orientations. Clinical MRI protocols routinely acquire pituitary tumours in coronal and sagittal planes to evaluate the sella turcica, pituitary stalk, and optic chiasm, whereas supratentorial gliomas are predominantly imaged in axial planes. Because the source Cheng MAT files lack embedded acquisition-plane headers or orientation matrices, tumour class and imaging plane are partially confounded. Distant background permutations obliterate cranial-vault silhouettes, orbital landmarks, and skull-base contours that provide strong orientation cues. Imaging plane was not recorded as an explicit stratification variable in the original repository, representing a first-order anatomical confound that directly informs the directional error collapse documented below. The repository also lacks full acquisition parameters (field strength, TR, TE, slice thickness), precluding scanner-level stratification.</w:t>
      </w:r>
    </w:p>
    <w:p>
      <w:pPr>
        <w:keepNext/>
        <w:spacing w:after="40" w:before="120"/>
        <w:jc w:val="center"/>
      </w:pPr>
      <w:r>
        <w:drawing>
          <wp:inline distT="0" distB="0" distL="0" distR="0">
            <wp:extent cx="5124450" cy="34766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47662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2  </w:t>
      </w:r>
      <w:r>
        <w:rPr>
          <w:rFonts w:ascii="Times New Roman" w:cs="Times New Roman" w:eastAsia="Times New Roman" w:hAnsi="Times New Roman"/>
          <w:sz w:val="19"/>
          <w:szCs w:val="19"/>
        </w:rPr>
        <w:t xml:space="preserve">Example slices (top) and the protection geometry (bottom): tumour core (red) and the 15-pixel peritumoral margin (cyan) for a meningioma, a glioma and a pituitary tumour. Pixels inside both regions are never modified in any condition.</w:t>
      </w:r>
    </w:p>
    <w:p>
      <w:pPr>
        <w:pStyle w:val="Heading2"/>
        <w:keepNext/>
        <w:spacing w:after="100" w:before="200"/>
      </w:pPr>
      <w:r>
        <w:rPr>
          <w:rFonts w:ascii="Times New Roman" w:cs="Times New Roman" w:eastAsia="Times New Roman" w:hAnsi="Times New Roman"/>
          <w:b/>
          <w:bCs/>
          <w:sz w:val="24"/>
          <w:szCs w:val="24"/>
        </w:rPr>
        <w:t xml:space="preserve">3.2  Evaluation scenarios and patient grouping</w:t>
      </w:r>
    </w:p>
    <w:p>
      <w:pPr>
        <w:spacing w:after="100" w:before="0" w:line="264"/>
        <w:jc w:val="both"/>
      </w:pPr>
      <w:r>
        <w:t>Three five-fold scenarios were evaluated to examine sensitivity to leakage control and patient grouping. Candidate near-duplicate grouping was performed on full-resolution 512×512 images using structural similarity (SSIM, window size 11×11, Gaussian weighting sigma = 1.5). S0 groups slices strictly by patient identifier (233 clusters), so no patient appears in both training and held-out folds. S1 additionally merges patient clusters that contain slice pairs with structural similarity SSIM &gt;= 0.80 [21], resulting in 231 clusters (a merge of only two patient clusters relative to S0). S2 applies a broader threshold SSIM &gt;= 0.75, yielding 217 clusters. Merging is performed over connected components of the similarity graph. Because S1 merges only two clusters, differences in fold sizes and performance drops between S0 and S1 most likely reflect fold-level checkpoint training variance rather than grouping stringency (Table 3).</w:t>
      </w:r>
    </w:p>
    <w:p>
      <w:pPr>
        <w:keepNext/>
        <w:spacing w:after="80" w:before="160" w:line="240"/>
        <w:jc w:val="both"/>
      </w:pPr>
      <w:r>
        <w:rPr>
          <w:rFonts w:ascii="Times New Roman" w:cs="Times New Roman" w:eastAsia="Times New Roman" w:hAnsi="Times New Roman"/>
          <w:b/>
          <w:bCs/>
          <w:sz w:val="19"/>
          <w:szCs w:val="19"/>
        </w:rPr>
        <w:t xml:space="preserve">Table 3  </w:t>
      </w:r>
      <w:r>
        <w:rPr>
          <w:rFonts w:ascii="Times New Roman" w:cs="Times New Roman" w:eastAsia="Times New Roman" w:hAnsi="Times New Roman"/>
          <w:sz w:val="19"/>
          <w:szCs w:val="19"/>
        </w:rPr>
        <w:t xml:space="preserve">Evaluation scenarios, clustering units and held-out fold sizes (number of slices evaluated by each fold’s checkpoint).</w:t>
      </w:r>
    </w:p>
    <w:tbl>
      <w:tblPr>
        <w:tblW w:type="dxa" w:w="8372"/>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900"/>
        <w:gridCol w:w="700"/>
        <w:gridCol w:w="700"/>
        <w:gridCol w:w="700"/>
        <w:gridCol w:w="700"/>
        <w:gridCol w:w="672"/>
      </w:tblGrid>
      <w:tr>
        <w:trPr>
          <w:tblHeader/>
        </w:trPr>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ID</w:t>
            </w:r>
          </w:p>
        </w:tc>
        <w:tc>
          <w:tcPr>
            <w:tcW w:type="dxa" w:w="3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Grouping criterion</w:t>
            </w:r>
          </w:p>
        </w:tc>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Clusters</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F2</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F3</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F4</w:t>
            </w:r>
          </w:p>
        </w:tc>
        <w:tc>
          <w:tcPr>
            <w:tcW w:type="dxa" w:w="6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F5</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0</w:t>
            </w:r>
          </w:p>
        </w:tc>
        <w:tc>
          <w:tcPr>
            <w:tcW w:type="dxa" w:w="3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Unique patient ID</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233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1</w:t>
            </w:r>
          </w:p>
        </w:tc>
        <w:tc>
          <w:tcPr>
            <w:tcW w:type="dxa" w:w="3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Patient ID + SSIM ≥ 0.80 merges</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231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r>
        <w:trPr>
          <w:cantSplit/>
        </w:trPr>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2</w:t>
            </w:r>
          </w:p>
        </w:tc>
        <w:tc>
          <w:tcPr>
            <w:tcW w:type="dxa" w:w="3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Patient ID + SSIM ≥ 0.75 merges</w:t>
            </w:r>
          </w:p>
        </w:tc>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217</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6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bl>
    <w:p>
      <w:pPr>
        <w:pStyle w:val="Heading2"/>
        <w:keepNext/>
        <w:spacing w:after="100" w:before="200"/>
      </w:pPr>
      <w:r>
        <w:rPr>
          <w:rFonts w:ascii="Times New Roman" w:cs="Times New Roman" w:eastAsia="Times New Roman" w:hAnsi="Times New Roman"/>
          <w:b/>
          <w:bCs/>
          <w:sz w:val="24"/>
          <w:szCs w:val="24"/>
        </w:rPr>
        <w:t xml:space="preserve">3.3  Model and training configuration</w:t>
      </w:r>
    </w:p>
    <w:p>
      <w:pPr>
        <w:spacing w:after="100" w:before="0" w:line="264"/>
        <w:jc w:val="both"/>
      </w:pPr>
      <w:r>
        <w:rPr>
          <w:rFonts w:ascii="Times New Roman" w:cs="Times New Roman" w:eastAsia="Times New Roman" w:hAnsi="Times New Roman"/>
          <w:sz w:val="22"/>
          <w:szCs w:val="22"/>
        </w:rPr>
        <w:t xml:space="preserve">All models are the Torchvision ResNet-50 [20] initialized from ImageNet-1k weights (IMAGENET1K_V2; the SHA-256 of the weight file is recorded) [26], with the final layer replaced by a 2048 → 3 linear head (meningioma, glioma, pituitary). Inputs are resized to 224 × 224 with bilinear interpolation and ImageNet normalization. Training used class-weighted cross-entropy and AdamW (learning rate 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weight decay 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with a batch size of 16, at most 20 epochs with early stopping (patience 5), mixed precision, random horizontal flips and random rotations (±10°) as augmentation, and the seed 42 + fold index. For each outer test fold, the next fold in cyclic order served as the validation set; train, validation and test folds are disjoint in patients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which the training script enforces by assertion. The epoch with the highest validation Macro-F1 (ties broken by lower validation loss) was retained and frozen, giving fifteen checkpoints (3 scenarios × 5 folds). Training all 15 checkpoints took 2,612 s on a laptop NVIDIA RTX 4050 GPU (6 GiB). No parameter was updated during any intervention experiment; the interventions change only the input at inference.</w:t>
      </w:r>
    </w:p>
    <w:p>
      <w:pPr>
        <w:keepNext/>
        <w:spacing w:after="80" w:before="160" w:line="240"/>
        <w:jc w:val="both"/>
      </w:pPr>
      <w:r>
        <w:rPr>
          <w:rFonts w:ascii="Times New Roman" w:cs="Times New Roman" w:eastAsia="Times New Roman" w:hAnsi="Times New Roman"/>
          <w:b/>
          <w:bCs/>
          <w:sz w:val="19"/>
          <w:szCs w:val="19"/>
        </w:rPr>
        <w:t xml:space="preserve">Table 4  </w:t>
      </w:r>
      <w:r>
        <w:rPr>
          <w:rFonts w:ascii="Times New Roman" w:cs="Times New Roman" w:eastAsia="Times New Roman" w:hAnsi="Times New Roman"/>
          <w:sz w:val="19"/>
          <w:szCs w:val="19"/>
        </w:rPr>
        <w:t xml:space="preserve">Model and training configuration.</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6372"/>
      </w:tblGrid>
      <w:tr>
        <w:trPr>
          <w:tblHeader/>
        </w:trPr>
        <w:tc>
          <w:tcPr>
            <w:tcW w:type="dxa" w:w="2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Item</w:t>
            </w:r>
          </w:p>
        </w:tc>
        <w:tc>
          <w:tcPr>
            <w:tcW w:type="dxa" w:w="63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Specification</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Architecture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ResNet-50 (Torchvision), ImageNet-1k pretrained (IMAGENET1K_V2)</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Input</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224 × 224 × 3, bilinear resize, ImageNet normalization</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Head</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Linear(2048, 3)</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Loss</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Class-weighted cross-entropy</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Optimizer</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AdamW, learning rate 1e-4, weight decay 1e-4</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Schedule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At most 20 epochs; early stopping, patience 5</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Batch size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16 (training)</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Augmentation</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Random horizontal flip (p = 0.5); random rotation (±10°)</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Validation / selection</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Next fold in cyclic order; highest validation Macro-F1 (tie: lower loss)</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Seed</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42 + fold index</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Hardware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NVIDIA GeForce RTX 4050 Laptop GPU (6 GiB); 2,612 s for all 15 checkpoints</w:t>
            </w:r>
          </w:p>
        </w:tc>
      </w:tr>
      <w:tr>
        <w:trPr>
          <w:cantSplit/>
        </w:trPr>
        <w:tc>
          <w:tcPr>
            <w:tcW w:type="dxa" w:w="2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Inference mode</w:t>
            </w:r>
          </w:p>
        </w:tc>
        <w:tc>
          <w:tcPr>
            <w:tcW w:type="dxa" w:w="63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Frozen weights; no fine-tuning during interventions</w:t>
            </w:r>
          </w:p>
        </w:tc>
      </w:tr>
    </w:tbl>
    <w:p>
      <w:pPr>
        <w:pStyle w:val="Heading2"/>
        <w:keepNext/>
        <w:spacing w:after="100" w:before="200"/>
      </w:pPr>
      <w:r>
        <w:rPr>
          <w:rFonts w:ascii="Times New Roman" w:cs="Times New Roman" w:eastAsia="Times New Roman" w:hAnsi="Times New Roman"/>
          <w:b/>
          <w:bCs/>
          <w:sz w:val="24"/>
          <w:szCs w:val="24"/>
        </w:rPr>
        <w:t xml:space="preserve">3.4  Protected-zone invariant</w:t>
      </w:r>
    </w:p>
    <w:p>
      <w:pPr>
        <w:spacing w:after="100" w:before="0" w:line="264"/>
        <w:jc w:val="both"/>
      </w:pPr>
      <w:r>
        <w:rPr>
          <w:rFonts w:ascii="Times New Roman" w:cs="Times New Roman" w:eastAsia="Times New Roman" w:hAnsi="Times New Roman"/>
          <w:sz w:val="22"/>
          <w:szCs w:val="22"/>
        </w:rPr>
        <w:t xml:space="preserve">To ensure that interventions act only on non-tumour context, the ground-truth mask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tumor</w:t>
      </w:r>
      <w:r>
        <w:rPr>
          <w:rFonts w:ascii="Times New Roman" w:cs="Times New Roman" w:eastAsia="Times New Roman" w:hAnsi="Times New Roman"/>
          <w:sz w:val="22"/>
          <w:szCs w:val="22"/>
        </w:rPr>
        <w:t xml:space="preserve"> and a 15-pixel dilation ring are protected. The ring is obtained by morphological dilation with a 31 × 31 elliptical structuring element </w:t>
      </w:r>
      <w:r>
        <w:rPr>
          <w:rFonts w:ascii="Times New Roman" w:cs="Times New Roman" w:eastAsia="Times New Roman" w:hAnsi="Times New Roman"/>
          <w:i/>
          <w:iCs/>
          <w:sz w:val="22"/>
          <w:szCs w:val="22"/>
        </w:rPr>
        <w:t xml:space="preserve">E</w:t>
      </w:r>
      <w:r>
        <w:rPr>
          <w:rFonts w:ascii="Times New Roman" w:cs="Times New Roman" w:eastAsia="Times New Roman" w:hAnsi="Times New Roman"/>
          <w:sz w:val="22"/>
          <w:szCs w:val="22"/>
        </w:rPr>
        <w:t xml:space="preserv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margin</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31×31</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margin</w:t>
      </w:r>
      <w:r>
        <w:rPr>
          <w:rFonts w:ascii="Times New Roman" w:cs="Times New Roman" w:eastAsia="Times New Roman" w:hAnsi="Times New Roman"/>
          <w:sz w:val="22"/>
          <w:szCs w:val="22"/>
        </w:rPr>
        <w:t xml:space="preserve">	(1)</w:t>
      </w:r>
    </w:p>
    <w:p>
      <w:pPr>
        <w:spacing w:after="100" w:before="0" w:line="264"/>
        <w:jc w:val="both"/>
      </w:pPr>
      <w:r>
        <w:rPr>
          <w:rFonts w:ascii="Times New Roman" w:cs="Times New Roman" w:eastAsia="Times New Roman" w:hAnsi="Times New Roman"/>
          <w:sz w:val="22"/>
          <w:szCs w:val="22"/>
        </w:rPr>
        <w:t xml:space="preserve">and every condition must satisfy the invariant</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cond</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(2)</w:t>
      </w:r>
    </w:p>
    <w:p>
      <w:pPr>
        <w:spacing w:after="100" w:before="0" w:line="264"/>
        <w:jc w:val="both"/>
      </w:pPr>
      <w:r>
        <w:rPr>
          <w:rFonts w:ascii="Times New Roman" w:cs="Times New Roman" w:eastAsia="Times New Roman" w:hAnsi="Times New Roman"/>
          <w:sz w:val="22"/>
          <w:szCs w:val="22"/>
        </w:rPr>
        <w:t xml:space="preserve">The invariant was verified on all 3,064 slices in all conditions (zero altered pixels inside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w:t>
      </w:r>
    </w:p>
    <w:p>
      <w:pPr>
        <w:pStyle w:val="Heading2"/>
        <w:keepNext/>
        <w:spacing w:after="100" w:before="200"/>
      </w:pPr>
      <w:r>
        <w:rPr>
          <w:rFonts w:ascii="Times New Roman" w:cs="Times New Roman" w:eastAsia="Times New Roman" w:hAnsi="Times New Roman"/>
          <w:b/>
          <w:bCs/>
          <w:sz w:val="24"/>
          <w:szCs w:val="24"/>
        </w:rPr>
        <w:t xml:space="preserve">3.5  Tile partition and eligible tiles</w:t>
      </w:r>
    </w:p>
    <w:p>
      <w:pPr>
        <w:spacing w:after="100" w:before="0" w:line="264"/>
        <w:jc w:val="both"/>
      </w:pPr>
      <w:r>
        <w:rPr>
          <w:rFonts w:ascii="Times New Roman" w:cs="Times New Roman" w:eastAsia="Times New Roman" w:hAnsi="Times New Roman"/>
          <w:sz w:val="22"/>
          <w:szCs w:val="22"/>
        </w:rPr>
        <w:t xml:space="preserve">Each image is partitioned into non-overlapping tiles of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pixels with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 16. A tile is an eligible distant tile if and only if it has no intersection with the protected zone: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 : Σ</w:t>
      </w:r>
      <w:r>
        <w:rPr>
          <w:rFonts w:ascii="Times New Roman" w:cs="Times New Roman" w:eastAsia="Times New Roman" w:hAnsi="Times New Roman"/>
          <w:i/>
          <w:iCs/>
          <w:sz w:val="22"/>
          <w:szCs w:val="22"/>
          <w:vertAlign w:val="subscript"/>
        </w:rPr>
        <w:t xml:space="preserve">y,x</w:t>
      </w:r>
      <w:r>
        <w:rPr>
          <w:rFonts w:ascii="Times New Roman" w:cs="Times New Roman" w:eastAsia="Times New Roman" w:hAnsi="Times New Roman"/>
          <w:i w:val="false"/>
          <w:iCs w:val="false"/>
          <w:sz w:val="22"/>
          <w:szCs w:val="22"/>
          <w:vertAlign w:val="subscript"/>
        </w:rPr>
        <w:t xml:space="preserve"> ∈ tile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 0 }.</w:t>
      </w:r>
      <w:r>
        <w:rPr>
          <w:rFonts w:ascii="Times New Roman" w:cs="Times New Roman" w:eastAsia="Times New Roman" w:hAnsi="Times New Roman"/>
          <w:sz w:val="22"/>
          <w:szCs w:val="22"/>
        </w:rPr>
        <w:t xml:space="preserve">	(3)</w:t>
      </w:r>
    </w:p>
    <w:p>
      <w:pPr>
        <w:spacing w:after="100" w:before="0" w:line="264"/>
        <w:jc w:val="both"/>
      </w:pPr>
      <w:r>
        <w:rPr>
          <w:rFonts w:ascii="Times New Roman" w:cs="Times New Roman" w:eastAsia="Times New Roman" w:hAnsi="Times New Roman"/>
          <w:sz w:val="22"/>
          <w:szCs w:val="22"/>
        </w:rPr>
        <w:t xml:space="preserve">Let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 A deterministic pseudo-random permutation π of {1,…,</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is generated for each slice from a seed derived from the slice identifier (SHA-256 hash combined with a fixed master seed of 42), so that the same permutation is used by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for a given slice.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 contains every tile outside the protected zone, including tiles of the image background; the consequences are discussed in Section 5.4. Because a tile is eligible only if it does not intersect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every tile that touches the tumour or its margin also stays unchanged, so the unmodified area is a tile-granular union that is larger than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(about 10–11% of pixels remain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under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Table 9). The junction between this unmodified block and the permuted context is not smoothed in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junction seam energy is reported in Table 9.</w:t>
      </w:r>
    </w:p>
    <w:p>
      <w:pPr>
        <w:pStyle w:val="Heading2"/>
        <w:keepNext/>
        <w:spacing w:after="100" w:before="200"/>
      </w:pPr>
      <w:r>
        <w:rPr>
          <w:rFonts w:ascii="Times New Roman" w:cs="Times New Roman" w:eastAsia="Times New Roman" w:hAnsi="Times New Roman"/>
          <w:b/>
          <w:bCs/>
          <w:sz w:val="24"/>
          <w:szCs w:val="24"/>
        </w:rPr>
        <w:t xml:space="preserve">3.6  Input conditions</w:t>
      </w:r>
    </w:p>
    <w:p>
      <w:pPr>
        <w:spacing w:after="6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 – baseline.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vertAlign w:val="subscript"/>
        </w:rPr>
        <w:t xml:space="preserve">C0</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vertAlign w:val="subscript"/>
        </w:rPr>
        <w:t xml:space="preserve">orig</w:t>
      </w:r>
      <w:r>
        <w:rPr>
          <w:rFonts w:ascii="Times New Roman" w:cs="Times New Roman" w:eastAsia="Times New Roman" w:hAnsi="Times New Roman"/>
          <w:sz w:val="22"/>
          <w:szCs w:val="22"/>
        </w:rPr>
        <w:t xml:space="preserve">.</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3</w:t>
      </w:r>
      <w:r>
        <w:rPr>
          <w:rFonts w:ascii="Times New Roman" w:cs="Times New Roman" w:eastAsia="Times New Roman" w:hAnsi="Times New Roman"/>
          <w:b/>
          <w:bCs/>
          <w:sz w:val="22"/>
          <w:szCs w:val="22"/>
        </w:rPr>
        <w:t xml:space="preserve"> – raw historical scramble.</w:t>
      </w:r>
      <w:r>
        <w:rPr>
          <w:rFonts w:ascii="Times New Roman" w:cs="Times New Roman" w:eastAsia="Times New Roman" w:hAnsi="Times New Roman"/>
          <w:sz w:val="22"/>
          <w:szCs w:val="22"/>
        </w:rPr>
        <w:t xml:space="preserve"> For each eligible tile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at grid position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the pixels are replaced by those of tile 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at grid position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with no smoothing:</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(4)</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 – tile-mean-offset control.</w:t>
      </w:r>
      <w:r>
        <w:rPr>
          <w:rFonts w:ascii="Times New Roman" w:cs="Times New Roman" w:eastAsia="Times New Roman" w:hAnsi="Times New Roman"/>
          <w:sz w:val="22"/>
          <w:szCs w:val="22"/>
        </w:rPr>
        <w:t xml:space="preserve"> Tile content stays in its original position, but each eligible tile receives the scalar offset that the scramble would impose on its mean intensity:</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val="false"/>
          <w:iCs w:val="false"/>
          <w:sz w:val="22"/>
          <w:szCs w:val="22"/>
        </w:rPr>
        <w:t xml:space="preserve"> = mean(</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 − mean(</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C1</w:t>
      </w:r>
      <w:r>
        <w:rPr>
          <w:rFonts w:ascii="Times New Roman" w:cs="Times New Roman" w:eastAsia="Times New Roman" w:hAnsi="Times New Roman"/>
          <w:i w:val="false"/>
          <w:iCs w:val="false"/>
          <w:sz w:val="22"/>
          <w:szCs w:val="22"/>
        </w:rPr>
        <w:t xml:space="preserve"> = clip(</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 + 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val="false"/>
          <w:iCs w:val="false"/>
          <w:sz w:val="22"/>
          <w:szCs w:val="22"/>
        </w:rPr>
        <w:t xml:space="preserve">, 0, 255).</w:t>
      </w:r>
      <w:r>
        <w:rPr>
          <w:rFonts w:ascii="Times New Roman" w:cs="Times New Roman" w:eastAsia="Times New Roman" w:hAnsi="Times New Roman"/>
          <w:sz w:val="22"/>
          <w:szCs w:val="22"/>
        </w:rPr>
        <w:t xml:space="preserve">	(5)</w:t>
      </w:r>
    </w:p>
    <w:p>
      <w:pPr>
        <w:spacing w:after="100" w:before="0" w:line="264"/>
        <w:jc w:val="both"/>
      </w:pPr>
      <w:r>
        <w:rPr>
          <w:rFonts w:ascii="Times New Roman" w:cs="Times New Roman" w:eastAsia="Times New Roman" w:hAnsi="Times New Roman"/>
          <w:sz w:val="22"/>
          <w:szCs w:val="22"/>
        </w:rPr>
        <w:t xml:space="preserve">After the offset, the mean intensity of every tile equals that of the tile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would place there.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therefore reproduces the </w:t>
      </w:r>
      <w:r>
        <w:rPr>
          <w:rFonts w:ascii="Times New Roman" w:cs="Times New Roman" w:eastAsia="Times New Roman" w:hAnsi="Times New Roman"/>
          <w:i/>
          <w:iCs/>
          <w:sz w:val="22"/>
          <w:szCs w:val="22"/>
        </w:rPr>
        <w:t xml:space="preserve">coarse (tile-level) intensity layout</w:t>
      </w:r>
      <w:r>
        <w:rPr>
          <w:rFonts w:ascii="Times New Roman" w:cs="Times New Roman" w:eastAsia="Times New Roman" w:hAnsi="Times New Roman"/>
          <w:sz w:val="22"/>
          <w:szCs w:val="22"/>
        </w:rPr>
        <w:t xml:space="preserve"> of the scramble and its step discontinuities at tile borders; only the within-tile texture remains in its original position. It is thus not a pure seam control and does not leave the layout intact: bright tiles of brain tissue can receive the mean of dark background tiles and vice versa (Fig. 3). Values are clipped to [0, 255], so tiles near the intensity limits are not shifted exactly by 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sz w:val="22"/>
          <w:szCs w:val="22"/>
        </w:rPr>
        <w:t xml:space="preserve">, which lowers the within-tile gradient (Section 4.6). The role of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is to test whether the tile-level offsets and seam steps of the scramble, without moving texture, are sufficient to degrade the classifier.</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b/>
          <w:bCs/>
          <w:sz w:val="22"/>
          <w:szCs w:val="22"/>
        </w:rPr>
        <w:t xml:space="preserve"> – seam-suppressed rearrangement.</w:t>
      </w:r>
      <w:r>
        <w:rPr>
          <w:rFonts w:ascii="Times New Roman" w:cs="Times New Roman" w:eastAsia="Times New Roman" w:hAnsi="Times New Roman"/>
          <w:sz w:val="22"/>
          <w:szCs w:val="22"/>
        </w:rPr>
        <w:t xml:space="preserve"> Eligible tiles are permuted as in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the result is locally low-pass filtered near tile boundaries. Let </w:t>
      </w:r>
      <w:r>
        <w:rPr>
          <w:rFonts w:ascii="Times New Roman" w:cs="Times New Roman" w:eastAsia="Times New Roman" w:hAnsi="Times New Roman"/>
          <w:i/>
          <w:iCs/>
          <w:sz w:val="22"/>
          <w:szCs w:val="22"/>
        </w:rPr>
        <w:t xml:space="preserve">G</w:t>
      </w:r>
      <w:r>
        <w:rPr>
          <w:rFonts w:ascii="Times New Roman" w:cs="Times New Roman" w:eastAsia="Times New Roman" w:hAnsi="Times New Roman"/>
          <w:sz w:val="22"/>
          <w:szCs w:val="22"/>
          <w:vertAlign w:val="subscript"/>
        </w:rPr>
        <w:t xml:space="preserve">σ</w:t>
      </w:r>
      <w:r>
        <w:rPr>
          <w:rFonts w:ascii="Times New Roman" w:cs="Times New Roman" w:eastAsia="Times New Roman" w:hAnsi="Times New Roman"/>
          <w:sz w:val="22"/>
          <w:szCs w:val="22"/>
        </w:rPr>
        <w:t xml:space="preserve"> be a 9 × 9 Gaussian blur with σ = 2.5 px and let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be the Euclidean distance to the nearest seam line (the last row or column of an eligible tile that borders another eligible tile). The output is a distance-weighted mixture of the permuted and the blurred image: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λ(</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 max(0, 1 − </w:t>
      </w:r>
      <w:r>
        <w:rPr>
          <w:rFonts w:ascii="Times New Roman" w:cs="Times New Roman" w:eastAsia="Times New Roman" w:hAnsi="Times New Roman"/>
          <w:i/>
          <w:iCs/>
          <w:sz w:val="22"/>
          <w:szCs w:val="22"/>
        </w:rPr>
        <w:t xml:space="preserve">D</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i w:val="false"/>
          <w:iCs w:val="false"/>
          <w:sz w:val="22"/>
          <w:szCs w:val="22"/>
        </w:rPr>
        <w:t xml:space="preserve"> = (1 − λ)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λ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val="false"/>
          <w:iCs w:val="false"/>
          <w:sz w:val="22"/>
          <w:szCs w:val="22"/>
          <w:vertAlign w:val="subscript"/>
        </w:rPr>
        <w:t xml:space="preserve">σ</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 = 4 px,</w:t>
      </w:r>
      <w:r>
        <w:rPr>
          <w:rFonts w:ascii="Times New Roman" w:cs="Times New Roman" w:eastAsia="Times New Roman" w:hAnsi="Times New Roman"/>
          <w:sz w:val="22"/>
          <w:szCs w:val="22"/>
        </w:rPr>
        <w:t xml:space="preserve">	(6)</w:t>
      </w:r>
    </w:p>
    <w:p>
      <w:pPr>
        <w:spacing w:after="100" w:before="0" w:line="264"/>
        <w:jc w:val="both"/>
      </w:pPr>
      <w:r>
        <w:rPr>
          <w:rFonts w:ascii="Times New Roman" w:cs="Times New Roman" w:eastAsia="Times New Roman" w:hAnsi="Times New Roman"/>
          <w:sz w:val="22"/>
          <w:szCs w:val="22"/>
        </w:rPr>
        <w:t xml:space="preserve">with λ = 0 inside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The step edge is thus attenuated by local blurring within about 4 px of each seam; adjacent tiles are not cross-faded with each other, and the step is not removed. Because the blending zone extends up to 4 px on each side of a seam in a 16-px tile, a large share of each tile’s area is blurred to some degree, and the central 12 × 12 “interior” used for diagnostics overlaps the blending zone (Section 4.6).</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b/>
          <w:bCs/>
          <w:sz w:val="22"/>
          <w:szCs w:val="22"/>
        </w:rPr>
        <w:t xml:space="preserve"> – true seam-only controls.</w:t>
      </w:r>
      <w:r>
        <w:rPr>
          <w:rFonts w:ascii="Times New Roman" w:cs="Times New Roman" w:eastAsia="Times New Roman" w:hAnsi="Times New Roman"/>
          <w:sz w:val="22"/>
          <w:szCs w:val="22"/>
        </w:rPr>
        <w:t xml:space="preserve"> These controls add only the seam step that the scramble would create and leave everything else untouched. For two horizontally (or vertically) adjacent eligible tiles, let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be the permuted border pixels on the two sides of a seam and </w:t>
      </w:r>
      <w:r>
        <w:rPr>
          <w:rFonts w:ascii="Times New Roman" w:cs="Times New Roman" w:eastAsia="Times New Roman" w:hAnsi="Times New Roman"/>
          <w:i/>
          <w:iCs/>
          <w:sz w:val="22"/>
          <w:szCs w:val="22"/>
        </w:rPr>
        <w:t xml:space="preserve">o</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o</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the original ones. The seam step is the extra jump the permutation creates, and it is applied symmetrically to the two pixels adjacent to the seam, with gain γ:</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step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½ γ step,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½ γ step,</w:t>
      </w:r>
      <w:r>
        <w:rPr>
          <w:rFonts w:ascii="Times New Roman" w:cs="Times New Roman" w:eastAsia="Times New Roman" w:hAnsi="Times New Roman"/>
          <w:sz w:val="22"/>
          <w:szCs w:val="22"/>
        </w:rPr>
        <w:t xml:space="preserve">	(7)</w:t>
      </w:r>
    </w:p>
    <w:p>
      <w:pPr>
        <w:spacing w:after="100" w:before="0" w:line="264"/>
        <w:jc w:val="both"/>
      </w:pPr>
      <w:r>
        <w:rPr>
          <w:rFonts w:ascii="Times New Roman" w:cs="Times New Roman" w:eastAsia="Times New Roman" w:hAnsi="Times New Roman"/>
          <w:sz w:val="22"/>
          <w:szCs w:val="22"/>
        </w:rPr>
        <w:t xml:space="preserve">followed by clipping to [0, 255] and restoring the protected zone. γ = 1.0 gives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γ = 1.8 gives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both modify the same two pixels per seam, so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varies the seam </w:t>
      </w:r>
      <w:r>
        <w:rPr>
          <w:rFonts w:ascii="Times New Roman" w:cs="Times New Roman" w:eastAsia="Times New Roman" w:hAnsi="Times New Roman"/>
          <w:i/>
          <w:iCs/>
          <w:sz w:val="22"/>
          <w:szCs w:val="22"/>
        </w:rPr>
        <w:t xml:space="preserve">amplitude</w:t>
      </w:r>
      <w:r>
        <w:rPr>
          <w:rFonts w:ascii="Times New Roman" w:cs="Times New Roman" w:eastAsia="Times New Roman" w:hAnsi="Times New Roman"/>
          <w:sz w:val="22"/>
          <w:szCs w:val="22"/>
        </w:rPr>
        <w:t xml:space="preserve">, not its width (the repository labels these conditions C1_true_seam_w2 and C1_true_seam_w3). Tile interiors, tumour and margin are unchanged, and about 81% of pixels at source resolution are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seam-only controls were created after the primary results were known and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4.6).</w:t>
      </w:r>
    </w:p>
    <w:p>
      <w:pPr>
        <w:keepNext/>
        <w:spacing w:after="40" w:before="120"/>
        <w:jc w:val="center"/>
      </w:pPr>
      <w:r>
        <w:drawing>
          <wp:inline distT="0" distB="0" distL="0" distR="0">
            <wp:extent cx="5391150" cy="37147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37147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3  </w:t>
      </w:r>
      <w:r>
        <w:rPr>
          <w:rFonts w:ascii="Times New Roman" w:cs="Times New Roman" w:eastAsia="Times New Roman" w:hAnsi="Times New Roman"/>
          <w:sz w:val="19"/>
          <w:szCs w:val="19"/>
        </w:rPr>
        <w:t xml:space="preserve">Four of the six conditions on one slice. Columns: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–C</w:t>
      </w:r>
      <w:r>
        <w:rPr>
          <w:rFonts w:ascii="Times New Roman" w:cs="Times New Roman" w:eastAsia="Times New Roman" w:hAnsi="Times New Roman"/>
          <w:sz w:val="19"/>
          <w:szCs w:val="19"/>
          <w:vertAlign w:val="subscript"/>
        </w:rPr>
        <w:t xml:space="preserve">3</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change only two pixels per seam and are not shown). Rows: image; absolute difference from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(contrast-stretched; black = unchanged, including the protected zone); Sobel gradient magnitude. The protected region is identical in all columns.</w:t>
      </w:r>
    </w:p>
    <w:p>
      <w:pPr>
        <w:pStyle w:val="Heading2"/>
        <w:keepNext/>
        <w:spacing w:after="100" w:before="200"/>
      </w:pPr>
      <w:r>
        <w:rPr>
          <w:rFonts w:ascii="Times New Roman" w:cs="Times New Roman" w:eastAsia="Times New Roman" w:hAnsi="Times New Roman"/>
          <w:b/>
          <w:bCs/>
          <w:sz w:val="24"/>
          <w:szCs w:val="24"/>
        </w:rPr>
        <w:t xml:space="preserve">3.7  Image diagnostics</w:t>
      </w:r>
    </w:p>
    <w:p>
      <w:pPr>
        <w:spacing w:after="100" w:before="0" w:line="264"/>
        <w:jc w:val="both"/>
      </w:pPr>
      <w:r>
        <w:rPr>
          <w:rFonts w:ascii="Times New Roman" w:cs="Times New Roman" w:eastAsia="Times New Roman" w:hAnsi="Times New Roman"/>
          <w:sz w:val="22"/>
          <w:szCs w:val="22"/>
        </w:rPr>
        <w:t xml:space="preserve">Interventions were characterized with the following measures, computed over all 3,064 slices. The Sobel gradient magnitude is</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(8)</w:t>
      </w:r>
    </w:p>
    <w:p>
      <w:pPr>
        <w:spacing w:after="100" w:before="0" w:line="264"/>
        <w:jc w:val="both"/>
      </w:pPr>
      <w:r>
        <w:rPr>
          <w:rFonts w:ascii="Times New Roman" w:cs="Times New Roman" w:eastAsia="Times New Roman" w:hAnsi="Times New Roman"/>
          <w:sz w:val="22"/>
          <w:szCs w:val="22"/>
        </w:rPr>
        <w:t xml:space="preserve">averaged over (a) a band on inter-tile grid lines inside distant context (</w:t>
      </w:r>
      <w:r>
        <w:rPr>
          <w:rFonts w:ascii="Times New Roman" w:cs="Times New Roman" w:eastAsia="Times New Roman" w:hAnsi="Times New Roman"/>
          <w:i/>
          <w:iCs/>
          <w:sz w:val="22"/>
          <w:szCs w:val="22"/>
        </w:rPr>
        <w:t xml:space="preserve">seam energy</w:t>
      </w:r>
      <w:r>
        <w:rPr>
          <w:rFonts w:ascii="Times New Roman" w:cs="Times New Roman" w:eastAsia="Times New Roman" w:hAnsi="Times New Roman"/>
          <w:sz w:val="22"/>
          <w:szCs w:val="22"/>
        </w:rPr>
        <w:t xml:space="preserve">), (b) the 2 × 2 pixel junctions where four tiles meet (</w:t>
      </w:r>
      <w:r>
        <w:rPr>
          <w:rFonts w:ascii="Times New Roman" w:cs="Times New Roman" w:eastAsia="Times New Roman" w:hAnsi="Times New Roman"/>
          <w:i/>
          <w:iCs/>
          <w:sz w:val="22"/>
          <w:szCs w:val="22"/>
        </w:rPr>
        <w:t xml:space="preserve">junction energy</w:t>
      </w:r>
      <w:r>
        <w:rPr>
          <w:rFonts w:ascii="Times New Roman" w:cs="Times New Roman" w:eastAsia="Times New Roman" w:hAnsi="Times New Roman"/>
          <w:sz w:val="22"/>
          <w:szCs w:val="22"/>
        </w:rPr>
        <w:t xml:space="preserve">) and (c) distant-tile pixels outside the seam band (</w:t>
      </w:r>
      <w:r>
        <w:rPr>
          <w:rFonts w:ascii="Times New Roman" w:cs="Times New Roman" w:eastAsia="Times New Roman" w:hAnsi="Times New Roman"/>
          <w:i/>
          <w:iCs/>
          <w:sz w:val="22"/>
          <w:szCs w:val="22"/>
        </w:rPr>
        <w:t xml:space="preserve">interior energy</w:t>
      </w:r>
      <w:r>
        <w:rPr>
          <w:rFonts w:ascii="Times New Roman" w:cs="Times New Roman" w:eastAsia="Times New Roman" w:hAnsi="Times New Roman"/>
          <w:sz w:val="22"/>
          <w:szCs w:val="22"/>
        </w:rPr>
        <w:t xml:space="preserve">). All diagnostics are computed both at the source resolution (before resizing) and on the 224 × 224 network input, where the masks are resized with nearest-neighbour interpolation. High-frequency spectral energy is computed from the 2-D discrete Fourier transform </w:t>
      </w:r>
      <w:r>
        <w:rPr>
          <w:rFonts w:ascii="Times New Roman" w:cs="Times New Roman" w:eastAsia="Times New Roman" w:hAnsi="Times New Roman"/>
          <w:i/>
          <w:iCs/>
          <w:sz w:val="22"/>
          <w:szCs w:val="22"/>
        </w:rPr>
        <w:t xml:space="preserve">F</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v</w:t>
      </w:r>
      <w:r>
        <w:rPr>
          <w:rFonts w:ascii="Times New Roman" w:cs="Times New Roman" w:eastAsia="Times New Roman" w:hAnsi="Times New Roman"/>
          <w:sz w:val="22"/>
          <w:szCs w:val="22"/>
        </w:rPr>
        <w:t xml:space="preserve">) over radii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rPr>
        <w:t xml:space="preserve"> &gt; 0.25 min(</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W</w:t>
      </w:r>
      <w:r>
        <w:rPr>
          <w:rFonts w:ascii="Times New Roman" w:cs="Times New Roman" w:eastAsia="Times New Roman" w:hAnsi="Times New Roman"/>
          <w:sz w:val="22"/>
          <w:szCs w:val="22"/>
        </w:rPr>
        <w:t xml:space="preserve">). In addition, we report the fraction of pixels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reduction of “excess” seam or spectral energy in a condition is defined relative to the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gap:</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reduction =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i w:val="false"/>
          <w:iCs w:val="false"/>
          <w:sz w:val="22"/>
          <w:szCs w:val="22"/>
        </w:rPr>
        <w:t xml:space="preserve"> ) /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C0</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(9)</w:t>
      </w:r>
    </w:p>
    <w:p>
      <w:pPr>
        <w:pStyle w:val="Heading2"/>
        <w:keepNext/>
        <w:spacing w:after="100" w:before="200"/>
      </w:pPr>
      <w:r>
        <w:rPr>
          <w:rFonts w:ascii="Times New Roman" w:cs="Times New Roman" w:eastAsia="Times New Roman" w:hAnsi="Times New Roman"/>
          <w:b/>
          <w:bCs/>
          <w:sz w:val="24"/>
          <w:szCs w:val="24"/>
        </w:rPr>
        <w:t xml:space="preserve">3.8  Out-of-fold inference and prediction accounting</w:t>
      </w:r>
    </w:p>
    <w:p>
      <w:pPr>
        <w:spacing w:after="100" w:before="0" w:line="264"/>
        <w:jc w:val="both"/>
      </w:pPr>
      <w:r>
        <w:rPr>
          <w:rFonts w:ascii="Times New Roman" w:cs="Times New Roman" w:eastAsia="Times New Roman" w:hAnsi="Times New Roman"/>
          <w:sz w:val="22"/>
          <w:szCs w:val="22"/>
        </w:rPr>
        <w:t xml:space="preserve">In each scenario and fold, the frozen checkpoint evaluates only its own held-out fold, under every condition, without test-time ensembling. The four primary conditions give 3 × 4 × 3,064 = 36,768 prediction records and the two true seam-only conditions, run later with the same checkpoints, add 3 × 2 × 3,064 = 18,384, for 55,152 in total,  with no duplicated slice within a scenario-condition (verified in the prediction-accounting table, which also records the checkpoint hash). Predictions are pooled across folds within each scenario for pooled metrics.</w:t>
      </w:r>
    </w:p>
    <w:p>
      <w:pPr>
        <w:pStyle w:val="Heading2"/>
        <w:keepNext/>
        <w:spacing w:after="100" w:before="200"/>
      </w:pPr>
      <w:r>
        <w:rPr>
          <w:rFonts w:ascii="Times New Roman" w:cs="Times New Roman" w:eastAsia="Times New Roman" w:hAnsi="Times New Roman"/>
          <w:b/>
          <w:bCs/>
          <w:sz w:val="24"/>
          <w:szCs w:val="24"/>
        </w:rPr>
        <w:t xml:space="preserve">3.9  Metrics and statistical inference</w:t>
      </w:r>
    </w:p>
    <w:p>
      <w:pPr>
        <w:spacing w:after="100" w:before="0" w:line="264"/>
        <w:jc w:val="both"/>
      </w:pPr>
      <w:r>
        <w:rPr>
          <w:rFonts w:ascii="Times New Roman" w:cs="Times New Roman" w:eastAsia="Times New Roman" w:hAnsi="Times New Roman"/>
          <w:sz w:val="22"/>
          <w:szCs w:val="22"/>
        </w:rPr>
        <w:t xml:space="preserve">The primary outcome is macro-averaged F1 over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 3 classes, with per-class precision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FP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and recall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FN</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F1</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2</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MacroF1 = (1/</w:t>
      </w:r>
      <w:r>
        <w:rPr>
          <w:rFonts w:ascii="Times New Roman" w:cs="Times New Roman" w:eastAsia="Times New Roman" w:hAnsi="Times New Roman"/>
          <w:i/>
          <w:iCs/>
          <w:sz w:val="22"/>
          <w:szCs w:val="22"/>
        </w:rPr>
        <w:t xml:space="preserve">K</w:t>
      </w:r>
      <w:r>
        <w:rPr>
          <w:rFonts w:ascii="Times New Roman" w:cs="Times New Roman" w:eastAsia="Times New Roman" w:hAnsi="Times New Roman"/>
          <w:i w:val="false"/>
          <w:iCs w:val="false"/>
          <w:sz w:val="22"/>
          <w:szCs w:val="22"/>
        </w:rPr>
        <w:t xml:space="preserve">) Σ</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F1</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BA = (1/</w:t>
      </w:r>
      <w:r>
        <w:rPr>
          <w:rFonts w:ascii="Times New Roman" w:cs="Times New Roman" w:eastAsia="Times New Roman" w:hAnsi="Times New Roman"/>
          <w:i/>
          <w:iCs/>
          <w:sz w:val="22"/>
          <w:szCs w:val="22"/>
        </w:rPr>
        <w:t xml:space="preserve">K</w:t>
      </w:r>
      <w:r>
        <w:rPr>
          <w:rFonts w:ascii="Times New Roman" w:cs="Times New Roman" w:eastAsia="Times New Roman" w:hAnsi="Times New Roman"/>
          <w:i w:val="false"/>
          <w:iCs w:val="false"/>
          <w:sz w:val="22"/>
          <w:szCs w:val="22"/>
        </w:rPr>
        <w:t xml:space="preserve">) Σ</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(10)</w:t>
      </w:r>
    </w:p>
    <w:p>
      <w:pPr>
        <w:spacing w:after="100" w:before="0" w:line="264"/>
        <w:jc w:val="both"/>
      </w:pPr>
      <w:r>
        <w:rPr>
          <w:rFonts w:ascii="Times New Roman" w:cs="Times New Roman" w:eastAsia="Times New Roman" w:hAnsi="Times New Roman"/>
          <w:sz w:val="22"/>
          <w:szCs w:val="22"/>
        </w:rPr>
        <w:t xml:space="preserve">For two conditions A and B evaluated on the same slices, the signed contrast is</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 = MacroF1</w:t>
      </w:r>
      <w:r>
        <w:rPr>
          <w:rFonts w:ascii="Times New Roman" w:cs="Times New Roman" w:eastAsia="Times New Roman" w:hAnsi="Times New Roman"/>
          <w:i w:val="false"/>
          <w:iCs w:val="false"/>
          <w:sz w:val="22"/>
          <w:szCs w:val="22"/>
          <w:vertAlign w:val="subscript"/>
        </w:rPr>
        <w:t xml:space="preserve">A</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B</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(11)</w:t>
      </w:r>
    </w:p>
    <w:p>
      <w:pPr>
        <w:spacing w:after="100" w:before="0" w:line="264"/>
        <w:jc w:val="both"/>
      </w:pPr>
      <w:r>
        <w:rPr>
          <w:rFonts w:ascii="Times New Roman" w:cs="Times New Roman" w:eastAsia="Times New Roman" w:hAnsi="Times New Roman"/>
          <w:sz w:val="22"/>
          <w:szCs w:val="22"/>
        </w:rPr>
        <w:t xml:space="preserve">so that a positive Δ means that condition B has lower Macro-F1 than condition A. Contrast labels follow the pattern “C</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e.g.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has A =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B =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tables list the pair explicitly in an “A − B” column. Uncertainty is estimated by a synchronized paired </w:t>
      </w:r>
      <w:r>
        <w:rPr>
          <w:rFonts w:ascii="Times New Roman" w:cs="Times New Roman" w:eastAsia="Times New Roman" w:hAnsi="Times New Roman"/>
          <w:b/>
          <w:bCs/>
          <w:sz w:val="22"/>
          <w:szCs w:val="22"/>
        </w:rPr>
        <w:t xml:space="preserve">cluster bootstrap</w:t>
      </w:r>
      <w:r>
        <w:rPr>
          <w:rFonts w:ascii="Times New Roman" w:cs="Times New Roman" w:eastAsia="Times New Roman" w:hAnsi="Times New Roman"/>
          <w:sz w:val="22"/>
          <w:szCs w:val="22"/>
        </w:rPr>
        <w:t xml:space="preserve"> [22]: patient clusters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similarity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are resampled with replacement,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times (seed 42), and the </w:t>
      </w:r>
      <w:r>
        <w:rPr>
          <w:rFonts w:ascii="Times New Roman" w:cs="Times New Roman" w:eastAsia="Times New Roman" w:hAnsi="Times New Roman"/>
          <w:i/>
          <w:iCs/>
          <w:sz w:val="22"/>
          <w:szCs w:val="22"/>
        </w:rPr>
        <w:t xml:space="preserve">same</w:t>
      </w:r>
      <w:r>
        <w:rPr>
          <w:rFonts w:ascii="Times New Roman" w:cs="Times New Roman" w:eastAsia="Times New Roman" w:hAnsi="Times New Roman"/>
          <w:sz w:val="22"/>
          <w:szCs w:val="22"/>
        </w:rPr>
        <w:t xml:space="preserve"> resampled clusters are used for A and B in each replicate: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A</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CI</w:t>
      </w:r>
      <w:r>
        <w:rPr>
          <w:rFonts w:ascii="Times New Roman" w:cs="Times New Roman" w:eastAsia="Times New Roman" w:hAnsi="Times New Roman"/>
          <w:i w:val="false"/>
          <w:iCs w:val="false"/>
          <w:sz w:val="22"/>
          <w:szCs w:val="22"/>
          <w:vertAlign w:val="subscript"/>
        </w:rPr>
        <w:t xml:space="preserve">95%</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q</w:t>
      </w:r>
      <w:r>
        <w:rPr>
          <w:rFonts w:ascii="Times New Roman" w:cs="Times New Roman" w:eastAsia="Times New Roman" w:hAnsi="Times New Roman"/>
          <w:i w:val="false"/>
          <w:iCs w:val="false"/>
          <w:sz w:val="22"/>
          <w:szCs w:val="22"/>
          <w:vertAlign w:val="subscript"/>
        </w:rPr>
        <w:t xml:space="preserve">2.5</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q</w:t>
      </w:r>
      <w:r>
        <w:rPr>
          <w:rFonts w:ascii="Times New Roman" w:cs="Times New Roman" w:eastAsia="Times New Roman" w:hAnsi="Times New Roman"/>
          <w:i w:val="false"/>
          <w:iCs w:val="false"/>
          <w:sz w:val="22"/>
          <w:szCs w:val="22"/>
          <w:vertAlign w:val="subscript"/>
        </w:rPr>
        <w:t xml:space="preserve">97.5</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(12)</w:t>
      </w:r>
    </w:p>
    <w:p>
      <w:pPr>
        <w:spacing w:after="100" w:before="0" w:line="264"/>
        <w:jc w:val="both"/>
      </w:pPr>
      <w:r>
        <w:rPr>
          <w:rFonts w:ascii="Times New Roman" w:cs="Times New Roman" w:eastAsia="Times New Roman" w:hAnsi="Times New Roman"/>
          <w:sz w:val="22"/>
          <w:szCs w:val="22"/>
        </w:rPr>
        <w:t xml:space="preserve">As a supplementary slice-level analysis, McNemar’s test [23] (exact binomial, reported as log</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to avoid underflow, together with the continuity-corrected χ</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is computed from the discordant counts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(A correct, B incorrect) and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01</w:t>
      </w:r>
      <w:r>
        <w:rPr>
          <w:rFonts w:ascii="Times New Roman" w:cs="Times New Roman" w:eastAsia="Times New Roman" w:hAnsi="Times New Roman"/>
          <w:sz w:val="22"/>
          <w:szCs w:val="22"/>
        </w:rPr>
        <w:t xml:space="preserve"> (A incorrect, B correct); it tests discordant correctness, not Macro-F1, and ignores patient clustering:</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χ</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10</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01</w:t>
      </w:r>
      <w:r>
        <w:rPr>
          <w:rFonts w:ascii="Times New Roman" w:cs="Times New Roman" w:eastAsia="Times New Roman" w:hAnsi="Times New Roman"/>
          <w:i w:val="false"/>
          <w:iCs w:val="false"/>
          <w:sz w:val="22"/>
          <w:szCs w:val="22"/>
        </w:rPr>
        <w:t xml:space="preserve">| − 1 )</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10</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01</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rPr>
        <w:t xml:space="preserve"> = 1 − </w:t>
      </w:r>
      <w:r>
        <w:rPr>
          <w:rFonts w:ascii="Times New Roman" w:cs="Times New Roman" w:eastAsia="Times New Roman" w:hAnsi="Times New Roman"/>
          <w:i/>
          <w:iCs/>
          <w:sz w:val="22"/>
          <w:szCs w:val="22"/>
        </w:rPr>
        <w:t xml:space="preserve">F</w:t>
      </w:r>
      <w:r>
        <w:rPr>
          <w:rFonts w:ascii="Times New Roman" w:cs="Times New Roman" w:eastAsia="Times New Roman" w:hAnsi="Times New Roman"/>
          <w:i w:val="false"/>
          <w:iCs w:val="false"/>
          <w:sz w:val="22"/>
          <w:szCs w:val="22"/>
          <w:vertAlign w:val="subscript"/>
        </w:rPr>
        <w:t xml:space="preserve">χ²,1</w:t>
      </w:r>
      <w:r>
        <w:rPr>
          <w:rFonts w:ascii="Times New Roman" w:cs="Times New Roman" w:eastAsia="Times New Roman" w:hAnsi="Times New Roman"/>
          <w:i w:val="false"/>
          <w:iCs w:val="false"/>
          <w:sz w:val="22"/>
          <w:szCs w:val="22"/>
        </w:rPr>
        <w:t xml:space="preserve">(χ</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(13)</w:t>
      </w:r>
    </w:p>
    <w:p>
      <w:pPr>
        <w:spacing w:after="100" w:before="0" w:line="264"/>
        <w:jc w:val="both"/>
      </w:pPr>
      <w:r>
        <w:rPr>
          <w:rFonts w:ascii="Times New Roman" w:cs="Times New Roman" w:eastAsia="Times New Roman" w:hAnsi="Times New Roman"/>
          <w:sz w:val="22"/>
          <w:szCs w:val="22"/>
        </w:rPr>
        <w:t xml:space="preserve">Two-sided bootstrap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are computed from the 25,000 stored replicates as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boot</w:t>
      </w:r>
      <w:r>
        <w:rPr>
          <w:rFonts w:ascii="Times New Roman" w:cs="Times New Roman" w:eastAsia="Times New Roman" w:hAnsi="Times New Roman"/>
          <w:sz w:val="22"/>
          <w:szCs w:val="22"/>
        </w:rPr>
        <w:t xml:space="preserve"> = min{1, 2 (min[#(Δ</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sz w:val="22"/>
          <w:szCs w:val="22"/>
        </w:rPr>
        <w:t xml:space="preserve"> ≤ 0), #(Δ</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sz w:val="22"/>
          <w:szCs w:val="22"/>
        </w:rPr>
        <w:t xml:space="preserve"> ≥ 0)] + 1) /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+ 1)};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attainable 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Holm–Bonferroni step-down control [24] is applied to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boot</w:t>
      </w:r>
      <w:r>
        <w:rPr>
          <w:rFonts w:ascii="Times New Roman" w:cs="Times New Roman" w:eastAsia="Times New Roman" w:hAnsi="Times New Roman"/>
          <w:sz w:val="22"/>
          <w:szCs w:val="22"/>
        </w:rPr>
        <w:t xml:space="preserve"> at α = 0.05 within three families declared in the repository code: a primary confirmatory family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3 scenarios = 12 tests), a true seam-only family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 3 = 12 tests; added after the primary results were known) and an exploratory family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3 = 3 tests). With ordered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m</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is rejected while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 α/(</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+ 1). Confidence intervals in the tables are unadjusted percentile intervals. Because each cluster lies in exactly one held-out fold, resampling clusters resamples slices of the pooled out-of-fold predictions of all five checkpoints, and clusters of unequal size contribute in proportion to their size. A contrast is considered practically significant when Δ exceeds 0.150, a conventional margin adopted in the project protocol and not a clinically derived one.</w:t>
      </w:r>
    </w:p>
    <w:p>
      <w:pPr>
        <w:spacing w:after="100" w:before="0" w:line="264"/>
        <w:jc w:val="both"/>
      </w:pPr>
      <w:r>
        <w:rPr>
          <w:rFonts w:ascii="Times New Roman" w:cs="Times New Roman" w:eastAsia="Times New Roman" w:hAnsi="Times New Roman"/>
          <w:sz w:val="22"/>
          <w:szCs w:val="22"/>
        </w:rPr>
        <w:t xml:space="preserve">Finally, the ratio of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κ = Δ</w:t>
      </w:r>
      <w:r>
        <w:rPr>
          <w:rFonts w:ascii="Times New Roman" w:cs="Times New Roman" w:eastAsia="Times New Roman" w:hAnsi="Times New Roman"/>
          <w:i w:val="false"/>
          <w:iCs w:val="false"/>
          <w:sz w:val="22"/>
          <w:szCs w:val="22"/>
          <w:vertAlign w:val="subscript"/>
        </w:rPr>
        <w:t xml:space="preserve">C1</w:t>
      </w:r>
      <w:r>
        <w:rPr>
          <w:rFonts w:ascii="Times New Roman" w:cs="Times New Roman" w:eastAsia="Times New Roman" w:hAnsi="Times New Roman"/>
          <w:i w:val="false"/>
          <w:iCs w:val="false"/>
          <w:sz w:val="22"/>
          <w:szCs w:val="22"/>
        </w:rPr>
        <w:t xml:space="preserve"> / Δ</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0.3043 / 0.4215 ≈ 0.722,</w:t>
      </w:r>
      <w:r>
        <w:rPr>
          <w:rFonts w:ascii="Times New Roman" w:cs="Times New Roman" w:eastAsia="Times New Roman" w:hAnsi="Times New Roman"/>
          <w:sz w:val="22"/>
          <w:szCs w:val="22"/>
        </w:rPr>
        <w:t xml:space="preserve">	(14)</w:t>
      </w:r>
    </w:p>
    <w:p>
      <w:pPr>
        <w:spacing w:after="100" w:before="0" w:line="264"/>
        <w:jc w:val="both"/>
      </w:pPr>
      <w:r>
        <w:rPr>
          <w:rFonts w:ascii="Times New Roman" w:cs="Times New Roman" w:eastAsia="Times New Roman" w:hAnsi="Times New Roman"/>
          <w:sz w:val="22"/>
          <w:szCs w:val="22"/>
        </w:rPr>
        <w:t xml:space="preserve">is reported only as a descriptive comparison of marginal declines (an analogous ratio of the true seam-only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is given in Section 4.3). Because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tile-level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3.6), κ must not be read as the share of the scramble effect that is due to seams, nor as a decomposition into seam and rearrangement effects.</w:t>
      </w:r>
    </w:p>
    <w:p>
      <w:pPr>
        <w:pStyle w:val="Heading2"/>
        <w:keepNext/>
        <w:spacing w:after="100" w:before="200"/>
      </w:pPr>
      <w:r>
        <w:rPr>
          <w:rFonts w:ascii="Times New Roman" w:cs="Times New Roman" w:eastAsia="Times New Roman" w:hAnsi="Times New Roman"/>
          <w:b/>
          <w:bCs/>
          <w:sz w:val="24"/>
          <w:szCs w:val="24"/>
        </w:rPr>
        <w:t xml:space="preserve">3.10  Algorithm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00000" w:sz="12"/>
              <w:left w:val="none" w:color="FFFFFF" w:sz="0"/>
              <w:bottom w:val="single" w:color="000000" w:sz="6"/>
              <w:right w:val="none" w:color="FFFFFF" w:sz="0"/>
            </w:tcBorders>
            <w:tcMar>
              <w:top w:type="dxa" w:w="40"/>
              <w:left w:type="dxa" w:w="100"/>
              <w:bottom w:type="dxa" w:w="40"/>
              <w:right w:type="dxa" w:w="100"/>
            </w:tcMar>
          </w:tcPr>
          <w:p>
            <w:pPr>
              <w:spacing w:after="0"/>
            </w:pPr>
            <w:r>
              <w:rPr>
                <w:rFonts w:ascii="Times New Roman" w:cs="Times New Roman" w:eastAsia="Times New Roman" w:hAnsi="Times New Roman"/>
                <w:b/>
                <w:bCs/>
                <w:sz w:val="19"/>
                <w:szCs w:val="19"/>
              </w:rPr>
              <w:t xml:space="preserve">Algorithm 1</w:t>
            </w:r>
            <w:r>
              <w:rPr>
                <w:rFonts w:ascii="Times New Roman" w:cs="Times New Roman" w:eastAsia="Times New Roman" w:hAnsi="Times New Roman"/>
                <w:sz w:val="19"/>
                <w:szCs w:val="19"/>
              </w:rPr>
              <w:t xml:space="preserve"> Six-condition spatial intervention and paired evaluation</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b/>
                <w:bCs/>
                <w:sz w:val="19"/>
                <w:szCs w:val="19"/>
              </w:rPr>
              <w:t xml:space="preserve">Require:</w:t>
            </w:r>
            <w:r>
              <w:rPr>
                <w:rFonts w:ascii="Times New Roman" w:cs="Times New Roman" w:eastAsia="Times New Roman" w:hAnsi="Times New Roman"/>
                <w:sz w:val="19"/>
                <w:szCs w:val="19"/>
              </w:rPr>
              <w:t xml:space="preserve"> slice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rPr>
              <w:t xml:space="preserve">, tumour mask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tumor</w:t>
            </w:r>
            <w:r>
              <w:rPr>
                <w:rFonts w:ascii="Times New Roman" w:cs="Times New Roman" w:eastAsia="Times New Roman" w:hAnsi="Times New Roman"/>
                <w:sz w:val="19"/>
                <w:szCs w:val="19"/>
              </w:rPr>
              <w:t xml:space="preserve">, frozen checkpoint </w:t>
            </w:r>
            <w:r>
              <w:rPr>
                <w:rFonts w:ascii="Times New Roman" w:cs="Times New Roman" w:eastAsia="Times New Roman" w:hAnsi="Times New Roman"/>
                <w:i/>
                <w:iCs/>
                <w:sz w:val="19"/>
                <w:szCs w:val="19"/>
              </w:rPr>
              <w:t xml:space="preserve">f</w:t>
            </w:r>
            <w:r>
              <w:rPr>
                <w:rFonts w:ascii="Times New Roman" w:cs="Times New Roman" w:eastAsia="Times New Roman" w:hAnsi="Times New Roman"/>
                <w:sz w:val="19"/>
                <w:szCs w:val="19"/>
              </w:rPr>
              <w:t xml:space="preserve"> for the slice’s held-out fold</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  Compute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prot</w:t>
            </w:r>
            <w:r>
              <w:rPr>
                <w:rFonts w:ascii="Times New Roman" w:cs="Times New Roman" w:eastAsia="Times New Roman" w:hAnsi="Times New Roman"/>
                <w:sz w:val="19"/>
                <w:szCs w:val="19"/>
              </w:rPr>
              <w:t xml:space="preserve"> (Eq. 1) and the eligible tile set Ω</w:t>
            </w:r>
            <w:r>
              <w:rPr>
                <w:rFonts w:ascii="Times New Roman" w:cs="Times New Roman" w:eastAsia="Times New Roman" w:hAnsi="Times New Roman"/>
                <w:sz w:val="19"/>
                <w:szCs w:val="19"/>
                <w:vertAlign w:val="subscript"/>
              </w:rPr>
              <w:t xml:space="preserve">distant</w:t>
            </w:r>
            <w:r>
              <w:rPr>
                <w:rFonts w:ascii="Times New Roman" w:cs="Times New Roman" w:eastAsia="Times New Roman" w:hAnsi="Times New Roman"/>
                <w:sz w:val="19"/>
                <w:szCs w:val="19"/>
              </w:rPr>
              <w:t xml:space="preserve"> (Eq. 3)</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2:  Draw permutation π from the slice-specific seed</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3: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C0</w:t>
            </w:r>
            <w:r>
              <w:rPr>
                <w:rFonts w:ascii="Times New Roman" w:cs="Times New Roman" w:eastAsia="Times New Roman" w:hAnsi="Times New Roman"/>
                <w:sz w:val="19"/>
                <w:szCs w:val="19"/>
              </w:rPr>
              <w:t xml:space="preserve"> ← </w:t>
            </w:r>
            <w:r>
              <w:rPr>
                <w:rFonts w:ascii="Times New Roman" w:cs="Times New Roman" w:eastAsia="Times New Roman" w:hAnsi="Times New Roman"/>
                <w:i/>
                <w:iCs/>
                <w:sz w:val="19"/>
                <w:szCs w:val="19"/>
              </w:rPr>
              <w:t xml:space="preserve">I</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4: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C3</w:t>
            </w:r>
            <w:r>
              <w:rPr>
                <w:rFonts w:ascii="Times New Roman" w:cs="Times New Roman" w:eastAsia="Times New Roman" w:hAnsi="Times New Roman"/>
                <w:sz w:val="19"/>
                <w:szCs w:val="19"/>
              </w:rPr>
              <w:t xml:space="preserve"> ← permute eligible tiles by π (Eq. 4)</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5: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C1</w:t>
            </w:r>
            <w:r>
              <w:rPr>
                <w:rFonts w:ascii="Times New Roman" w:cs="Times New Roman" w:eastAsia="Times New Roman" w:hAnsi="Times New Roman"/>
                <w:sz w:val="19"/>
                <w:szCs w:val="19"/>
              </w:rPr>
              <w:t xml:space="preserve"> ← add tile offsets δ</w:t>
            </w:r>
            <w:r>
              <w:rPr>
                <w:rFonts w:ascii="Times New Roman" w:cs="Times New Roman" w:eastAsia="Times New Roman" w:hAnsi="Times New Roman"/>
                <w:i/>
                <w:iCs/>
                <w:sz w:val="19"/>
                <w:szCs w:val="19"/>
                <w:vertAlign w:val="subscript"/>
              </w:rPr>
              <w:t xml:space="preserve">i</w:t>
            </w:r>
            <w:r>
              <w:rPr>
                <w:rFonts w:ascii="Times New Roman" w:cs="Times New Roman" w:eastAsia="Times New Roman" w:hAnsi="Times New Roman"/>
                <w:sz w:val="19"/>
                <w:szCs w:val="19"/>
              </w:rPr>
              <w:t xml:space="preserve"> to unpermuted tiles, clip to [0, 255] (Eq. 5)</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6: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C2</w:t>
            </w:r>
            <w:r>
              <w:rPr>
                <w:rFonts w:ascii="Times New Roman" w:cs="Times New Roman" w:eastAsia="Times New Roman" w:hAnsi="Times New Roman"/>
                <w:sz w:val="19"/>
                <w:szCs w:val="19"/>
              </w:rPr>
              <w:t xml:space="preserve"> ← permute by π and blend with seam-distance weight λ (Eq. 6)</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7: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C4a</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C4b</w:t>
            </w:r>
            <w:r>
              <w:rPr>
                <w:rFonts w:ascii="Times New Roman" w:cs="Times New Roman" w:eastAsia="Times New Roman" w:hAnsi="Times New Roman"/>
                <w:sz w:val="19"/>
                <w:szCs w:val="19"/>
              </w:rPr>
              <w:t xml:space="preserve"> ← add seam steps with gain 1.0 and 1.8 to the two pixels adjacent to each seam (Eq. 7)</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8:  </w:t>
            </w:r>
            <w:r>
              <w:rPr>
                <w:rFonts w:ascii="Times New Roman" w:cs="Times New Roman" w:eastAsia="Times New Roman" w:hAnsi="Times New Roman"/>
                <w:b/>
                <w:bCs/>
                <w:sz w:val="19"/>
                <w:szCs w:val="19"/>
              </w:rPr>
              <w:t xml:space="preserve">assert</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rPr>
              <w:t xml:space="preserve"> on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prot</w:t>
            </w:r>
            <w:r>
              <w:rPr>
                <w:rFonts w:ascii="Times New Roman" w:cs="Times New Roman" w:eastAsia="Times New Roman" w:hAnsi="Times New Roman"/>
                <w:sz w:val="19"/>
                <w:szCs w:val="19"/>
              </w:rPr>
              <w:t xml:space="preserve"> for </w:t>
            </w:r>
            <w:r>
              <w:rPr>
                <w:rFonts w:ascii="Times New Roman" w:cs="Times New Roman" w:eastAsia="Times New Roman" w:hAnsi="Times New Roman"/>
                <w:i/>
                <w:iCs/>
                <w:sz w:val="19"/>
                <w:szCs w:val="19"/>
              </w:rPr>
              <w:t xml:space="preserve">k</w:t>
            </w:r>
            <w:r>
              <w:rPr>
                <w:rFonts w:ascii="Times New Roman" w:cs="Times New Roman" w:eastAsia="Times New Roman" w:hAnsi="Times New Roman"/>
                <w:sz w:val="19"/>
                <w:szCs w:val="19"/>
              </w:rPr>
              <w:t xml:space="preserve"> ∈ {0, 1, 2, 3, 4a, 4b}</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9:  </w:t>
            </w:r>
            <w:r>
              <w:rPr>
                <w:rFonts w:ascii="Times New Roman" w:cs="Times New Roman" w:eastAsia="Times New Roman" w:hAnsi="Times New Roman"/>
                <w:b/>
                <w:bCs/>
                <w:sz w:val="19"/>
                <w:szCs w:val="19"/>
              </w:rPr>
              <w:t xml:space="preserve">for</w:t>
            </w:r>
            <w:r>
              <w:rPr>
                <w:rFonts w:ascii="Times New Roman" w:cs="Times New Roman" w:eastAsia="Times New Roman" w:hAnsi="Times New Roman"/>
                <w:sz w:val="19"/>
                <w:szCs w:val="19"/>
              </w:rPr>
              <w:t xml:space="preserve"> each condition </w:t>
            </w:r>
            <w:r>
              <w:rPr>
                <w:rFonts w:ascii="Times New Roman" w:cs="Times New Roman" w:eastAsia="Times New Roman" w:hAnsi="Times New Roman"/>
                <w:i/>
                <w:iCs/>
                <w:sz w:val="19"/>
                <w:szCs w:val="19"/>
              </w:rPr>
              <w:t xml:space="preserve">k</w:t>
            </w:r>
            <w:r>
              <w:rPr>
                <w:rFonts w:ascii="Times New Roman" w:cs="Times New Roman" w:eastAsia="Times New Roman" w:hAnsi="Times New Roman"/>
                <w:sz w:val="19"/>
                <w:szCs w:val="19"/>
              </w:rPr>
              <w:t xml:space="preserve">: ŷ</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 argmax </w:t>
            </w:r>
            <w:r>
              <w:rPr>
                <w:rFonts w:ascii="Times New Roman" w:cs="Times New Roman" w:eastAsia="Times New Roman" w:hAnsi="Times New Roman"/>
                <w:i/>
                <w:iCs/>
                <w:sz w:val="19"/>
                <w:szCs w:val="19"/>
              </w:rPr>
              <w:t xml:space="preserve">f</w:t>
            </w:r>
            <w:r>
              <w:rPr>
                <w:rFonts w:ascii="Times New Roman" w:cs="Times New Roman" w:eastAsia="Times New Roman" w:hAnsi="Times New Roman"/>
                <w:sz w:val="19"/>
                <w:szCs w:val="19"/>
              </w:rPr>
              <w:t xml:space="preserve">(resize(</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10:  </w:t>
            </w:r>
            <w:r>
              <w:rPr>
                <w:rFonts w:ascii="Times New Roman" w:cs="Times New Roman" w:eastAsia="Times New Roman" w:hAnsi="Times New Roman"/>
                <w:b/>
                <w:bCs/>
                <w:sz w:val="19"/>
                <w:szCs w:val="19"/>
              </w:rPr>
              <w:t xml:space="preserve">after all slices:</w:t>
            </w:r>
            <w:r>
              <w:rPr>
                <w:rFonts w:ascii="Times New Roman" w:cs="Times New Roman" w:eastAsia="Times New Roman" w:hAnsi="Times New Roman"/>
                <w:sz w:val="19"/>
                <w:szCs w:val="19"/>
              </w:rPr>
              <w:t xml:space="preserve"> pool predictions per scenario; compute Macro-F1, contrasts, bootstrap CIs and p-values, Holm; McNemar as supplement</w:t>
            </w:r>
          </w:p>
        </w:tc>
      </w:tr>
      <w:tr>
        <w:trPr>
          <w:cantSplit/>
        </w:trPr>
        <w:tc>
          <w:tcPr>
            <w:tcW w:type="dxa" w:w="9072"/>
            <w:tcBorders>
              <w:top w:val="none" w:color="FFFFFF" w:sz="0"/>
              <w:left w:val="none" w:color="FFFFFF" w:sz="0"/>
              <w:bottom w:val="single" w:color="000000" w:sz="12"/>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predictions {ŷ</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diagnostics, contrast table</w:t>
            </w:r>
          </w:p>
        </w:tc>
      </w:tr>
    </w:tbl>
    <w:p>
      <w:pPr>
        <w:spacing w:after="60" w:before="0" w:line="264"/>
        <w:jc w:val="both"/>
      </w:pPr>
    </w:p>
    <w:p>
      <w:pPr>
        <w:pStyle w:val="Heading2"/>
        <w:keepNext/>
        <w:spacing w:after="100" w:before="200"/>
      </w:pPr>
      <w:r>
        <w:rPr>
          <w:rFonts w:ascii="Times New Roman" w:cs="Times New Roman" w:eastAsia="Times New Roman" w:hAnsi="Times New Roman"/>
          <w:b/>
          <w:bCs/>
          <w:sz w:val="24"/>
          <w:szCs w:val="24"/>
        </w:rPr>
        <w:t xml:space="preserve">3.11  Software and reproducibility</w:t>
      </w:r>
    </w:p>
    <w:p>
      <w:pPr>
        <w:spacing w:after="100" w:before="0" w:line="264"/>
        <w:jc w:val="both"/>
      </w:pPr>
      <w:r>
        <w:rPr>
          <w:rFonts w:ascii="Times New Roman" w:cs="Times New Roman" w:eastAsia="Times New Roman" w:hAnsi="Times New Roman"/>
          <w:sz w:val="22"/>
          <w:szCs w:val="22"/>
        </w:rPr>
        <w:t xml:space="preserve">The environment recorded in the reproducibility manifest of the final audit was Python 3.14.6 with a PyTorch 2.15 development build (2.15.0.dev20260907+cu126) on Windows [25]. All tables and figures are generated by a single script from the evaluation outputs; SHA-256 hashes are stored for every package file, and the checkpoint hash is recorded for every checkpoint. An automated test suite of 178 tests covering split isolation, checkpoint validity, prediction accounting, protected-zone invariants and contrast reproduction exists in the repository; the recorded test log and its checksum were reconciled in the final audit.</w:t>
      </w:r>
    </w:p>
    <w:p>
      <w:pPr>
        <w:pStyle w:val="Heading1"/>
        <w:keepNext/>
        <w:spacing w:after="140" w:before="300"/>
      </w:pPr>
      <w:r>
        <w:rPr>
          <w:rFonts w:ascii="Times New Roman" w:cs="Times New Roman" w:eastAsia="Times New Roman" w:hAnsi="Times New Roman"/>
          <w:b/>
          <w:bCs/>
          <w:sz w:val="28"/>
          <w:szCs w:val="28"/>
        </w:rPr>
        <w:t xml:space="preserve">4  Experimental Setup and Results</w:t>
      </w:r>
    </w:p>
    <w:p>
      <w:pPr>
        <w:pStyle w:val="Heading2"/>
        <w:keepNext/>
        <w:spacing w:after="100" w:before="200"/>
      </w:pPr>
      <w:r>
        <w:rPr>
          <w:rFonts w:ascii="Times New Roman" w:cs="Times New Roman" w:eastAsia="Times New Roman" w:hAnsi="Times New Roman"/>
          <w:b/>
          <w:bCs/>
          <w:sz w:val="24"/>
          <w:szCs w:val="24"/>
        </w:rPr>
        <w:t xml:space="preserve">4.1  Evaluation protocol and integrity checks</w:t>
      </w:r>
    </w:p>
    <w:p>
      <w:pPr>
        <w:spacing w:after="100" w:before="0" w:line="264"/>
        <w:jc w:val="both"/>
      </w:pPr>
      <w:r>
        <w:rPr>
          <w:rFonts w:ascii="Times New Roman" w:cs="Times New Roman" w:eastAsia="Times New Roman" w:hAnsi="Times New Roman"/>
          <w:sz w:val="22"/>
          <w:szCs w:val="22"/>
        </w:rPr>
        <w:t xml:space="preserve">Every result below is computed from out-of-fold predictions: for each scenario and fold, the corresponding frozen checkpoint is applied only to the slices of its held-out fold under every condition. The 15 checkpoints were not retrained, fine-tuned or recalibrated for any intervention, so any change between conditions is attributable to the input alone. The prediction tables were checked for completeness: each scenario-condition pair contains exactly one prediction for each of the 3,064 slices, with no slice appearing twice. The four primary conditions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yield 3 × 4 × 3,064 = 36,768 records; the two true seam-only conditions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generated in a later run with the same checkpoints and slices, add 3 × 2 × 3,064 = 18,384, for 55,152 in total. The protected-zone invariant was verified by assertion for every slice and condition.</w:t>
      </w:r>
    </w:p>
    <w:p>
      <w:pPr>
        <w:spacing w:after="100" w:before="0" w:line="264"/>
        <w:jc w:val="both"/>
      </w:pPr>
      <w:r>
        <w:rPr>
          <w:rFonts w:ascii="Times New Roman" w:cs="Times New Roman" w:eastAsia="Times New Roman" w:hAnsi="Times New Roman"/>
          <w:sz w:val="22"/>
          <w:szCs w:val="22"/>
        </w:rPr>
        <w:t xml:space="preserve">“Macro-F1” is the unweighted mean of the three per-class F1 scores. Confidence intervals are 95% percentile intervals of the synchronized paired cluster bootstrap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seed 42). A contrast “C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vs 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means Δ = MacroF1(C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 MacroF1(C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so a positive Δ indicates that 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is worse than 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The practical-significance threshold of 0.150 Macro-F1 is a project convention used as a reference line. Holm–Bonferroni control is applied within three declared families (Section 3.9). The true seam-only controls and their family were added after the primary results were known; they are therefore a post hoc extension and not part of the original protocol.</w:t>
      </w:r>
    </w:p>
    <w:p>
      <w:pPr>
        <w:pStyle w:val="Heading2"/>
        <w:keepNext/>
        <w:spacing w:after="100" w:before="200"/>
      </w:pPr>
      <w:r>
        <w:rPr>
          <w:rFonts w:ascii="Times New Roman" w:cs="Times New Roman" w:eastAsia="Times New Roman" w:hAnsi="Times New Roman"/>
          <w:b/>
          <w:bCs/>
          <w:sz w:val="24"/>
          <w:szCs w:val="24"/>
        </w:rPr>
        <w:t xml:space="preserve">4.2  Baseline performance on unmodified images</w:t>
      </w:r>
    </w:p>
    <w:p>
      <w:pPr>
        <w:spacing w:after="100" w:before="0" w:line="264"/>
        <w:jc w:val="both"/>
      </w:pPr>
      <w:r>
        <w:rPr>
          <w:rFonts w:ascii="Times New Roman" w:cs="Times New Roman" w:eastAsia="Times New Roman" w:hAnsi="Times New Roman"/>
          <w:sz w:val="22"/>
          <w:szCs w:val="22"/>
        </w:rPr>
        <w:t xml:space="preserve">Table 5 and Fig. 4 give the performance of the checkpoints on the unmodified held-out slices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baseline is high and stable across the three leakage-control regimes: Macro-F1 is 0.9333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0.9332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0.9273 in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balanced accuracy lies between 0.930 and 0.936. Merging near-duplicate patient clusters therefore lowers the baseline only marginally (≈ 0.006 Macro-F1 from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to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Meningioma is the hardest class (F1 ≈ 0.88), whereas glioma and pituitary tumour exceed F1 = 0.95.</w:t>
      </w:r>
    </w:p>
    <w:p>
      <w:pPr>
        <w:keepNext/>
        <w:spacing w:after="80" w:before="160" w:line="240"/>
        <w:jc w:val="both"/>
      </w:pPr>
      <w:r>
        <w:rPr>
          <w:rFonts w:ascii="Times New Roman" w:cs="Times New Roman" w:eastAsia="Times New Roman" w:hAnsi="Times New Roman"/>
          <w:b/>
          <w:bCs/>
          <w:sz w:val="19"/>
          <w:szCs w:val="19"/>
        </w:rPr>
        <w:t xml:space="preserve">Table 5  </w:t>
      </w:r>
      <w:r>
        <w:rPr>
          <w:rFonts w:ascii="Times New Roman" w:cs="Times New Roman" w:eastAsia="Times New Roman" w:hAnsi="Times New Roman"/>
          <w:sz w:val="19"/>
          <w:szCs w:val="19"/>
        </w:rPr>
        <w:t xml:space="preserve">Baseline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out-of-fold performance by scenario (pooled over five folds).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400"/>
        <w:gridCol w:w="1200"/>
        <w:gridCol w:w="1400"/>
        <w:gridCol w:w="1300"/>
        <w:gridCol w:w="1572"/>
      </w:tblGrid>
      <w:tr>
        <w:trPr>
          <w:tblHeader/>
        </w:trPr>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Scenario</w:t>
            </w:r>
          </w:p>
        </w:tc>
        <w:tc>
          <w:tcPr>
            <w:tcW w:type="dxa" w:w="1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Macro-F1</w:t>
            </w:r>
          </w:p>
        </w:tc>
        <w:tc>
          <w:tcPr>
            <w:tcW w:type="dxa" w:w="14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Balanced acc.</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Accuracy</w:t>
            </w:r>
          </w:p>
        </w:tc>
        <w:tc>
          <w:tcPr>
            <w:tcW w:type="dxa" w:w="14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meningioma</w:t>
            </w:r>
          </w:p>
        </w:tc>
        <w:tc>
          <w:tcPr>
            <w:tcW w:type="dxa" w:w="1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glioma</w:t>
            </w:r>
          </w:p>
        </w:tc>
        <w:tc>
          <w:tcPr>
            <w:tcW w:type="dxa" w:w="15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pituitary</w:t>
            </w:r>
          </w:p>
        </w:tc>
      </w:tr>
      <w:tr>
        <w:trPr>
          <w:cantSplit/>
        </w:trP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0.9333</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0.9362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0.9409</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0.885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0.961</w:t>
            </w:r>
          </w:p>
        </w:tc>
        <w:tc>
          <w:tcPr>
            <w:tcW w:type="dxa" w:w="15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0.954</w:t>
            </w:r>
          </w:p>
        </w:tc>
      </w:tr>
      <w:tr>
        <w:trPr>
          <w:cantSplit/>
        </w:trP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0.9332</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0.9419</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0.883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0.965</w:t>
            </w:r>
          </w:p>
        </w:tc>
        <w:tc>
          <w:tcPr>
            <w:tcW w:type="dxa" w:w="15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0.951</w:t>
            </w:r>
          </w:p>
        </w:tc>
      </w:tr>
      <w:tr>
        <w:trPr>
          <w:cantSplit/>
        </w:trPr>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2</w:t>
            </w:r>
          </w:p>
        </w:tc>
        <w:tc>
          <w:tcPr>
            <w:tcW w:type="dxa" w:w="1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0.9273</w:t>
            </w:r>
          </w:p>
        </w:tc>
        <w:tc>
          <w:tcPr>
            <w:tcW w:type="dxa" w:w="14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0.9300</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0.9354</w:t>
            </w:r>
          </w:p>
        </w:tc>
        <w:tc>
          <w:tcPr>
            <w:tcW w:type="dxa" w:w="14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0.872</w:t>
            </w:r>
          </w:p>
        </w:tc>
        <w:tc>
          <w:tcPr>
            <w:tcW w:type="dxa" w:w="1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0.955</w:t>
            </w:r>
          </w:p>
        </w:tc>
        <w:tc>
          <w:tcPr>
            <w:tcW w:type="dxa" w:w="15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0.955</w:t>
            </w:r>
          </w:p>
        </w:tc>
      </w:tr>
    </w:tbl>
    <w:p>
      <w:pPr>
        <w:keepNext/>
        <w:spacing w:after="40" w:before="120"/>
        <w:jc w:val="center"/>
      </w:pPr>
      <w:r>
        <w:drawing>
          <wp:inline distT="0" distB="0" distL="0" distR="0">
            <wp:extent cx="5124450" cy="27336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7336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4  </w:t>
      </w:r>
      <w:r>
        <w:rPr>
          <w:rFonts w:ascii="Times New Roman" w:cs="Times New Roman" w:eastAsia="Times New Roman" w:hAnsi="Times New Roman"/>
          <w:sz w:val="19"/>
          <w:szCs w:val="19"/>
        </w:rPr>
        <w:t xml:space="preserve">Baseline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performance by scenario: Macro-F1, balanced accuracy and accuracy.</w:t>
      </w:r>
    </w:p>
    <w:p>
      <w:pPr>
        <w:pStyle w:val="Heading2"/>
        <w:keepNext/>
        <w:spacing w:after="100" w:before="200"/>
      </w:pPr>
      <w:r>
        <w:rPr>
          <w:rFonts w:ascii="Times New Roman" w:cs="Times New Roman" w:eastAsia="Times New Roman" w:hAnsi="Times New Roman"/>
          <w:b/>
          <w:bCs/>
          <w:sz w:val="24"/>
          <w:szCs w:val="24"/>
        </w:rPr>
        <w:t xml:space="preserve">4.3  Effect of the five interventions</w:t>
      </w:r>
    </w:p>
    <w:p>
      <w:pPr>
        <w:spacing w:after="100" w:before="0" w:line="264"/>
        <w:jc w:val="both"/>
      </w:pPr>
      <w:r>
        <w:rPr>
          <w:rFonts w:ascii="Times New Roman" w:cs="Times New Roman" w:eastAsia="Times New Roman" w:hAnsi="Times New Roman"/>
          <w:sz w:val="22"/>
          <w:szCs w:val="22"/>
        </w:rPr>
        <w:t xml:space="preserve">All five interventions reduce performance in every scenario (Table 6, Fig. 5).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Macro-F1 falls from 0.9333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to 0.8127 and 0.7811 under the true seam-only controls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0.6290 under the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0.5118 under raw scrambling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0.4525 under the seam-suppressed permutation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For reference, a classifier that always predicted the majority class (glioma, 46.5% of slices) would score a Macro-F1 of about 0.21. The ordering is the same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for the seam-only, tile-mean-offset and scramble conditions: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damage.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the most damaging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close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w:t>
      </w:r>
    </w:p>
    <w:p>
      <w:pPr>
        <w:spacing w:after="100" w:before="0" w:line="264"/>
        <w:jc w:val="both"/>
      </w:pPr>
      <w:r>
        <w:t>The true seam-only controls leave tile interiors, the tumour and its margin untouched and alter only the two pixels adjacent to each seam (Section 3.6); about 81% of pixels are identical to C0 at source resolution. They nevertheless lower Macro-F1 by 0.121 / 0.072 / 0.051 (C4a, S0 / S1 / S2) and 0.152 / 0.099 / 0.069 (C4b). Thus seam steps alone are sufficient to degrade these checkpoints in all three scenarios, the effect grows with the seam gain (γ = 1.0 to 1.8) in every scenario, and it differs between scenarios; because S1 merges only two clusters relative to S0, this difference most likely reflects checkpoint-level variance rather than grouping stringency. Only the S0 estimate for C4b (0.152) is at the 0.150 practical threshold, and its confidence interval (0.118–0.190) includes values below it. The effect is also very heterogeneous across checkpoints: the fold-level C4a drop in S0 ranges from 0.006 to 0.247 (Section 4.7).</w:t>
      </w:r>
    </w:p>
    <w:p>
      <w:pPr>
        <w:spacing w:after="100" w:before="0" w:line="264"/>
        <w:jc w:val="both"/>
      </w:pPr>
      <w:r>
        <w:rPr>
          <w:rFonts w:ascii="Times New Roman" w:cs="Times New Roman" w:eastAsia="Times New Roman" w:hAnsi="Times New Roman"/>
          <w:sz w:val="22"/>
          <w:szCs w:val="22"/>
        </w:rPr>
        <w:t xml:space="preserve">Expressed relative to the raw scramble, the seam-only drops are 0.29 / 0.16 / 0.13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0.36 / 0.22 / 0.17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of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These ratios are descriptive only: they vary with scenario and gain, the controls are not 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seam or high-frequency energy (Section 4.6), and they must not be read as the share of the scramble effect attributable to seams. What the data show is that (i) seam discontinuities alone produce a real, reproducible but moderate decline, and (ii) the declines under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are several times larger than those of the seam-only controls.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is not a seam control (Section 3.6);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consistently worse than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w:t>
      </w:r>
    </w:p>
    <w:p>
      <w:pPr>
        <w:keepNext/>
        <w:spacing w:after="80" w:before="160" w:line="240"/>
        <w:jc w:val="both"/>
      </w:pPr>
      <w:r>
        <w:rPr>
          <w:rFonts w:ascii="Times New Roman" w:cs="Times New Roman" w:eastAsia="Times New Roman" w:hAnsi="Times New Roman"/>
          <w:b/>
          <w:bCs/>
          <w:sz w:val="19"/>
          <w:szCs w:val="19"/>
        </w:rPr>
        <w:t xml:space="preserve">Table 6  </w:t>
      </w:r>
      <w:r>
        <w:rPr>
          <w:rFonts w:ascii="Times New Roman" w:cs="Times New Roman" w:eastAsia="Times New Roman" w:hAnsi="Times New Roman"/>
          <w:sz w:val="19"/>
          <w:szCs w:val="19"/>
        </w:rPr>
        <w:t xml:space="preserve">Out-of-fold Macro-F1 and balanced accuracy (BA) for each scenario and condition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true seam-only controls with gain 1.0 and 1.8).</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312"/>
        <w:gridCol w:w="1312"/>
        <w:gridCol w:w="1312"/>
        <w:gridCol w:w="1312"/>
        <w:gridCol w:w="1312"/>
        <w:gridCol w:w="1312"/>
      </w:tblGrid>
      <w:tr>
        <w:trPr>
          <w:tblHeader/>
        </w:trPr>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Condition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0</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0</w:t>
            </w:r>
            <w:r>
              <w:rPr>
                <w:rFonts w:ascii="Times New Roman" w:cs="Times New Roman" w:eastAsia="Times New Roman" w:hAnsi="Times New Roman"/>
                <w:b/>
                <w:bCs/>
                <w:sz w:val="17"/>
                <w:szCs w:val="17"/>
              </w:rPr>
              <w:t xml:space="preserve"> BA</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1</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1</w:t>
            </w:r>
            <w:r>
              <w:rPr>
                <w:rFonts w:ascii="Times New Roman" w:cs="Times New Roman" w:eastAsia="Times New Roman" w:hAnsi="Times New Roman"/>
                <w:b/>
                <w:bCs/>
                <w:sz w:val="17"/>
                <w:szCs w:val="17"/>
              </w:rPr>
              <w:t xml:space="preserve"> BA</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2</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2</w:t>
            </w:r>
            <w:r>
              <w:rPr>
                <w:rFonts w:ascii="Times New Roman" w:cs="Times New Roman" w:eastAsia="Times New Roman" w:hAnsi="Times New Roman"/>
                <w:b/>
                <w:bCs/>
                <w:sz w:val="17"/>
                <w:szCs w:val="17"/>
              </w:rPr>
              <w:t xml:space="preserve"> BA</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0.9362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0.9273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0.9300</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0.6290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0.6817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0.6094</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0.6633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0.6385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0.7135</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0.4525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0.5783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0.4941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0.5855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0.5159</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0.6255</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0.5118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0.6082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0.4884</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0.5732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0.5303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0.6281</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4a</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0.8127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0.8157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0.8613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0.8588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0.8758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0.8764</w:t>
            </w:r>
          </w:p>
        </w:tc>
      </w:tr>
      <w:tr>
        <w:trPr>
          <w:cantSplit/>
        </w:trPr>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4b</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0.7811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0.7844</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0.8341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0.8308</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0.8580</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0.8571</w:t>
            </w:r>
          </w:p>
        </w:tc>
      </w:tr>
    </w:tbl>
    <w:p>
      <w:pPr>
        <w:keepNext/>
        <w:spacing w:after="40" w:before="120"/>
        <w:jc w:val="center"/>
      </w:pPr>
      <w:r>
        <w:drawing>
          <wp:inline distT="0" distB="0" distL="0" distR="0">
            <wp:extent cx="5305425" cy="29051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90512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5  </w:t>
      </w:r>
      <w:r>
        <w:rPr>
          <w:rFonts w:ascii="Times New Roman" w:cs="Times New Roman" w:eastAsia="Times New Roman" w:hAnsi="Times New Roman"/>
          <w:sz w:val="19"/>
          <w:szCs w:val="19"/>
        </w:rPr>
        <w:t xml:space="preserve">Macro-F1 by condition and scenario for the six conditions. All interventions fall below the baseline; the true seam-only controls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are the mildest.</w:t>
      </w:r>
    </w:p>
    <w:p>
      <w:pPr>
        <w:pStyle w:val="Heading2"/>
        <w:keepNext/>
        <w:spacing w:after="100" w:before="200"/>
      </w:pPr>
      <w:r>
        <w:rPr>
          <w:rFonts w:ascii="Times New Roman" w:cs="Times New Roman" w:eastAsia="Times New Roman" w:hAnsi="Times New Roman"/>
          <w:b/>
          <w:bCs/>
          <w:sz w:val="24"/>
          <w:szCs w:val="24"/>
        </w:rPr>
        <w:t xml:space="preserve">4.4  Paired contrasts and multiplicity control</w:t>
      </w:r>
    </w:p>
    <w:p>
      <w:pPr>
        <w:spacing w:after="100" w:before="0" w:line="264"/>
        <w:jc w:val="both"/>
      </w:pPr>
      <w:r>
        <w:rPr>
          <w:rFonts w:ascii="Times New Roman" w:cs="Times New Roman" w:eastAsia="Times New Roman" w:hAnsi="Times New Roman"/>
          <w:sz w:val="22"/>
          <w:szCs w:val="22"/>
        </w:rPr>
        <w:t xml:space="preserve">Table 7 reports all 27 contrasts (nine per scenario) and Fig. 6 shows the forest plot. Of the 27, 25 are rejected after Holm–Bonferroni control within their declared family. The </w:t>
      </w:r>
      <w:r>
        <w:rPr>
          <w:rFonts w:ascii="Times New Roman" w:cs="Times New Roman" w:eastAsia="Times New Roman" w:hAnsi="Times New Roman"/>
          <w:b/>
          <w:bCs/>
          <w:sz w:val="22"/>
          <w:szCs w:val="22"/>
        </w:rPr>
        <w:t xml:space="preserve">primary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three scenarios; 12 tests) is rejected throughout, with Holm-adjusted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9.6×10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in every case. The </w:t>
      </w:r>
      <w:r>
        <w:rPr>
          <w:rFonts w:ascii="Times New Roman" w:cs="Times New Roman" w:eastAsia="Times New Roman" w:hAnsi="Times New Roman"/>
          <w:b/>
          <w:bCs/>
          <w:sz w:val="22"/>
          <w:szCs w:val="22"/>
        </w:rPr>
        <w:t xml:space="preserve">true seam-only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12 tests) is also rejected throughout.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attainable two-sided bootstrap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and 25 contrasts sit at this floor, so the adjusted values reflect bootstrap resolution, not differences in effect size. The </w:t>
      </w:r>
      <w:r>
        <w:rPr>
          <w:rFonts w:ascii="Times New Roman" w:cs="Times New Roman" w:eastAsia="Times New Roman" w:hAnsi="Times New Roman"/>
          <w:b/>
          <w:bCs/>
          <w:sz w:val="22"/>
          <w:szCs w:val="22"/>
        </w:rPr>
        <w:t xml:space="preserve">exploratory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three tests) is rejected only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w:t>
      </w:r>
    </w:p>
    <w:p>
      <w:pPr>
        <w:spacing w:after="100" w:before="0" w:line="264"/>
        <w:jc w:val="both"/>
      </w:pPr>
      <w:r>
        <w:rPr>
          <w:rFonts w:ascii="Times New Roman" w:cs="Times New Roman" w:eastAsia="Times New Roman" w:hAnsi="Times New Roman"/>
          <w:sz w:val="22"/>
          <w:szCs w:val="22"/>
        </w:rPr>
        <w:t xml:space="preserve">Three comparisons deserve explicit mention. First, </w:t>
      </w:r>
      <w:r>
        <w:rPr>
          <w:rFonts w:ascii="Times New Roman" w:cs="Times New Roman" w:eastAsia="Times New Roman" w:hAnsi="Times New Roman"/>
          <w:b/>
          <w:bCs/>
          <w:sz w:val="22"/>
          <w:szCs w:val="22"/>
        </w:rPr>
        <w:t xml:space="preserve">raw scrambling versus the tile-mean offsets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Δ = +0.1172 [0.0825, 0.1526]; +0.1210 [0.0964, 0.1460]; +0.1082 [0.0828, 0.1348]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reliably positive but mostly below 0.150. Second, </w:t>
      </w:r>
      <w:r>
        <w:rPr>
          <w:rFonts w:ascii="Times New Roman" w:cs="Times New Roman" w:eastAsia="Times New Roman" w:hAnsi="Times New Roman"/>
          <w:b/>
          <w:bCs/>
          <w:sz w:val="22"/>
          <w:szCs w:val="22"/>
        </w:rPr>
        <w:t xml:space="preserve">raw scrambling versus the seam-only control</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Δ = +0.301, +0.373, +0.345, i.e. scrambling is far more damaging than isolated seam steps. Third, </w:t>
      </w:r>
      <w:r>
        <w:rPr>
          <w:rFonts w:ascii="Times New Roman" w:cs="Times New Roman" w:eastAsia="Times New Roman" w:hAnsi="Times New Roman"/>
          <w:b/>
          <w:bCs/>
          <w:sz w:val="22"/>
          <w:szCs w:val="22"/>
        </w:rPr>
        <w:t xml:space="preserve">seam suppression versus scrambling</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suppressing seams did not restore performance;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was worse than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(Δ = −0.0593, CI [-0.0832, -0.0358]), while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(+0.0057,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0.490)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(−0.0144,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0.133) the difference is not distinguishable from zero. The direction is therefore not consistent across scenarios.</w:t>
      </w:r>
    </w:p>
    <w:p>
      <w:pPr>
        <w:spacing w:after="100" w:before="0" w:line="264"/>
        <w:jc w:val="both"/>
      </w:pPr>
      <w:r>
        <w:rPr>
          <w:rFonts w:ascii="Times New Roman" w:cs="Times New Roman" w:eastAsia="Times New Roman" w:hAnsi="Times New Roman"/>
          <w:sz w:val="22"/>
          <w:szCs w:val="22"/>
        </w:rPr>
        <w:t xml:space="preserve">McNemar’s test is a supplement: it tests slice-level correctness, not Macro-F1, and ignores patient clustering, so its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are anti-conservative. Many exact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underflow double precision, so Table 7 gives log</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from the exact binomial test together with the χ</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statistic.</w:t>
      </w:r>
    </w:p>
    <w:p>
      <w:pPr>
        <w:keepNext/>
        <w:spacing w:after="80" w:before="160" w:line="240"/>
        <w:jc w:val="both"/>
      </w:pPr>
      <w:r>
        <w:rPr>
          <w:rFonts w:ascii="Times New Roman" w:cs="Times New Roman" w:eastAsia="Times New Roman" w:hAnsi="Times New Roman"/>
          <w:b/>
          <w:bCs/>
          <w:sz w:val="19"/>
          <w:szCs w:val="19"/>
        </w:rPr>
        <w:t xml:space="preserve">Table 7  </w:t>
      </w:r>
      <w:r>
        <w:rPr>
          <w:rFonts w:ascii="Times New Roman" w:cs="Times New Roman" w:eastAsia="Times New Roman" w:hAnsi="Times New Roman"/>
          <w:sz w:val="19"/>
          <w:szCs w:val="19"/>
        </w:rPr>
        <w:t xml:space="preserve">All 27 paired contrasts. Fam.: P = primary confirmatory, T = true seam-only (post hoc), E = exploratory. Δ = MacroF1(A) − MacroF1(B) with unadjusted 95% percentile CI from the synchronized cluster bootstrap (B = 25,000); Holm-adj. is the adjusted bootstrap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within the family (size 12, 12, 3); the raw bootstrap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is 8.0×10</w:t>
      </w:r>
      <w:r>
        <w:rPr>
          <w:rFonts w:ascii="Times New Roman" w:cs="Times New Roman" w:eastAsia="Times New Roman" w:hAnsi="Times New Roman"/>
          <w:sz w:val="19"/>
          <w:szCs w:val="19"/>
          <w:vertAlign w:val="superscript"/>
        </w:rPr>
        <w:t xml:space="preserve">−5</w:t>
      </w:r>
      <w:r>
        <w:rPr>
          <w:rFonts w:ascii="Times New Roman" w:cs="Times New Roman" w:eastAsia="Times New Roman" w:hAnsi="Times New Roman"/>
          <w:sz w:val="19"/>
          <w:szCs w:val="19"/>
        </w:rPr>
        <w:t xml:space="preserve"> (the minimum) except for C</w:t>
      </w:r>
      <w:r>
        <w:rPr>
          <w:rFonts w:ascii="Times New Roman" w:cs="Times New Roman" w:eastAsia="Times New Roman" w:hAnsi="Times New Roman"/>
          <w:sz w:val="19"/>
          <w:szCs w:val="19"/>
          <w:vertAlign w:val="subscript"/>
        </w:rPr>
        <w:t xml:space="preserve">3</w:t>
      </w:r>
      <w:r>
        <w:rPr>
          <w:rFonts w:ascii="Times New Roman" w:cs="Times New Roman" w:eastAsia="Times New Roman" w:hAnsi="Times New Roman"/>
          <w:sz w:val="19"/>
          <w:szCs w:val="19"/>
        </w:rPr>
        <w:t xml:space="preserve"> vs C</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in S</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(0.4895) and S</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(0.1328). McNemar columns are supplementary (exact log</w:t>
      </w:r>
      <w:r>
        <w:rPr>
          <w:rFonts w:ascii="Times New Roman" w:cs="Times New Roman" w:eastAsia="Times New Roman" w:hAnsi="Times New Roman"/>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χ</w:t>
      </w:r>
      <w:r>
        <w:rPr>
          <w:rFonts w:ascii="Times New Roman" w:cs="Times New Roman" w:eastAsia="Times New Roman" w:hAnsi="Times New Roman"/>
          <w:sz w:val="19"/>
          <w:szCs w:val="19"/>
          <w:vertAlign w:val="superscript"/>
        </w:rPr>
        <w:t xml:space="preserve">2</w:t>
      </w:r>
      <w:r>
        <w:rPr>
          <w:rFonts w:ascii="Times New Roman" w:cs="Times New Roman" w:eastAsia="Times New Roman" w:hAnsi="Times New Roman"/>
          <w:sz w:val="19"/>
          <w:szCs w:val="19"/>
        </w:rPr>
        <w:t xml:space="preserve">).</w:t>
      </w:r>
    </w:p>
    <w:tbl>
      <w:tblPr>
        <w:tblW w:type="dxa" w:w="8410"/>
        <w:jc w:val="center"/>
        <w:tblBorders>
          <w:top w:val="single" w:color="auto" w:sz="4"/>
          <w:left w:val="single" w:color="auto" w:sz="4"/>
          <w:bottom w:val="single" w:color="auto" w:sz="4"/>
          <w:right w:val="single" w:color="auto" w:sz="4"/>
          <w:insideH w:val="single" w:color="auto" w:sz="4"/>
          <w:insideV w:val="single" w:color="auto" w:sz="4"/>
        </w:tblBorders>
      </w:tblPr>
      <w:tblGrid>
        <w:gridCol w:w="470"/>
        <w:gridCol w:w="560"/>
        <w:gridCol w:w="1100"/>
        <w:gridCol w:w="1100"/>
        <w:gridCol w:w="780"/>
        <w:gridCol w:w="1700"/>
        <w:gridCol w:w="1100"/>
        <w:gridCol w:w="900"/>
        <w:gridCol w:w="700"/>
      </w:tblGrid>
      <w:tr>
        <w:trPr>
          <w:tblHeader/>
        </w:trPr>
        <w:tc>
          <w:tcPr>
            <w:tcW w:type="dxa" w:w="47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4"/>
                <w:szCs w:val="14"/>
              </w:rPr>
              <w:t xml:space="preserve">Scen.</w:t>
            </w:r>
          </w:p>
        </w:tc>
        <w:tc>
          <w:tcPr>
            <w:tcW w:type="dxa" w:w="56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Fam.</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Contrast</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A − B</w:t>
            </w:r>
          </w:p>
        </w:tc>
        <w:tc>
          <w:tcPr>
            <w:tcW w:type="dxa" w:w="78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Δ</w:t>
            </w:r>
          </w:p>
        </w:tc>
        <w:tc>
          <w:tcPr>
            <w:tcW w:type="dxa" w:w="1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95% CI</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Holm-adj.</w:t>
            </w:r>
          </w:p>
        </w:tc>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McN. log</w:t>
            </w:r>
            <w:r>
              <w:rPr>
                <w:rFonts w:ascii="Times New Roman" w:cs="Times New Roman" w:eastAsia="Times New Roman" w:hAnsi="Times New Roman"/>
                <w:b/>
                <w:bCs/>
                <w:sz w:val="14"/>
                <w:szCs w:val="14"/>
                <w:vertAlign w:val="subscript"/>
              </w:rPr>
              <w:t xml:space="preserve">10</w:t>
            </w:r>
            <w:r>
              <w:rPr>
                <w:rFonts w:ascii="Times New Roman" w:cs="Times New Roman" w:eastAsia="Times New Roman" w:hAnsi="Times New Roman"/>
                <w:b/>
                <w:bCs/>
                <w:sz w:val="14"/>
                <w:szCs w:val="14"/>
              </w:rPr>
              <w:t xml:space="preserve"> </w:t>
            </w:r>
            <w:r>
              <w:rPr>
                <w:rFonts w:ascii="Times New Roman" w:cs="Times New Roman" w:eastAsia="Times New Roman" w:hAnsi="Times New Roman"/>
                <w:b/>
                <w:bCs/>
                <w:i/>
                <w:iCs/>
                <w:sz w:val="14"/>
                <w:szCs w:val="14"/>
              </w:rPr>
              <w:t xml:space="preserve">p</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McN. χ</w:t>
            </w:r>
            <w:r>
              <w:rPr>
                <w:rFonts w:ascii="Times New Roman" w:cs="Times New Roman" w:eastAsia="Times New Roman" w:hAnsi="Times New Roman"/>
                <w:b/>
                <w:bCs/>
                <w:sz w:val="14"/>
                <w:szCs w:val="14"/>
                <w:vertAlign w:val="superscript"/>
              </w:rPr>
              <w:t xml:space="preserve">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+0.3043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[0.2581, 0.3530]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-214.1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824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+0.4808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[0.4360, 0.5280]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1274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+0.4215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[0.3722, 0.4713]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1145</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+0.1172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[0.0825, 0.1526]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-40.3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+0.1206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[0.0888, 0.1565]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-67.1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268</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+0.1522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[0.1182, 0.1904]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-92.7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366</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+0.3009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[0.2506, 0.3496]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-163.5</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669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+0.3602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[0.3124, 0.4075]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-200.0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805</w:t>
            </w:r>
          </w:p>
        </w:tc>
      </w:tr>
      <w:tr>
        <w:trPr>
          <w:cantSplit/>
        </w:trPr>
        <w:tc>
          <w:tcPr>
            <w:tcW w:type="dxa" w:w="47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−0.0593</w:t>
            </w:r>
          </w:p>
        </w:tc>
        <w:tc>
          <w:tcPr>
            <w:tcW w:type="dxa" w:w="1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[-0.0832, -0.0358]</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-12.8</w:t>
            </w:r>
          </w:p>
        </w:tc>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53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+0.3237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[0.2778, 0.3735]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-247.2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920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+0.4390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[0.3924, 0.4879]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1233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+0.4447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[0.3977, 0.4942]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1262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+0.1210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[0.0964, 0.1460]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-62.3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250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+0.0718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[0.0461, 0.0994]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-27.6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113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+0.0990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[0.0698, 0.1307]</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-42.6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+0.3729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[0.3261, 0.4202]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-257.7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997</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+0.3672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[0.3211, 0.4149]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-247.5</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963</w:t>
            </w:r>
          </w:p>
        </w:tc>
      </w:tr>
      <w:tr>
        <w:trPr>
          <w:cantSplit/>
        </w:trPr>
        <w:tc>
          <w:tcPr>
            <w:tcW w:type="dxa" w:w="47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+0.0057</w:t>
            </w:r>
          </w:p>
        </w:tc>
        <w:tc>
          <w:tcPr>
            <w:tcW w:type="dxa" w:w="1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[-0.0099, 0.0218]</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0.4895 (n.s.)</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-0.9</w:t>
            </w:r>
          </w:p>
        </w:tc>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+0.2887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[0.2287, 0.3552]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-190.8</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744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+0.4114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[0.3569, 0.4684]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-286.0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1081</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+0.3969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[0.3424, 0.4560]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-284.2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1068</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+0.1082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[0.0828, 0.1348]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-47.6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196</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+0.0515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[0.0293, 0.0752]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70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+0.0693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[0.0442, 0.0958]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-26.2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+0.3454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[0.2932, 0.4009]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-228.9</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889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+0.3599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[0.3077, 0.4133]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-234.2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909</w:t>
            </w:r>
          </w:p>
        </w:tc>
      </w:tr>
      <w:tr>
        <w:trPr>
          <w:cantSplit/>
        </w:trPr>
        <w:tc>
          <w:tcPr>
            <w:tcW w:type="dxa" w:w="47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−0.0144</w:t>
            </w:r>
          </w:p>
        </w:tc>
        <w:tc>
          <w:tcPr>
            <w:tcW w:type="dxa" w:w="1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[-0.0335, 0.0043]</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0.2656 (n.s.)</w:t>
            </w:r>
          </w:p>
        </w:tc>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-0.9</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w:t>
            </w:r>
          </w:p>
        </w:tc>
      </w:tr>
    </w:tbl>
    <w:p>
      <w:pPr>
        <w:keepNext/>
        <w:spacing w:after="40" w:before="120"/>
        <w:jc w:val="center"/>
      </w:pPr>
      <w:r>
        <w:drawing>
          <wp:inline distT="0" distB="0" distL="0" distR="0">
            <wp:extent cx="5391150" cy="62293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62293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6  </w:t>
      </w:r>
      <w:r>
        <w:rPr>
          <w:rFonts w:ascii="Times New Roman" w:cs="Times New Roman" w:eastAsia="Times New Roman" w:hAnsi="Times New Roman"/>
          <w:sz w:val="19"/>
          <w:szCs w:val="19"/>
        </w:rPr>
        <w:t xml:space="preserve">Forest plot of the 27 paired contrasts (Δ in Macro-F1 with 95% cluster-bootstrap CI). The dashed line marks the 0.150 practical threshold.</w:t>
      </w:r>
    </w:p>
    <w:p>
      <w:pPr>
        <w:pStyle w:val="Heading2"/>
        <w:keepNext/>
        <w:spacing w:after="100" w:before="200"/>
      </w:pPr>
      <w:r>
        <w:rPr>
          <w:rFonts w:ascii="Times New Roman" w:cs="Times New Roman" w:eastAsia="Times New Roman" w:hAnsi="Times New Roman"/>
          <w:b/>
          <w:bCs/>
          <w:sz w:val="24"/>
          <w:szCs w:val="24"/>
        </w:rPr>
        <w:t xml:space="preserve">4.5  Class-level error structure</w:t>
      </w:r>
    </w:p>
    <w:p>
      <w:pPr>
        <w:spacing w:after="100" w:before="0" w:line="264"/>
        <w:jc w:val="both"/>
      </w:pPr>
      <w:r>
        <w:t>The aggregate performance drop conceals a pronounced directional error structure (Table 8, Fig. 7, Fig. 8). In S0, the proportion of the 1,426 glioma slices misclassified as pituitary tumour rises from 0.14% (C0) to 16.48% (C4a) and 23.35% (C4b), escalating to 31.28% (C1), 56.45% (C3), and 63.53% (C2). Across all three evaluation scenarios, seam-only misclassification spans 6.52%–23.35% (6.52% in S1, 6.94% in S2 for C4a; 8.49% in S1, 9.89% in S2 for C4b), while scrambling and suppression induce 55.12%–63.53% misclassification (57.01% in S1, 55.12% in S2 for C2; 60.66% in S1, 57.29% in S2 for C3). Glioma recall drops from 0.950 at baseline to 0.806 (C4a), 0.747 (C4b), 0.425 (C1), 0.183 (C3), and 0.086 (C2) in S0. The largest single misclassification transition is glioma to pituitary tumour. However, glioma misclassification as meningioma is also substantial under C1–C3 in S0: 374/1,426 (26.2%) for C1, 397/1,426 (27.8%) for C2, and 360/1,426 (25.2%) for C3. Conversely, pituitary slices misclassified as glioma remain low across most conditions (e.g. 0/930 under C2 and 8/930 under C3), though elevated under C1 in S0 (71/930, 7.6%).</w:t>
      </w:r>
    </w:p>
    <w:p>
      <w:pPr>
        <w:spacing w:after="100" w:before="0" w:line="264"/>
        <w:jc w:val="both"/>
      </w:pPr>
      <w:r>
        <w:rPr>
          <w:rFonts w:ascii="Times New Roman" w:cs="Times New Roman" w:eastAsia="Times New Roman" w:hAnsi="Times New Roman"/>
          <w:sz w:val="22"/>
          <w:szCs w:val="22"/>
        </w:rPr>
        <w:t xml:space="preserve">Two points follow. The drift towards “pituitary tumour” increases with the strength of the perturbation and is already present under seam-only perturbation, so it is not unique to spatial rearrangement. And because every intervention pushes predictions towards one class, the networks do not fail symmetrically; this is compatible with the loss of cues that favour glioma (global contour, slice orientation, coarse layout), but also with a more mundane explanation, that the perturbed images resemble some pituitary slices in low-level statistics. The present data cannot separate these explanations (Section 5.4).</w:t>
      </w:r>
    </w:p>
    <w:p>
      <w:pPr>
        <w:keepNext/>
        <w:spacing w:after="80" w:before="160" w:line="240"/>
        <w:jc w:val="both"/>
      </w:pPr>
      <w:r>
        <w:rPr>
          <w:rFonts w:ascii="Times New Roman" w:cs="Times New Roman" w:eastAsia="Times New Roman" w:hAnsi="Times New Roman"/>
          <w:b/>
          <w:bCs/>
          <w:sz w:val="19"/>
          <w:szCs w:val="19"/>
        </w:rPr>
        <w:t xml:space="preserve">Table 8  </w:t>
      </w:r>
      <w:r>
        <w:rPr>
          <w:rFonts w:ascii="Times New Roman" w:cs="Times New Roman" w:eastAsia="Times New Roman" w:hAnsi="Times New Roman"/>
          <w:sz w:val="19"/>
          <w:szCs w:val="19"/>
        </w:rPr>
        <w:t xml:space="preserve">Per-class recall (R) and precision (P) in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for each condition.</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312"/>
        <w:gridCol w:w="1312"/>
        <w:gridCol w:w="1312"/>
        <w:gridCol w:w="1312"/>
        <w:gridCol w:w="1312"/>
        <w:gridCol w:w="1312"/>
      </w:tblGrid>
      <w:tr>
        <w:trPr>
          <w:tblHeader/>
        </w:trPr>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Condition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men.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gli.</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pit.</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men.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gli.</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pit.</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0.903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0.972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0.952</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0.425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0.766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0.577</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0.771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0.086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1.000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0.433</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0.801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0.183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0.841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0.453</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4a</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0.651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0.806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0.990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0.902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0.979</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0.668</w:t>
            </w:r>
          </w:p>
        </w:tc>
      </w:tr>
      <w:tr>
        <w:trPr>
          <w:cantSplit/>
        </w:trPr>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4b</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0.747</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0.985</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0.919</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0.969</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0.616</w:t>
            </w:r>
          </w:p>
        </w:tc>
      </w:tr>
    </w:tbl>
    <w:p>
      <w:pPr>
        <w:keepNext/>
        <w:spacing w:after="40" w:before="120"/>
        <w:jc w:val="center"/>
      </w:pPr>
      <w:r>
        <w:drawing>
          <wp:inline distT="0" distB="0" distL="0" distR="0">
            <wp:extent cx="5667375" cy="42100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42100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7  </w:t>
      </w:r>
      <w:r>
        <w:rPr>
          <w:rFonts w:ascii="Times New Roman" w:cs="Times New Roman" w:eastAsia="Times New Roman" w:hAnsi="Times New Roman"/>
          <w:sz w:val="19"/>
          <w:szCs w:val="19"/>
        </w:rPr>
        <w:t xml:space="preserve">Pooled out-of-fold confusion matrices in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for the six conditions (rows: true class; columns: predicted class).</w:t>
      </w:r>
    </w:p>
    <w:p>
      <w:pPr>
        <w:keepNext/>
        <w:spacing w:after="40" w:before="120"/>
        <w:jc w:val="center"/>
      </w:pPr>
      <w:r>
        <w:drawing>
          <wp:inline distT="0" distB="0" distL="0" distR="0">
            <wp:extent cx="4933950" cy="26193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26193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8  </w:t>
      </w:r>
      <w:r>
        <w:rPr>
          <w:rFonts w:ascii="Times New Roman" w:cs="Times New Roman" w:eastAsia="Times New Roman" w:hAnsi="Times New Roman"/>
          <w:sz w:val="19"/>
          <w:szCs w:val="19"/>
        </w:rPr>
        <w:t xml:space="preserve">Rate at which glioma slices are labelled pituitary tumour, by scenario and condition.</w:t>
      </w:r>
    </w:p>
    <w:p>
      <w:pPr>
        <w:pStyle w:val="Heading2"/>
        <w:keepNext/>
        <w:spacing w:after="100" w:before="200"/>
      </w:pPr>
      <w:r>
        <w:rPr>
          <w:rFonts w:ascii="Times New Roman" w:cs="Times New Roman" w:eastAsia="Times New Roman" w:hAnsi="Times New Roman"/>
          <w:b/>
          <w:bCs/>
          <w:sz w:val="24"/>
          <w:szCs w:val="24"/>
        </w:rPr>
        <w:t xml:space="preserve">4.6  Image diagnostics of the interventions</w:t>
      </w:r>
    </w:p>
    <w:p>
      <w:pPr>
        <w:spacing w:after="200" w:before="60" w:line="240"/>
        <w:jc w:val="both"/>
      </w:pPr>
      <w:r>
        <w:t>Table 9 and Fig. 9 report image diagnostics computed across all 3,064 slices using the evaluated C2 operator (9 × 9 Gaussian, σ = 2.5, distance-weighted blend, w = 4 px). Evaluation with this matching operator reveals resolution-dependent attenuation. At source resolution (512 × 512), C2 achieves 65.0% excess Sobel seam reduction (81.5 vs 174.4, baseline 31.5) and 84.9% excess high-frequency Fourier energy reduction (715.4 vs 2598.4, baseline 379.8) relative to C3. However, on the 224 × 224 network input, excess seam Sobel reduction is more moderate at 39.0% (132.0 vs 183.7, baseline 51.0), while high-frequency Fourier reduction remains strong at 98.2% (1079.6 vs 2410.1, baseline 1055.9). Because the CNN operates on the 224 × 224 resized input, the persistence of 61.0% residual excess seam discontinuity indicates that C2 attenuates but does not fully eliminate artificial boundary steps before classification. Complete per-image and aggregate dual-resolution tables are archived in the supplementary materials and the project Zenodo release.</w:t>
      </w:r>
    </w:p>
    <w:p>
      <w:pPr>
        <w:spacing w:after="100" w:before="0" w:line="264"/>
        <w:jc w:val="both"/>
      </w:pPr>
      <w:r>
        <w:rPr>
          <w:rFonts w:ascii="Times New Roman" w:cs="Times New Roman" w:eastAsia="Times New Roman" w:hAnsi="Times New Roman"/>
          <w:sz w:val="22"/>
          <w:szCs w:val="22"/>
        </w:rPr>
        <w:t xml:space="preserve">The seam-only controls are </w:t>
      </w:r>
      <w:r>
        <w:rPr>
          <w:rFonts w:ascii="Times New Roman" w:cs="Times New Roman" w:eastAsia="Times New Roman" w:hAnsi="Times New Roman"/>
          <w:b/>
          <w:bCs/>
          <w:sz w:val="22"/>
          <w:szCs w:val="22"/>
        </w:rPr>
        <w:t xml:space="preserve">not energy-matched</w:t>
      </w:r>
      <w:r>
        <w:rPr>
          <w:rFonts w:ascii="Times New Roman" w:cs="Times New Roman" w:eastAsia="Times New Roman" w:hAnsi="Times New Roman"/>
          <w:sz w:val="22"/>
          <w:szCs w:val="22"/>
        </w:rPr>
        <w:t xml:space="preserve"> to the scramble. Seam Sobel energy at source is 88.1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137.1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against 174.4 for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31.5 for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on the network input 68.3 and 85.7 against 183.7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51.0). Their high-frequency Fourier energy at source, in contrast, exceeds that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(3578 and 5791 versus 2598), because single-pixel steps are very sharp. Hence the seam-only controls are weaker than the scramble on the gradient measure at the network input and stronger on the source-resolution spectral measure, and no single energy statistic is matched. The “interior” Sobel statistic is higher under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than at baseline (37.9 and 44.0 versus 30.5); tile interiors are not modified, so this most likely reflects the 3 × 3 Sobel footprint reaching the modified boundary pixels at the edge of the interior mask.</w:t>
      </w:r>
    </w:p>
    <w:p>
      <w:pPr>
        <w:spacing w:after="100" w:before="0" w:line="264"/>
        <w:jc w:val="both"/>
      </w:pPr>
      <w:r/>
    </w:p>
    <w:p>
      <w:pPr>
        <w:keepNext/>
        <w:spacing w:after="80" w:before="160" w:line="240"/>
        <w:jc w:val="both"/>
      </w:pPr>
      <w:r>
        <w:t>Table 9. Image diagnostics at source resolution (src; 512 or 256 px) and on the 224 × 224 network input (in), averaged over 3,064 slices. Sobel energies are mean gradient magnitudes on the seam band, at seam junctions and in the tile interior; HF is high-frequency Fourier energy; Unch. is the fraction of pixels identical to C0 at source.</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1200"/>
        <w:gridCol w:w="1150"/>
        <w:gridCol w:w="1150"/>
        <w:gridCol w:w="1150"/>
        <w:gridCol w:w="1222"/>
      </w:tblGrid>
      <w:tr>
        <w:trPr>
          <w:tblHeader/>
        </w:trPr>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Cond.</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Seam src</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Seam in</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Junction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Interior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HF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HF in</w:t>
            </w:r>
          </w:p>
        </w:tc>
        <w:tc>
          <w:tcPr>
            <w:tcW w:type="dxa" w:w="122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Unch. src</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31.5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51.0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32.3</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30.5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380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1056</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1.000</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163.4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174.3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202.6</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25.4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2039</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1966</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0.113</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r>
              <w:t>C2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r>
              <w:t>81.5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r>
              <w:t>132.0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r>
              <w:t>82.7</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r>
              <w:t>37.7</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r>
              <w:t>715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r>
              <w:t>1080</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r>
              <w:t>0.093</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174.4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183.7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218.4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31.2</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2598</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2410</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0.112</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88.1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68.3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127.0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37.9</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3578</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1558</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0.813</w:t>
            </w:r>
          </w:p>
        </w:tc>
      </w:tr>
      <w:tr>
        <w:trPr>
          <w:cantSplit/>
        </w:trPr>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137.1</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85.7</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207.0</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44.0</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5791</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2107</w:t>
            </w:r>
          </w:p>
        </w:tc>
        <w:tc>
          <w:tcPr>
            <w:tcW w:type="dxa" w:w="122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0.813</w:t>
            </w:r>
          </w:p>
        </w:tc>
      </w:tr>
    </w:tbl>
    <w:p>
      <w:pPr>
        <w:keepNext/>
        <w:spacing w:after="40" w:before="120"/>
        <w:jc w:val="center"/>
      </w:pPr>
      <w:r/>
      <w:r>
        <w:rPr>
          <w:i/>
        </w:rPr>
      </w:r>
    </w:p>
    <w:p>
      <w:pPr>
        <w:spacing w:after="60" w:before="60" w:line="240"/>
        <w:jc w:val="center"/>
      </w:pPr>
      <w:r>
        <w:rPr>
          <w:rFonts w:ascii="Times New Roman" w:cs="Times New Roman" w:eastAsia="Times New Roman" w:hAnsi="Times New Roman"/>
          <w:sz w:val="20"/>
          <w:szCs w:val="20"/>
        </w:rPr>
        <w:drawing>
          <wp:inline xmlns:wp="http://schemas.openxmlformats.org/drawingml/2006/wordprocessingDrawing" distT="0" distB="0" distL="0" distR="0">
            <wp:extent cx="5400000" cy="3600000"/>
            <wp:effectExtent t="0" r="0" b="0" l="0"/>
            <wp:docPr id="20" name="fig9" desc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 descr="Figure 9"/>
                    <pic:cNvPicPr>
                      <a:picLocks noChangeAspect="1" noChangeArrowheads="1"/>
                    </pic:cNvPicPr>
                  </pic:nvPicPr>
                  <pic:blipFill>
                    <a:blip xmlns:r="http://schemas.openxmlformats.org/officeDocument/2006/relationships" r:embed="rId16" cstate="none"/>
                    <a:srcRect/>
                    <a:stretch>
                      <a:fillRect/>
                    </a:stretch>
                  </pic:blipFill>
                  <pic:spPr bwMode="auto">
                    <a:xfrm>
                      <a:off x="0" y="0"/>
                      <a:ext cx="5400000" cy="3600000"/>
                    </a:xfrm>
                    <a:prstGeom prst="rect">
                      <a:avLst/>
                    </a:prstGeom>
                    <a:noFill/>
                    <a:ln>
                      <a:noFill/>
                    </a:ln>
                  </pic:spPr>
                </pic:pic>
              </a:graphicData>
            </a:graphic>
          </wp:inline>
        </w:drawing>
      </w:r>
    </w:p>
    <w:p>
      <w:pPr>
        <w:spacing w:after="60" w:before="60" w:line="240"/>
        <w:jc w:val="both"/>
      </w:pPr>
      <w:r>
        <w:t>Fig. 9.  Image diagnostics of all six conditions at source resolution (512×512) and model input resolution (224×224). Seam Sobel energy, interior energy and high-frequency Fourier energy for C0–C3, C4a and C4b. Diagnostics computed across all 3,064 slices using the evaluated C2 operator (9×9 Gaussian, σ = 2.5, distance-weighted blend, w = 4 px; scripts/run_dual_resolution_diagnostics.py). C2 seam suppression achieves 65.0% excess Sobel reduction and 84.9% excess Fourier energy reduction at source resolution, and 39.0% excess Sobel reduction and 98.2% Fourier energy reduction on the 224×224 model input.</w:t>
      </w:r>
    </w:p>
    <w:p>
      <w:pPr>
        <w:spacing w:after="100" w:before="0" w:line="264"/>
        <w:jc w:val="both"/>
      </w:pPr>
      <w:r>
        <w:rPr>
          <w:rFonts w:ascii="Times New Roman" w:cs="Times New Roman" w:eastAsia="Times New Roman" w:hAnsi="Times New Roman"/>
          <w:sz w:val="22"/>
          <w:szCs w:val="22"/>
        </w:rPr>
        <w:t xml:space="preserve">Two further differences matter. The tile-level offsets of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are clipped at 0 and 255, which lowers the interior gradient (25.4 versus 30.5 at baseline); and only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preserves the pixel histogram exactly, as it merely permutes pixels.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are therefore not matched in intensity or texture statistics. Because 256-px slices (15 meningioma slices from a single patient) are too few to analyse separately, a resolution-stratified analysis was not possible.</w:t>
      </w:r>
    </w:p>
    <w:p>
      <w:pPr>
        <w:pStyle w:val="Heading2"/>
        <w:keepNext/>
        <w:spacing w:after="100" w:before="200"/>
      </w:pPr>
      <w:r>
        <w:rPr>
          <w:rFonts w:ascii="Times New Roman" w:cs="Times New Roman" w:eastAsia="Times New Roman" w:hAnsi="Times New Roman"/>
          <w:b/>
          <w:bCs/>
          <w:sz w:val="24"/>
          <w:szCs w:val="24"/>
        </w:rPr>
        <w:t xml:space="preserve">4.7  Stability across folds and checkpoints</w:t>
      </w:r>
    </w:p>
    <w:p>
      <w:pPr>
        <w:spacing w:after="100" w:before="0" w:line="264"/>
        <w:jc w:val="both"/>
      </w:pPr>
      <w:r>
        <w:rPr>
          <w:rFonts w:ascii="Times New Roman" w:cs="Times New Roman" w:eastAsia="Times New Roman" w:hAnsi="Times New Roman"/>
          <w:sz w:val="22"/>
          <w:szCs w:val="22"/>
        </w:rPr>
        <w:t xml:space="preserve">Fig. 10 and Table A1 (Appendix A) show the contrasts for each of the five folds. The baseline contrasts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have the same sign in all 45 fold-level estimates. The seam-only effect is far less uniform: the fold-level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drop ranges from 0.006 to 0.247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0.032 to 0.110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0.015 to 0.083 in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the corresponding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ranges are 0.026–0.277, 0.065–0.131, 0.029–0.105. Some checkpoints are therefore almost insensitive to seam steps while others lose more than 0.2 Macro-F1. Contrasts with a negative fold-level estimate (sign not constant across folds): S0 C3 vs C2; S1 C3 vs C2; S2 C3 vs C2. Because each fold uses a different checkpoint, fold variation combines test-sample variability with checkpoint-level variability, and the two cannot be separated with one checkpoint per fold.</w:t>
      </w:r>
    </w:p>
    <w:p>
      <w:pPr>
        <w:keepNext/>
        <w:spacing w:after="40" w:before="120"/>
        <w:jc w:val="center"/>
      </w:pPr>
      <w:r>
        <w:drawing>
          <wp:inline distT="0" distB="0" distL="0" distR="0">
            <wp:extent cx="5667375" cy="25050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5050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10  </w:t>
      </w:r>
      <w:r>
        <w:rPr>
          <w:rFonts w:ascii="Times New Roman" w:cs="Times New Roman" w:eastAsia="Times New Roman" w:hAnsi="Times New Roman"/>
          <w:sz w:val="19"/>
          <w:szCs w:val="19"/>
        </w:rPr>
        <w:t xml:space="preserve">Fold-level Δ for the contrasts C</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and C</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vs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and the three scenarios (points) with the 0.150 practical threshold (dashed line).</w:t>
      </w:r>
    </w:p>
    <w:p>
      <w:pPr>
        <w:pStyle w:val="Heading2"/>
        <w:keepNext/>
        <w:spacing w:after="100" w:before="200"/>
      </w:pPr>
      <w:r>
        <w:rPr>
          <w:rFonts w:ascii="Times New Roman" w:cs="Times New Roman" w:eastAsia="Times New Roman" w:hAnsi="Times New Roman"/>
          <w:b/>
          <w:bCs/>
          <w:sz w:val="24"/>
          <w:szCs w:val="24"/>
        </w:rPr>
        <w:t xml:space="preserve">4.8  Summary of results</w:t>
      </w:r>
    </w:p>
    <w:p>
      <w:pPr>
        <w:pStyle w:val="ListParagraph"/>
        <w:numPr>
          <w:ilvl w:val="0"/>
          <w:numId w:val="4"/>
        </w:numPr>
        <w:spacing w:after="60" w:line="264"/>
        <w:jc w:val="both"/>
      </w:pPr>
      <w:r>
        <w:rPr>
          <w:rFonts w:ascii="Times New Roman" w:cs="Times New Roman" w:eastAsia="Times New Roman" w:hAnsi="Times New Roman"/>
          <w:sz w:val="22"/>
          <w:szCs w:val="22"/>
        </w:rPr>
        <w:t xml:space="preserve">Baseline Macro-F1 is ≈ 0.93 in all scenarios and is only slightly lowered by near-duplicate cluster merging.</w:t>
      </w:r>
    </w:p>
    <w:p>
      <w:pPr>
        <w:pStyle w:val="ListParagraph"/>
        <w:numPr>
          <w:ilvl w:val="0"/>
          <w:numId w:val="4"/>
        </w:numPr>
        <w:spacing w:after="60" w:line="264"/>
        <w:jc w:val="both"/>
      </w:pPr>
      <w:r>
        <w:rPr>
          <w:rFonts w:ascii="Times New Roman" w:cs="Times New Roman" w:eastAsia="Times New Roman" w:hAnsi="Times New Roman"/>
          <w:sz w:val="22"/>
          <w:szCs w:val="22"/>
        </w:rPr>
        <w:t xml:space="preserve">Raw scrambling, the tile-mean offsets and the seam-suppressed permutation reduce Macro-F1 by 0.29–0.48; all nine such contrasts are significant after Holm–Bonferroni and exceed the 0.150 threshold.</w:t>
      </w:r>
    </w:p>
    <w:p>
      <w:pPr>
        <w:pStyle w:val="ListParagraph"/>
        <w:numPr>
          <w:ilvl w:val="0"/>
          <w:numId w:val="4"/>
        </w:numPr>
        <w:spacing w:after="60" w:line="264"/>
        <w:jc w:val="both"/>
      </w:pPr>
      <w:r>
        <w:rPr>
          <w:rFonts w:ascii="Times New Roman" w:cs="Times New Roman" w:eastAsia="Times New Roman" w:hAnsi="Times New Roman"/>
          <w:sz w:val="22"/>
          <w:szCs w:val="22"/>
        </w:rPr>
        <w:t xml:space="preserve">Seam steps alone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two pixels per seam) reduce Macro-F1 by 0.05–0.12 (gain 1.0) and 0.07–0.15 (gain 1.8) in a statistically reliable way; the effect grows with gain, differs between scenarios and is very heterogeneous across checkpoints. The controls are not energy-matched to the scramble, so the ratio to the scramble effect is descriptive only.</w:t>
      </w:r>
    </w:p>
    <w:p>
      <w:pPr>
        <w:pStyle w:val="ListParagraph"/>
        <w:numPr>
          <w:ilvl w:val="0"/>
          <w:numId w:val="4"/>
        </w:numPr>
        <w:spacing w:after="60" w:line="264"/>
        <w:jc w:val="both"/>
      </w:pPr>
      <w:r>
        <w:rPr>
          <w:rFonts w:ascii="Times New Roman" w:cs="Times New Roman" w:eastAsia="Times New Roman" w:hAnsi="Times New Roman"/>
          <w:sz w:val="22"/>
          <w:szCs w:val="22"/>
        </w:rPr>
        <w:t xml:space="preserve">The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remove 0.29–0.32 and raw scrambling a further 0.11–0.12;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is not a seam control.</w:t>
      </w:r>
    </w:p>
    <w:p>
      <w:pPr>
        <w:pStyle w:val="ListParagraph"/>
        <w:numPr>
          <w:ilvl w:val="0"/>
          <w:numId w:val="4"/>
        </w:numPr>
        <w:spacing w:after="60" w:line="264"/>
        <w:jc w:val="both"/>
      </w:pPr>
      <w:r>
        <w:t>The seam-suppressed permutation did not recover performance (C3 vs C2 is inconsistent in sign across scenarios); although C2 reduces seam step discontinuities (by 65.0% at source resolution and 39.0% at 224 × 224 model input resolution, Table 9), substantial residual boundary edge energy remains at the network input alongside new blending artifacts.</w:t>
      </w:r>
    </w:p>
    <w:p>
      <w:pPr>
        <w:pStyle w:val="ListParagraph"/>
        <w:numPr>
          <w:ilvl w:val="0"/>
          <w:numId w:val="4"/>
        </w:numPr>
        <w:spacing w:after="60" w:line="264"/>
        <w:jc w:val="both"/>
      </w:pPr>
      <w:r>
        <w:rPr>
          <w:rFonts w:ascii="Times New Roman" w:cs="Times New Roman" w:eastAsia="Times New Roman" w:hAnsi="Times New Roman"/>
          <w:sz w:val="22"/>
          <w:szCs w:val="22"/>
        </w:rPr>
        <w:t xml:space="preserve">Failures are asymmetric and graded: the glioma-to-pituitary rate rises from 0.14% at baseline to 16.5–23.4% under seam-only perturbation and 56–64% under scrambling and seam suppression, while pituitary slices are rarely labelled glioma.</w:t>
      </w:r>
    </w:p>
    <w:p>
      <w:pPr>
        <w:pStyle w:val="Heading2"/>
        <w:keepNext/>
        <w:spacing w:after="100" w:before="200"/>
      </w:pPr>
      <w:r>
        <w:rPr>
          <w:rFonts w:ascii="Times New Roman" w:cs="Times New Roman" w:eastAsia="Times New Roman" w:hAnsi="Times New Roman"/>
          <w:b/>
          <w:bCs/>
          <w:sz w:val="24"/>
          <w:szCs w:val="24"/>
        </w:rPr>
        <w:t xml:space="preserve">4.9  Evaluation of the hypotheses</w:t>
      </w:r>
    </w:p>
    <w:p>
      <w:pPr>
        <w:spacing w:after="100" w:before="0" w:line="264"/>
        <w:jc w:val="both"/>
      </w:pPr>
      <w:r>
        <w:rPr>
          <w:rFonts w:ascii="Times New Roman" w:cs="Times New Roman" w:eastAsia="Times New Roman" w:hAnsi="Times New Roman"/>
          <w:sz w:val="22"/>
          <w:szCs w:val="22"/>
        </w:rPr>
        <w:t xml:space="preserve">Hypotheses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1) were set in the project’s phased research protocol and its experiment configuration before the models were executed, but were not deposited in an immutable external registry, and repository timestamps cannot prove the order of configuration and predictions. Table 10 states the outcome for each. No equivalence margin was fixed for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so it is judged by whether the confidence interval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excludes zero. The verdicts refer to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as defined in Section 3.6, not to seams in isolation; the seam-only result is an additional, post hoc finding.</w:t>
      </w:r>
    </w:p>
    <w:p>
      <w:pPr>
        <w:keepNext/>
        <w:spacing w:after="80" w:before="160" w:line="240"/>
        <w:jc w:val="both"/>
      </w:pPr>
      <w:r>
        <w:rPr>
          <w:rFonts w:ascii="Times New Roman" w:cs="Times New Roman" w:eastAsia="Times New Roman" w:hAnsi="Times New Roman"/>
          <w:b/>
          <w:bCs/>
          <w:sz w:val="19"/>
          <w:szCs w:val="19"/>
        </w:rPr>
        <w:t xml:space="preserve">Table 10  </w:t>
      </w:r>
      <w:r>
        <w:rPr>
          <w:rFonts w:ascii="Times New Roman" w:cs="Times New Roman" w:eastAsia="Times New Roman" w:hAnsi="Times New Roman"/>
          <w:sz w:val="19"/>
          <w:szCs w:val="19"/>
        </w:rPr>
        <w:t xml:space="preserve">Hypotheses, tests, estimates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and verdicts.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72"/>
        <w:gridCol w:w="2200"/>
      </w:tblGrid>
      <w:tr>
        <w:trPr>
          <w:tblHeader/>
        </w:trPr>
        <w:tc>
          <w:tcPr>
            <w:tcW w:type="dxa" w:w="18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Hypothesis</w:t>
            </w:r>
          </w:p>
        </w:tc>
        <w:tc>
          <w:tcPr>
            <w:tcW w:type="dxa" w:w="2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Test</w:t>
            </w:r>
          </w:p>
        </w:tc>
        <w:tc>
          <w:tcPr>
            <w:tcW w:type="dxa" w:w="30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Δ [95% CI]</w:t>
            </w:r>
          </w:p>
        </w:tc>
        <w:tc>
          <w:tcPr>
            <w:tcW w:type="dxa" w:w="2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Verdict</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accounts for the entire decline</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Δ &gt; 0, CI excludes 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+0.117 [0.082, 0.153] / +0.121 [0.096, 0.146] / +0.108 [0.083, 0.135]</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Not supported: C</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is reliably worse than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(Δ ≈ 0.11–0.12, below 0.150)</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alone degrades performance</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lower bound &gt; 0.150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+0.304 [0.258, 0.353] / +0.324 [0.278, 0.374] / +0.289 [0.229, 0.355]</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in all scenarios (not attributable to seams alone)</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degrades by &gt; 0.150</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lower bound &gt; 0.150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+0.481 [0.436, 0.528] / +0.439 [0.392, 0.488] / +0.411 [0.357, 0.468]</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in all scenarios</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and H</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both supported</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Conjunction of 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and H</w:t>
            </w:r>
            <w:r>
              <w:rPr>
                <w:rFonts w:ascii="Times New Roman" w:cs="Times New Roman" w:eastAsia="Times New Roman" w:hAnsi="Times New Roman"/>
                <w:sz w:val="15"/>
                <w:szCs w:val="15"/>
                <w:vertAlign w:val="subscript"/>
              </w:rPr>
              <w:t xml:space="preserve">2</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as stated; interpretation limited by Section 5.4</w:t>
            </w:r>
          </w:p>
        </w:tc>
      </w:tr>
      <w:tr>
        <w:trPr>
          <w:cantSplit/>
        </w:trPr>
        <w:tc>
          <w:tcPr>
            <w:tcW w:type="dxa" w:w="18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Post hoc: seam steps alone degrade performance</w:t>
            </w:r>
          </w:p>
        </w:tc>
        <w:tc>
          <w:tcPr>
            <w:tcW w:type="dxa" w:w="2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4a</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4b</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excludes 0 (true seam-only family)</w:t>
            </w:r>
          </w:p>
        </w:tc>
        <w:tc>
          <w:tcPr>
            <w:tcW w:type="dxa" w:w="30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+0.121 [0.089, 0.156] / +0.072 [0.046, 0.099] / +0.051 [0.029, 0.075] (C</w:t>
            </w:r>
            <w:r>
              <w:rPr>
                <w:rFonts w:ascii="Times New Roman" w:cs="Times New Roman" w:eastAsia="Times New Roman" w:hAnsi="Times New Roman"/>
                <w:sz w:val="15"/>
                <w:szCs w:val="15"/>
                <w:vertAlign w:val="subscript"/>
              </w:rPr>
              <w:t xml:space="preserve">4a</w:t>
            </w:r>
            <w:r>
              <w:rPr>
                <w:rFonts w:ascii="Times New Roman" w:cs="Times New Roman" w:eastAsia="Times New Roman" w:hAnsi="Times New Roman"/>
                <w:sz w:val="15"/>
                <w:szCs w:val="15"/>
              </w:rPr>
              <w:t xml:space="preserve">)</w:t>
            </w:r>
          </w:p>
        </w:tc>
        <w:tc>
          <w:tcPr>
            <w:tcW w:type="dxa" w:w="2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(Holm, family of 12); below 0.150 except C</w:t>
            </w:r>
            <w:r>
              <w:rPr>
                <w:rFonts w:ascii="Times New Roman" w:cs="Times New Roman" w:eastAsia="Times New Roman" w:hAnsi="Times New Roman"/>
                <w:sz w:val="15"/>
                <w:szCs w:val="15"/>
                <w:vertAlign w:val="subscript"/>
              </w:rPr>
              <w:t xml:space="preserve">4b</w:t>
            </w:r>
            <w:r>
              <w:rPr>
                <w:rFonts w:ascii="Times New Roman" w:cs="Times New Roman" w:eastAsia="Times New Roman" w:hAnsi="Times New Roman"/>
                <w:sz w:val="15"/>
                <w:szCs w:val="15"/>
              </w:rPr>
              <w:t xml:space="preserve"> in 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(point estimate only)</w:t>
            </w:r>
          </w:p>
        </w:tc>
      </w:tr>
    </w:tbl>
    <w:p>
      <w:pPr>
        <w:pStyle w:val="Heading1"/>
        <w:keepNext/>
        <w:spacing w:after="140" w:before="300"/>
      </w:pPr>
      <w:r>
        <w:rPr>
          <w:rFonts w:ascii="Times New Roman" w:cs="Times New Roman" w:eastAsia="Times New Roman" w:hAnsi="Times New Roman"/>
          <w:b/>
          <w:bCs/>
          <w:sz w:val="28"/>
          <w:szCs w:val="28"/>
        </w:rPr>
        <w:t xml:space="preserve">5  Discussion</w:t>
      </w:r>
    </w:p>
    <w:p>
      <w:pPr>
        <w:pStyle w:val="Heading2"/>
        <w:keepNext/>
        <w:spacing w:after="100" w:before="200"/>
      </w:pPr>
      <w:r>
        <w:rPr>
          <w:rFonts w:ascii="Times New Roman" w:cs="Times New Roman" w:eastAsia="Times New Roman" w:hAnsi="Times New Roman"/>
          <w:b/>
          <w:bCs/>
          <w:sz w:val="24"/>
          <w:szCs w:val="24"/>
        </w:rPr>
        <w:t xml:space="preserve">5.1  Principal findings</w:t>
      </w:r>
    </w:p>
    <w:p>
      <w:pPr>
        <w:spacing w:after="100" w:before="0" w:line="264"/>
        <w:jc w:val="both"/>
      </w:pPr>
      <w:r>
        <w:t>The study asked whether a performance drop under distant-context scrambling can be attributed to synthetic seams introduced by the intervention, to rearrangement of distant context, or to both. Four observations bear on this. (i) A seam-only perturbation modifying only the two pixels flanking each seam reliably lowers Macro-F1 across all scenarios (by 0.05–0.12 at gain 1.0 and 0.07–0.15 at gain 1.8), indicating that seam-like discontinuities alone can degrade these frozen checkpoints. (ii) The magnitude of this drop varies substantially between checkpoints and folds (ranging from +0.006 to +0.247 across single-seed folds in S0), indicating that the apparent decline between S0 and S1 reflects training and fold-level variance rather than near-duplicate grouping stringency (as S1 merges only two patient clusters). (iii) The tile-mean-offset control (C1), raw scramble (C3) and seam-attenuated permutation (C2) produce drops of 0.29–0.48 Macro-F1, substantially exceeding the seam-only drop, and C3 is reliably worse than C1. (iv) Seam attenuation (39.0% excess boundary reduction at model input) did not recover performance. Together, these observations are consistent with the presence of both boundary-artifact sensitivity and distant-content sensitivity, while indicating that apportionment would require a full 2×2 factorial design with energy-matched controls.</w:t>
      </w:r>
    </w:p>
    <w:p>
      <w:pPr>
        <w:pStyle w:val="Heading2"/>
        <w:keepNext/>
        <w:spacing w:after="100" w:before="200"/>
      </w:pPr>
      <w:r>
        <w:rPr>
          <w:rFonts w:ascii="Times New Roman" w:cs="Times New Roman" w:eastAsia="Times New Roman" w:hAnsi="Times New Roman"/>
          <w:b/>
          <w:bCs/>
          <w:sz w:val="24"/>
          <w:szCs w:val="24"/>
        </w:rPr>
        <w:t xml:space="preserve">5.2  Seams versus spatial rearrangement</w:t>
      </w:r>
    </w:p>
    <w:p>
      <w:pPr>
        <w:spacing w:after="100" w:before="0" w:line="264"/>
        <w:jc w:val="both"/>
      </w:pPr>
      <w:r>
        <w:rPr>
          <w:rFonts w:ascii="Times New Roman" w:cs="Times New Roman" w:eastAsia="Times New Roman" w:hAnsi="Times New Roman"/>
          <w:sz w:val="22"/>
          <w:szCs w:val="22"/>
        </w:rPr>
        <w:t xml:space="preserve">Two descriptive ratios are tempting and should be avoided as decompositions. The ratio κ = Δ</w:t>
      </w:r>
      <w:r>
        <w:rPr>
          <w:rFonts w:ascii="Times New Roman" w:cs="Times New Roman" w:eastAsia="Times New Roman" w:hAnsi="Times New Roman"/>
          <w:sz w:val="22"/>
          <w:szCs w:val="22"/>
          <w:vertAlign w:val="subscript"/>
        </w:rPr>
        <w:t xml:space="preserve">C1</w:t>
      </w:r>
      <w:r>
        <w:rPr>
          <w:rFonts w:ascii="Times New Roman" w:cs="Times New Roman" w:eastAsia="Times New Roman" w:hAnsi="Times New Roman"/>
          <w:sz w:val="22"/>
          <w:szCs w:val="22"/>
        </w:rPr>
        <w:t xml:space="preserve">/Δ</w:t>
      </w:r>
      <w:r>
        <w:rPr>
          <w:rFonts w:ascii="Times New Roman" w:cs="Times New Roman" w:eastAsia="Times New Roman" w:hAnsi="Times New Roman"/>
          <w:sz w:val="22"/>
          <w:szCs w:val="22"/>
          <w:vertAlign w:val="subscript"/>
        </w:rPr>
        <w:t xml:space="preserve">C3</w:t>
      </w:r>
      <w:r>
        <w:rPr>
          <w:rFonts w:ascii="Times New Roman" w:cs="Times New Roman" w:eastAsia="Times New Roman" w:hAnsi="Times New Roman"/>
          <w:sz w:val="22"/>
          <w:szCs w:val="22"/>
        </w:rPr>
        <w:t xml:space="preserve"> ≈ 0.72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is not the seam share, because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gives every tile the mean of the tile that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would place there and so carries the coarse intensity rearrangement of the scramble in addition to its seams (Fig. 3). The ratio of the seam-only drop to the scramble drop (0.29, 0.16 and 0.13 for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0.36, 0.22 and 0.17 for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is not a seam share either: it changes with scenario and gain, the seam-only controls are not matched to the scramble in gradient or spectral energy (Section 4.6), and the scale is saturating, since Macro-F1 cannot fall below a floor of about 0.21 for a constant prediction, so equal increments do not imply equal contributions.</w:t>
      </w:r>
    </w:p>
    <w:p>
      <w:pPr>
        <w:spacing w:after="100" w:before="0" w:line="264"/>
        <w:jc w:val="both"/>
      </w:pPr>
      <w:r>
        <w:t>Why C2 is not better than C3 is open. Possible reasons include residual discontinuity (on the 224 × 224 network input, C2 excess seam Sobel reduction is only 39.0%, so noticeable step discontinuities persist; Table 9), the new artefact of blurred bands and reduced within-tile contrast, and the fact that the permutation is identical in C2 and C3, so any damage from displaced anatomy or missing global context is shared. A seam-free rearrangement is needed to separate these explanations.</w:t>
      </w:r>
    </w:p>
    <w:p>
      <w:pPr>
        <w:pStyle w:val="Heading2"/>
        <w:keepNext/>
        <w:spacing w:after="100" w:before="200"/>
      </w:pPr>
      <w:r>
        <w:rPr>
          <w:rFonts w:ascii="Times New Roman" w:cs="Times New Roman" w:eastAsia="Times New Roman" w:hAnsi="Times New Roman"/>
          <w:b/>
          <w:bCs/>
          <w:sz w:val="24"/>
          <w:szCs w:val="24"/>
        </w:rPr>
        <w:t xml:space="preserve">5.3  Connection to shortcut learning and benchmark audits</w:t>
      </w:r>
    </w:p>
    <w:p>
      <w:pPr>
        <w:spacing w:after="100" w:before="0" w:line="264"/>
        <w:jc w:val="both"/>
      </w:pPr>
      <w:r>
        <w:rPr>
          <w:rFonts w:ascii="Times New Roman" w:cs="Times New Roman" w:eastAsia="Times New Roman" w:hAnsi="Times New Roman"/>
          <w:sz w:val="22"/>
          <w:szCs w:val="22"/>
        </w:rPr>
        <w:t>Shortcut-learning studies in chest radiography, dermatology and skeletal imaging show that classifiers can succeed through cues that are not the intended pathology [1, 2, 5–8]. Scrambling and occlusion probes are common tools for testing such reliance [9–11], but these interventions can also change the input distribution and introduce artificial boundaries. The motivation for this study is this methodological confound: a performance drop under scrambling is not, by itself, an unambiguous measure of reliance on a particular cue. Sensitivity to texture and high-frequency content, documented for natural images [13–15, 29, 30], is a plausible but untested route. Our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comparison shows robustness across grouping regimes only in a limited sense because baseline performance changed little. Since the frozen checkpoints were trained under each scenario’s grouping, this comparison speaks to the evaluation protocol, not to leakage at training time.</w:t>
      </w:r>
    </w:p>
    <w:p>
      <w:pPr>
        <w:pStyle w:val="Heading2"/>
        <w:keepNext/>
        <w:spacing w:after="100" w:before="200"/>
      </w:pPr>
      <w:r>
        <w:rPr>
          <w:rFonts w:ascii="Times New Roman" w:cs="Times New Roman" w:eastAsia="Times New Roman" w:hAnsi="Times New Roman"/>
          <w:b/>
          <w:bCs/>
          <w:sz w:val="24"/>
          <w:szCs w:val="24"/>
        </w:rPr>
        <w:t xml:space="preserve">5.4  Alternative explanations and confounds</w:t>
      </w:r>
    </w:p>
    <w:p>
      <w:pPr>
        <w:spacing w:after="100" w:before="0" w:line="264"/>
        <w:jc w:val="both"/>
      </w:pPr>
      <w:r>
        <w:rPr>
          <w:rFonts w:ascii="Times New Roman" w:cs="Times New Roman" w:eastAsia="Times New Roman" w:hAnsi="Times New Roman"/>
          <w:sz w:val="22"/>
          <w:szCs w:val="22"/>
        </w:rPr>
        <w:t xml:space="preserve">Several alternative explanations remain open, and each corresponds to a concrete follow-up control.</w:t>
      </w:r>
    </w:p>
    <w:p>
      <w:pPr>
        <w:pStyle w:val="ListParagraph"/>
        <w:numPr>
          <w:ilvl w:val="0"/>
          <w:numId w:val="4"/>
        </w:numPr>
        <w:spacing w:after="60" w:line="264"/>
        <w:jc w:val="both"/>
      </w:pPr>
      <w:r>
        <w:t>Acquisition plane as a first-order confound. The Cheng Figshare cohort pools axial, coronal, and sagittal scans without embedded plane metadata. Slices with pituitary tumours are predominantly acquired in coronal and sagittal orientations to capture sellar anatomy, whereas gliomas are primarily imaged axially. Scrambling the distant anatomy destroys skull-vault geometry, orbital landmarks, and cranial orientation cues that implicitly encode scan orientation. The directional collapse of glioma slices into pituitary tumour under scrambling and seam attenuation (rising from 0.1% to 55–64% across scenarios) is compatible with the loss of plane-specific anatomical cues, which remains untested. Establishing true lesion-context reliance versus orientation-cue destruction requires plane-stratified controls or tumour-only baselines.</w:t>
      </w:r>
    </w:p>
    <w:p>
      <w:pPr>
        <w:pStyle w:val="ListParagraph"/>
        <w:numPr>
          <w:ilvl w:val="0"/>
          <w:numId w:val="4"/>
        </w:numPr>
        <w:spacing w:after="60" w:line="264"/>
        <w:jc w:val="both"/>
      </w:pPr>
      <w:r>
        <w:t>Scale of interventions and OOD representation fragility. C1, C2, and C3 alter 88.7%–90.7% of image pixels (leaving 9.3%–11.3% intact). Because the ResNet-50 checkpoints were trained on unperturbed images using standard spatial flips and rotations, rewriting ~90% of pixels presents an extreme out-of-distribution (OOD) shift. The resulting accuracy decline may reflect representation fragility to unnatural image statistics rather than loss of clinically meaningful anatomical context. Furthermore, C4 perturbs a 2-pixel band flanking tile boundaries while leaving tile interiors unchanged, producing a thin line grid whose source high-frequency Fourier energy (3578 and 5791) exceeds that of C3 (2598). Bilinear resizing to 224×224 attenuates this thin boundary feature, bringing input HF energy (1558 for C4a and 2107 for C4b [AUTHOR CHECK: confirm against archived diagnostics output]) below that of C3 (2410). Whether perturbation dose differs by tumour class (the protected-block size varies with tumour size) was not analysed.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Non-matched controls.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shares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none of the conditions is matched to another in intensity or texture statistics (Table 9). The seam-only perturbation differs from the scramble in seam amplitude, in the non-local juxtaposition of tiles, and in out-of-distribution content, so differences cannot be ascribed to one property.</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Background tiles.</w:t>
      </w:r>
      <w:r>
        <w:rPr>
          <w:rFonts w:ascii="Times New Roman" w:cs="Times New Roman" w:eastAsia="Times New Roman" w:hAnsi="Times New Roman"/>
          <w:sz w:val="22"/>
          <w:szCs w:val="22"/>
        </w:rPr>
        <w:t xml:space="preserve"> The permutation includes background tiles, so borders between dark and bright areas change even where no anatomy is displaced.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Checkpoint variance.</w:t>
      </w:r>
      <w:r>
        <w:rPr>
          <w:rFonts w:ascii="Times New Roman" w:cs="Times New Roman" w:eastAsia="Times New Roman" w:hAnsi="Times New Roman"/>
          <w:sz w:val="22"/>
          <w:szCs w:val="22"/>
        </w:rPr>
        <w:t xml:space="preserve"> Only one checkpoint per fold is available, so initialization variance cannot be separated from fold variance; the seam-only effect in particular differs strongly between folds (Section 4.7).</w:t>
      </w:r>
    </w:p>
    <w:p>
      <w:pPr>
        <w:pStyle w:val="Heading2"/>
        <w:keepNext/>
        <w:spacing w:after="100" w:before="200"/>
      </w:pPr>
      <w:r>
        <w:rPr>
          <w:rFonts w:ascii="Times New Roman" w:cs="Times New Roman" w:eastAsia="Times New Roman" w:hAnsi="Times New Roman"/>
          <w:b/>
          <w:bCs/>
          <w:sz w:val="24"/>
          <w:szCs w:val="24"/>
        </w:rPr>
        <w:t xml:space="preserve">5.5  Implications for evaluation practice</w:t>
      </w:r>
    </w:p>
    <w:p>
      <w:pPr>
        <w:spacing w:after="100" w:before="0" w:line="264"/>
        <w:jc w:val="both"/>
      </w:pPr>
      <w:r>
        <w:t>For researchers designing spatial perturbation experiments as interpretability probes, these findings highlight three methodological recommendations. First, boundary-localized artifact controls should be routinely tested alongside scramble interventions to establish whether performance declines arise from artificial seam discontinuities. Second, dual-resolution diagnostics (quantifying boundary gradients and spectral energy at both source and network-input resolutions) should accompany accuracy metrics. Third, performance drops should not be conflated with anatomical context reliance without testing for out-of-distribution fragility, positive controls (e.g. models fine-tuned on scrambled inputs), and potential acquisition-plane confounds.</w:t>
      </w:r>
    </w:p>
    <w:p>
      <w:pPr>
        <w:pStyle w:val="Heading2"/>
        <w:keepNext/>
        <w:spacing w:after="100" w:before="200"/>
      </w:pPr>
      <w:r>
        <w:rPr>
          <w:rFonts w:ascii="Times New Roman" w:cs="Times New Roman" w:eastAsia="Times New Roman" w:hAnsi="Times New Roman"/>
          <w:b/>
          <w:bCs/>
          <w:sz w:val="24"/>
          <w:szCs w:val="24"/>
        </w:rPr>
        <w:t xml:space="preserve">5.6  Recommended follow-up controls</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seam-only control matched in energy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on the network input, and a width and amplitude dose–response (the present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varies amplitude only, not width).</w:t>
      </w:r>
    </w:p>
    <w:p>
      <w:pPr>
        <w:pStyle w:val="ListParagraph"/>
        <w:numPr>
          <w:ilvl w:val="0"/>
          <w:numId w:val="5"/>
        </w:numPr>
        <w:spacing w:after="60" w:line="264"/>
        <w:jc w:val="both"/>
      </w:pPr>
      <w:r>
        <w:rPr>
          <w:rFonts w:ascii="Times New Roman" w:cs="Times New Roman" w:eastAsia="Times New Roman" w:hAnsi="Times New Roman"/>
          <w:sz w:val="22"/>
          <w:szCs w:val="22"/>
        </w:rPr>
        <w:t xml:space="preserve">Stratify all results by acquisition plane (hand-labelled if necessary) and, where possible, by scanner and institution; repeat the analysis within plane.</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dose–response experiment in tile size and in the fraction of permuted tiles.</w:t>
      </w:r>
    </w:p>
    <w:p>
      <w:pPr>
        <w:pStyle w:val="ListParagraph"/>
        <w:numPr>
          <w:ilvl w:val="0"/>
          <w:numId w:val="5"/>
        </w:numPr>
        <w:spacing w:after="60" w:line="264"/>
        <w:jc w:val="both"/>
      </w:pPr>
      <w:r>
        <w:rPr>
          <w:rFonts w:ascii="Times New Roman" w:cs="Times New Roman" w:eastAsia="Times New Roman" w:hAnsi="Times New Roman"/>
          <w:sz w:val="22"/>
          <w:szCs w:val="22"/>
        </w:rPr>
        <w:t xml:space="preserve">Histogram- and texture-matched controls, and a background-only perturbation that leaves all anatomy untouched.</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seam-free rearrangement (for example, permutation with identical border statistics or Poisson blending), and a recomputation of the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diagnostics with the evaluated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code on the network input.</w:t>
      </w:r>
    </w:p>
    <w:p>
      <w:pPr>
        <w:pStyle w:val="ListParagraph"/>
        <w:numPr>
          <w:ilvl w:val="0"/>
          <w:numId w:val="5"/>
        </w:numPr>
        <w:spacing w:after="60" w:line="264"/>
        <w:jc w:val="both"/>
      </w:pPr>
      <w:r>
        <w:rPr>
          <w:rFonts w:ascii="Times New Roman" w:cs="Times New Roman" w:eastAsia="Times New Roman" w:hAnsi="Times New Roman"/>
          <w:sz w:val="22"/>
          <w:szCs w:val="22"/>
        </w:rPr>
        <w:t xml:space="preserve">Retraining with seam and scrambling augmentation, and multiple random seeds per fold to separate checkpoint from fold variance.</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Attribution maps and occlusion curves, interpreted cautiously in light of the artefacts identified here.</w:t>
      </w:r>
    </w:p>
    <w:p>
      <w:pPr>
        <w:pStyle w:val="Heading1"/>
        <w:keepNext/>
        <w:spacing w:after="140" w:before="300"/>
      </w:pPr>
      <w:r>
        <w:rPr>
          <w:rFonts w:ascii="Times New Roman" w:cs="Times New Roman" w:eastAsia="Times New Roman" w:hAnsi="Times New Roman"/>
          <w:b/>
          <w:bCs/>
          <w:sz w:val="28"/>
          <w:szCs w:val="28"/>
        </w:rPr>
        <w:t xml:space="preserve">6  Limitations</w:t>
      </w:r>
    </w:p>
    <w:p>
      <w:pPr>
        <w:spacing w:after="100" w:before="0" w:line="264"/>
        <w:jc w:val="both"/>
      </w:pPr>
      <w:r>
        <w:rPr>
          <w:rFonts w:ascii="Times New Roman" w:cs="Times New Roman" w:eastAsia="Times New Roman" w:hAnsi="Times New Roman"/>
          <w:sz w:val="22"/>
          <w:szCs w:val="22"/>
        </w:rPr>
        <w:t xml:space="preserve">The study has the following limitations, which bound the claims that can be made.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Single dataset and architecture.</w:t>
      </w:r>
      <w:r>
        <w:rPr>
          <w:rFonts w:ascii="Times New Roman" w:cs="Times New Roman" w:eastAsia="Times New Roman" w:hAnsi="Times New Roman"/>
          <w:sz w:val="22"/>
          <w:szCs w:val="22"/>
        </w:rPr>
        <w:t xml:space="preserve"> All results are for the Cheng cohort (3,064 slices, 233 patients) and a ResNet-50. Generalization to other datasets, architectures or modalities is untested.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Frozen checkpoints.</w:t>
      </w:r>
      <w:r>
        <w:rPr>
          <w:rFonts w:ascii="Times New Roman" w:cs="Times New Roman" w:eastAsia="Times New Roman" w:hAnsi="Times New Roman"/>
          <w:sz w:val="22"/>
          <w:szCs w:val="22"/>
        </w:rPr>
        <w:t xml:space="preserve"> The analysis evaluates 15 pre-trained checkpoints, one per fold and scenario. Conclusions concern test-time sensitivity, not what a network would learn if trained with the interventions.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Unmatched controls.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seam-only controls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their second variant changes amplitude, not width; the controls were added post hoc. Attribution of the effect to seams or to rearrangement is therefore partial (Section 5.4).</w:t>
      </w:r>
    </w:p>
    <w:p>
      <w:pPr>
        <w:pStyle w:val="ListParagraph"/>
        <w:numPr>
          <w:ilvl w:val="0"/>
          <w:numId w:val="4"/>
        </w:numPr>
        <w:spacing w:after="60" w:line="264"/>
        <w:jc w:val="both"/>
      </w:pPr>
      <w:r>
        <w:t>Diagnostics and dual-resolution attenuation. The dual-resolution diagnostics reported in Table 9 were recalculated across all 3,064 slices using the matching evaluated C2 operator (archived in the project Zenodo release and supplementary data). While seam Sobel attenuation reaches 65.0% at source resolution, it drops to 39.0% on the 224 × 224 network input, indicating that bilinear downsampling preserves substantial boundary step energy at the classifier input. Furthermore, the interior Sobel statistic is affected by the Sobel footprint at the interior boundary, and the unmodified block surrounding the protected zone is not smoothed at its junction with permuted context.</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Confounding with imaging plane, resolution and site.</w:t>
      </w:r>
      <w:r>
        <w:rPr>
          <w:rFonts w:ascii="Times New Roman" w:cs="Times New Roman" w:eastAsia="Times New Roman" w:hAnsi="Times New Roman"/>
          <w:sz w:val="22"/>
          <w:szCs w:val="22"/>
        </w:rPr>
        <w:t xml:space="preserve"> Tumour class is partly confounded with acquisition plane and possibly scanner and institution; no plane metadata exist in the source files. The 256 × 256 slices (15 meningioma slices from one patient) are too few for a resolution-stratified analysis.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Statistics.</w:t>
      </w:r>
      <w:r>
        <w:rPr>
          <w:rFonts w:ascii="Times New Roman" w:cs="Times New Roman" w:eastAsia="Times New Roman" w:hAnsi="Times New Roman"/>
          <w:sz w:val="22"/>
          <w:szCs w:val="22"/>
        </w:rPr>
        <w:t xml:space="preserve"> The cluster bootstrap resamples patient clusters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but folds are not independent.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so adjusted values of most contrasts reflect bootstrap resolution. The true seam-only Holm family was defined after the primary results were known. McNemar tests ignore clustering and test correctness, not Macro-F1. Confidence intervals are unadjusted. The 0.150 threshold is a project convention, not a clinically derived margin.</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Pre-specification.</w:t>
      </w:r>
      <w:r>
        <w:rPr>
          <w:rFonts w:ascii="Times New Roman" w:cs="Times New Roman" w:eastAsia="Times New Roman" w:hAnsi="Times New Roman"/>
          <w:sz w:val="22"/>
          <w:szCs w:val="22"/>
        </w:rPr>
        <w:t xml:space="preserve"> Decision criteria were locked in the project protocol before model execution but not deposited on an external registry, and repository commit times cannot demonstrate their order relative to the predictions.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Slice-level labels.</w:t>
      </w:r>
      <w:r>
        <w:rPr>
          <w:rFonts w:ascii="Times New Roman" w:cs="Times New Roman" w:eastAsia="Times New Roman" w:hAnsi="Times New Roman"/>
          <w:sz w:val="22"/>
          <w:szCs w:val="22"/>
        </w:rPr>
        <w:t xml:space="preserve"> The target is slice-level tumour class, not a clinical diagnosis; slice-level accuracy may overstate patient-level performance.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Software environment.</w:t>
      </w:r>
      <w:r>
        <w:rPr>
          <w:rFonts w:ascii="Times New Roman" w:cs="Times New Roman" w:eastAsia="Times New Roman" w:hAnsi="Times New Roman"/>
          <w:sz w:val="22"/>
          <w:szCs w:val="22"/>
        </w:rPr>
        <w:t xml:space="preserve"> The recorded environment (a PyTorch development build) cannot be reinstalled; the environment lock is documentation only.</w:t>
      </w:r>
    </w:p>
    <w:p>
      <w:pPr>
        <w:pStyle w:val="ListParagraph"/>
        <w:numPr>
          <w:ilvl w:val="0"/>
          <w:numId w:val="4"/>
        </w:numPr>
        <w:spacing w:after="60" w:line="264"/>
        <w:jc w:val="both"/>
      </w:pPr>
      <w:r>
        <w:t>Open items and future directions. While C2 dual-resolution diagnostics have been reconciled across all 3,064 slices with the evaluated operator, key methodological extensions remain for future work: plane-stratified analysis to disentangle tumour class from acquisition plane, dose–response seam controls with energy matching, multi-seed checkpoint retraining, and independent multi-center external validation.</w:t>
      </w:r>
    </w:p>
    <w:p>
      <w:pPr>
        <w:pStyle w:val="Heading1"/>
        <w:keepNext/>
        <w:spacing w:after="140" w:before="300"/>
      </w:pPr>
      <w:r>
        <w:rPr>
          <w:rFonts w:ascii="Times New Roman" w:cs="Times New Roman" w:eastAsia="Times New Roman" w:hAnsi="Times New Roman"/>
          <w:b/>
          <w:bCs/>
          <w:sz w:val="28"/>
          <w:szCs w:val="28"/>
        </w:rPr>
        <w:t xml:space="preserve">7  Conclusion</w:t>
      </w:r>
    </w:p>
    <w:p>
      <w:pPr>
        <w:spacing w:after="100" w:before="0" w:line="264"/>
        <w:jc w:val="both"/>
      </w:pPr>
      <w:r>
        <w:rPr>
          <w:rFonts w:ascii="Times New Roman" w:cs="Times New Roman" w:eastAsia="Times New Roman" w:hAnsi="Times New Roman"/>
          <w:sz w:val="22"/>
          <w:szCs w:val="22"/>
        </w:rPr>
        <w:t xml:space="preserve">We examined how seam artefacts and spatial rearrangement contribute to the collapse of a brain-tumour MRI classifier under distant-context scrambling, using six input conditions, 15 frozen ResNet-50 checkpoints and 55,152 out-of-fold predictions. On the patient-disjoint split, Macro-F1 fell from 0.9333 to 0.8127 and 0.7811 under true seam-only controls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0.6290 under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0.5118 under raw scrambling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0.4525 under seam-suppressed permutation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Seam steps alone therefore degrade the classifier reliably, but much less than scrambling, and the size of the seam effect depends on the scenario, the seam gain and the checkpoint. Raw scrambling was reliably more damaging than the tile-mean offsets (Δ ≈ 0.11–0.12), and locally suppressing seams did not restore performance. Failures were asymmetric: glioma slices were relabelled mainly as pituitary tumour, already at 16–23% under seam-only perturbation and at 56–64% under scrambling and seam suppression.</w:t>
      </w:r>
    </w:p>
    <w:p>
      <w:pPr>
        <w:spacing w:after="100" w:before="0" w:line="264"/>
        <w:jc w:val="both"/>
      </w:pPr>
      <w:r>
        <w:t>The results are consistent with sensitivity to both synthetic boundary discontinuities and the rearrangement of distant content, and they caution against attributing scrambling-induced collapse to dependence on global anatomy alone. They do not establish a single mechanism and do not give a seam share: the seam-only controls are not energy-matched to the scramble, the interventions alter about 89–90% of pixels, and tumour class is potentially confounded with imaging plane. The controls required next are plane-stratified analysis, energy-matched and width/tile-size dose–response controls, seam-free rearrangements, and multi-seed retraining.</w:t>
      </w:r>
    </w:p>
    <w:p>
      <w:pPr>
        <w:pStyle w:val="Heading1"/>
        <w:keepNext/>
        <w:spacing w:after="140" w:before="300"/>
      </w:pPr>
      <w:r>
        <w:rPr>
          <w:rFonts w:ascii="Times New Roman" w:cs="Times New Roman" w:eastAsia="Times New Roman" w:hAnsi="Times New Roman"/>
          <w:b/>
          <w:bCs/>
          <w:sz w:val="28"/>
          <w:szCs w:val="28"/>
        </w:rPr>
        <w:t xml:space="preserve">Declarations</w:t>
      </w:r>
    </w:p>
    <w:p>
      <w:pPr>
        <w:spacing w:after="100" w:before="0" w:line="264"/>
        <w:jc w:val="both"/>
      </w:pPr>
      <w:r>
        <w:rPr>
          <w:rFonts w:ascii="Times New Roman" w:cs="Times New Roman" w:eastAsia="Times New Roman" w:hAnsi="Times New Roman"/>
          <w:b/>
          <w:bCs/>
          <w:sz w:val="22"/>
          <w:szCs w:val="22"/>
        </w:rPr>
        <w:t xml:space="preserve">Generative AI and AI-assisted technologies.</w:t>
      </w:r>
      <w:r>
        <w:rPr>
          <w:rFonts w:ascii="Times New Roman" w:cs="Times New Roman" w:eastAsia="Times New Roman" w:hAnsi="Times New Roman"/>
          <w:sz w:val="22"/>
          <w:szCs w:val="22"/>
        </w:rPr>
        <w:t xml:space="preserve"> The authors declare that no generative artificial intelligence or AI-assisted technologies were used in the writing of this manuscript or in the execution of the experimental analyses.</w:t>
      </w:r>
    </w:p>
    <w:p>
      <w:pPr>
        <w:spacing w:after="100" w:before="0" w:line="264"/>
        <w:jc w:val="both"/>
      </w:pPr>
      <w:r>
        <w:rPr>
          <w:rFonts w:ascii="Times New Roman" w:cs="Times New Roman" w:eastAsia="Times New Roman" w:hAnsi="Times New Roman"/>
          <w:b/>
          <w:bCs/>
          <w:sz w:val="22"/>
          <w:szCs w:val="22"/>
        </w:rPr>
        <w:t xml:space="preserve">Funding.</w:t>
      </w:r>
      <w:r>
        <w:rPr>
          <w:rFonts w:ascii="Times New Roman" w:cs="Times New Roman" w:eastAsia="Times New Roman" w:hAnsi="Times New Roman"/>
          <w:sz w:val="22"/>
          <w:szCs w:val="22"/>
        </w:rPr>
        <w:t xml:space="preserve"> This research received no specific grant from any funding agency in the public, commercial or not-for-profit sectors.</w:t>
      </w:r>
    </w:p>
    <w:p>
      <w:pPr>
        <w:spacing w:after="100" w:before="0" w:line="264"/>
        <w:jc w:val="both"/>
      </w:pPr>
      <w:r>
        <w:rPr>
          <w:rFonts w:ascii="Times New Roman" w:cs="Times New Roman" w:eastAsia="Times New Roman" w:hAnsi="Times New Roman"/>
          <w:b/>
          <w:bCs/>
          <w:sz w:val="22"/>
          <w:szCs w:val="22"/>
        </w:rPr>
        <w:t xml:space="preserve">Competing interests.</w:t>
      </w:r>
      <w:r>
        <w:rPr>
          <w:rFonts w:ascii="Times New Roman" w:cs="Times New Roman" w:eastAsia="Times New Roman" w:hAnsi="Times New Roman"/>
          <w:sz w:val="22"/>
          <w:szCs w:val="22"/>
        </w:rPr>
        <w:t xml:space="preserve"> The authors declare that they have no competing interests.</w:t>
      </w:r>
    </w:p>
    <w:p>
      <w:pPr>
        <w:spacing w:after="100" w:before="0" w:line="264"/>
        <w:jc w:val="both"/>
      </w:pPr>
      <w:r>
        <w:rPr>
          <w:rFonts w:ascii="Times New Roman" w:cs="Times New Roman" w:eastAsia="Times New Roman" w:hAnsi="Times New Roman"/>
          <w:b/>
          <w:bCs/>
          <w:sz w:val="22"/>
          <w:szCs w:val="22"/>
        </w:rPr>
        <w:t xml:space="preserve">Ethics approval and consent to participate.</w:t>
      </w:r>
      <w:r>
        <w:rPr>
          <w:rFonts w:ascii="Times New Roman" w:cs="Times New Roman" w:eastAsia="Times New Roman" w:hAnsi="Times New Roman"/>
          <w:sz w:val="22"/>
          <w:szCs w:val="22"/>
        </w:rPr>
        <w:t xml:space="preserve"> Not applicable. This study used a publicly available, de-identified dataset; ethical approval and consent for the original data collection are described by Cheng et al. [3, 4].</w:t>
      </w:r>
    </w:p>
    <w:p>
      <w:pPr>
        <w:spacing w:after="100" w:before="0" w:line="264"/>
        <w:jc w:val="both"/>
      </w:pPr>
      <w:r>
        <w:rPr>
          <w:rFonts w:ascii="Times New Roman" w:cs="Times New Roman" w:eastAsia="Times New Roman" w:hAnsi="Times New Roman"/>
          <w:b/>
          <w:bCs/>
          <w:sz w:val="22"/>
          <w:szCs w:val="22"/>
        </w:rPr>
        <w:t xml:space="preserve">Consent for publication.</w:t>
      </w:r>
      <w:r>
        <w:rPr>
          <w:rFonts w:ascii="Times New Roman" w:cs="Times New Roman" w:eastAsia="Times New Roman" w:hAnsi="Times New Roman"/>
          <w:sz w:val="22"/>
          <w:szCs w:val="22"/>
        </w:rPr>
        <w:t xml:space="preserve"> Not applicable.</w:t>
      </w:r>
    </w:p>
    <w:p>
      <w:pPr>
        <w:spacing w:after="100" w:before="0" w:line="264"/>
        <w:jc w:val="both"/>
      </w:pPr>
      <w:r>
        <w:rPr>
          <w:rFonts w:ascii="Times New Roman" w:cs="Times New Roman" w:eastAsia="Times New Roman" w:hAnsi="Times New Roman"/>
          <w:b/>
          <w:bCs/>
          <w:sz w:val="22"/>
          <w:szCs w:val="22"/>
        </w:rPr>
        <w:t xml:space="preserve">Data availability.</w:t>
      </w:r>
      <w:r>
        <w:rPr>
          <w:rFonts w:ascii="Times New Roman" w:cs="Times New Roman" w:eastAsia="Times New Roman" w:hAnsi="Times New Roman"/>
          <w:sz w:val="22"/>
          <w:szCs w:val="22"/>
        </w:rPr>
        <w:t xml:space="preserve"> The study used the publicly available Cheng brain-tumour MRI dataset (Figshare, DOI 10.6084/m9.figshare.1512427; https://figshare.com/articles/dataset/brain_tumor_dataset/1512427) [3, 4], obtained from its official source and used in accordance with its Creative Commons Attribution 4.0 International (CC BY 4.0) license. The raw MRI images are not redistributed with this study. The derived research artifacts, namely the split manifests, patient-grouping tables, out-of-fold prediction tables, bootstrap and diagnostics outputs, and the tables and figures of the manuscript, are archived together with the research software on Zenodo (Brain Tumor Prediction Using Deep Learning – Research Release v1.0.0, DOI: https://doi.org/10.5281/zenodo.23556684).</w:t>
      </w:r>
    </w:p>
    <w:p>
      <w:pPr>
        <w:spacing w:after="100" w:before="0" w:line="264"/>
        <w:jc w:val="both"/>
      </w:pPr>
      <w:r>
        <w:rPr>
          <w:rFonts w:ascii="Times New Roman" w:cs="Times New Roman" w:eastAsia="Times New Roman" w:hAnsi="Times New Roman"/>
          <w:b/>
          <w:bCs/>
          <w:sz w:val="22"/>
          <w:szCs w:val="22"/>
        </w:rPr>
        <w:t xml:space="preserve">Code availability.</w:t>
      </w:r>
      <w:r>
        <w:rPr>
          <w:rFonts w:ascii="Times New Roman" w:cs="Times New Roman" w:eastAsia="Times New Roman" w:hAnsi="Times New Roman"/>
          <w:sz w:val="22"/>
          <w:szCs w:val="22"/>
        </w:rPr>
        <w:t xml:space="preserve"> The source code and implementation of this study are publicly available in the project GitHub repository (https://github.com/CSrajput-ux/brain-tumor-prediction-using-deep-leaning) [25]. The repository contains the data curation and patient-grouping workflow, the training pipeline and model configuration for the 15 ResNet-50 checkpoints, the scripts that generate the six input conditions (including the true seam-only controls), the out-of-fold prediction tables, the image-diagnostics scripts at source and network-input resolution, the synchronized cluster-bootstrap, Holm–Bonferroni and McNemar analyses, the tables and figures of the manuscript, checksum manifests, an automated test suite and the associated documentation. The archived research software release (Brain Tumor Prediction Using Deep Learning – Research Release v1.0.0) is available through Zenodo at DOI: https://doi.org/10.5281/zenodo.23556684.</w:t>
      </w:r>
    </w:p>
    <w:p>
      <w:pPr>
        <w:spacing w:after="100" w:before="0" w:line="264"/>
        <w:jc w:val="both"/>
      </w:pPr>
      <w:r>
        <w:t>Author contributions. C. designed the study concept, implemented and ran the experiments and statistical analysis, interpreted the results and drafted the manuscript. R.G. contributed to study supervision, scientific review and manuscript revision. Both authors reviewed and approved the final manuscript.</w:t>
      </w:r>
    </w:p>
    <w:p>
      <w:pPr>
        <w:spacing w:after="100" w:before="0" w:line="264"/>
        <w:jc w:val="both"/>
      </w:pPr>
      <w:r>
        <w:t>Acknowledgements. The authors thank the contributors of the Cheng brain-tumour dataset for making the imaging data publicly accessible.</w:t>
      </w:r>
    </w:p>
    <w:p>
      <w:pPr>
        <w:pStyle w:val="Heading1"/>
        <w:keepNext/>
        <w:spacing w:after="140" w:before="300"/>
      </w:pPr>
      <w:r>
        <w:rPr>
          <w:rFonts w:ascii="Times New Roman" w:cs="Times New Roman" w:eastAsia="Times New Roman" w:hAnsi="Times New Roman"/>
          <w:b/>
          <w:bCs/>
          <w:sz w:val="28"/>
          <w:szCs w:val="28"/>
        </w:rPr>
        <w:t xml:space="preserve">References</w:t>
      </w:r>
    </w:p>
    <w:p>
      <w:pPr>
        <w:tabs>
          <w:tab w:val="left" w:pos="500"/>
        </w:tabs>
        <w:spacing w:after="50" w:line="240"/>
        <w:ind w:left="500" w:hanging="500"/>
        <w:jc w:val="left"/>
      </w:pPr>
      <w:r>
        <w:rPr>
          <w:rFonts w:ascii="Times New Roman" w:cs="Times New Roman" w:eastAsia="Times New Roman" w:hAnsi="Times New Roman"/>
          <w:sz w:val="19"/>
          <w:szCs w:val="19"/>
        </w:rPr>
        <w:t xml:space="preserve">[1]	Winkler, J.K., Fink, C., Toberer, F., Enk, A., Deinlein, T., Hofmann-Wellenhof, R., Thomas, L., Lallas, A., Blum, A., Stolz, W., et al.: Association between surgical skin markings in dermoscopic images and diagnostic performance of a deep learning convolutional neural network for melanoma recognition. JAMA Dermatol. 155(10), 1135–1141 (2019)</w:t>
      </w:r>
    </w:p>
    <w:p>
      <w:pPr>
        <w:tabs>
          <w:tab w:val="left" w:pos="500"/>
        </w:tabs>
        <w:spacing w:after="50" w:line="240"/>
        <w:ind w:left="500" w:hanging="500"/>
        <w:jc w:val="left"/>
      </w:pPr>
      <w:r>
        <w:rPr>
          <w:rFonts w:ascii="Times New Roman" w:cs="Times New Roman" w:eastAsia="Times New Roman" w:hAnsi="Times New Roman"/>
          <w:sz w:val="19"/>
          <w:szCs w:val="19"/>
        </w:rPr>
        <w:t xml:space="preserve">[2]	Zech, J.R., Badgeley, M.A., Liu, M., Costa, A.B., Titano, J.J., Oermann, E.K.: Variable generalization performance of a deep learning model to detect pneumonia in chest radiographs: a cross-sectional study. PLOS Med. 15(11), e1002683 (2018)</w:t>
      </w:r>
    </w:p>
    <w:p>
      <w:pPr>
        <w:tabs>
          <w:tab w:val="left" w:pos="500"/>
        </w:tabs>
        <w:spacing w:after="50" w:line="240"/>
        <w:ind w:left="500" w:hanging="500"/>
        <w:jc w:val="left"/>
      </w:pPr>
      <w:r>
        <w:rPr>
          <w:rFonts w:ascii="Times New Roman" w:cs="Times New Roman" w:eastAsia="Times New Roman" w:hAnsi="Times New Roman"/>
          <w:sz w:val="19"/>
          <w:szCs w:val="19"/>
        </w:rPr>
        <w:t xml:space="preserve">[3]	Cheng, J., Huang, W., Cao, S., Yang, R., Yang, W., Yun, Z., Wang, Z., Feng, Q.: Enhanced performance of brain tumor classification via tumor region augmentation and partition. PLOS ONE 10(10), e0140381 (2015)</w:t>
      </w:r>
    </w:p>
    <w:p>
      <w:pPr>
        <w:tabs>
          <w:tab w:val="left" w:pos="500"/>
        </w:tabs>
        <w:spacing w:after="50" w:line="240"/>
        <w:ind w:left="500" w:hanging="500"/>
        <w:jc w:val="left"/>
      </w:pPr>
      <w:r>
        <w:rPr>
          <w:rFonts w:ascii="Times New Roman" w:cs="Times New Roman" w:eastAsia="Times New Roman" w:hAnsi="Times New Roman"/>
          <w:sz w:val="19"/>
          <w:szCs w:val="19"/>
        </w:rPr>
        <w:t xml:space="preserve">[4]	Cheng, J., Yang, W., Huang, M., Huang, W., Jiang, J., Zhou, Y., Yang, R., Zhao, J., Feng, Y., Feng, Q., Chen, W.: Retrieval of brain tumors by adaptive spatial pooling and Fisher vector representation. PLOS ONE 11(6), e0157112 (2016)</w:t>
      </w:r>
    </w:p>
    <w:p>
      <w:pPr>
        <w:tabs>
          <w:tab w:val="left" w:pos="500"/>
        </w:tabs>
        <w:spacing w:after="50" w:line="240"/>
        <w:ind w:left="500" w:hanging="500"/>
        <w:jc w:val="left"/>
      </w:pPr>
      <w:r>
        <w:rPr>
          <w:rFonts w:ascii="Times New Roman" w:cs="Times New Roman" w:eastAsia="Times New Roman" w:hAnsi="Times New Roman"/>
          <w:sz w:val="19"/>
          <w:szCs w:val="19"/>
        </w:rPr>
        <w:t xml:space="preserve">[5]	Geirhos, R., Jacobsen, J.-H., Michaelis, C., Zemel, R., Brendel, W., Bethge, M., Wichmann, F.A.: Shortcut learning in deep neural networks. Nat. Mach. Intell. 2(11), 665–673 (2020)</w:t>
      </w:r>
    </w:p>
    <w:p>
      <w:pPr>
        <w:tabs>
          <w:tab w:val="left" w:pos="500"/>
        </w:tabs>
        <w:spacing w:after="50" w:line="240"/>
        <w:ind w:left="500" w:hanging="500"/>
        <w:jc w:val="left"/>
      </w:pPr>
      <w:r>
        <w:rPr>
          <w:rFonts w:ascii="Times New Roman" w:cs="Times New Roman" w:eastAsia="Times New Roman" w:hAnsi="Times New Roman"/>
          <w:sz w:val="19"/>
          <w:szCs w:val="19"/>
        </w:rPr>
        <w:t xml:space="preserve">[6]	DeGrave, A.J., Janizek, J.D., Lee, S.-I.: AI for radiographic COVID-19 detection selects shortcuts over signal. Nat. Mach. Intell. 3(7), 610–619 (2021)</w:t>
      </w:r>
    </w:p>
    <w:p>
      <w:pPr>
        <w:tabs>
          <w:tab w:val="left" w:pos="500"/>
        </w:tabs>
        <w:spacing w:after="50" w:line="240"/>
        <w:ind w:left="500" w:hanging="500"/>
        <w:jc w:val="left"/>
      </w:pPr>
      <w:r>
        <w:rPr>
          <w:rFonts w:ascii="Times New Roman" w:cs="Times New Roman" w:eastAsia="Times New Roman" w:hAnsi="Times New Roman"/>
          <w:sz w:val="19"/>
          <w:szCs w:val="19"/>
        </w:rPr>
        <w:t xml:space="preserve">[7]	Badgeley, M.A., Zech, J.R., Oakden-Rayner, L., Glicksberg, B.S., Liu, M., Gale, W., McConnell, M.V., Percha, B., Snyder, T.M., Dudley, J.T.: Deep learning predicts hip fracture using confounding patient and healthcare variables. npj Digit. Med. 2, 31 (2019)</w:t>
      </w:r>
    </w:p>
    <w:p>
      <w:pPr>
        <w:tabs>
          <w:tab w:val="left" w:pos="500"/>
        </w:tabs>
        <w:spacing w:after="50" w:line="240"/>
        <w:ind w:left="500" w:hanging="500"/>
        <w:jc w:val="left"/>
      </w:pPr>
      <w:r>
        <w:rPr>
          <w:rFonts w:ascii="Times New Roman" w:cs="Times New Roman" w:eastAsia="Times New Roman" w:hAnsi="Times New Roman"/>
          <w:sz w:val="19"/>
          <w:szCs w:val="19"/>
        </w:rPr>
        <w:t xml:space="preserve">[8]	Bissoto, A., Fornaciali, M., Valle, E., Avila, S.: (De)constructing bias on skin lesion datasets. In: Proc. IEEE/CVF Conf. Computer Vision and Pattern Recognition Workshops (CVPRW), pp. 2766–2774 (2019)</w:t>
      </w:r>
    </w:p>
    <w:p>
      <w:pPr>
        <w:tabs>
          <w:tab w:val="left" w:pos="500"/>
        </w:tabs>
        <w:spacing w:after="50" w:line="240"/>
        <w:ind w:left="500" w:hanging="500"/>
        <w:jc w:val="left"/>
      </w:pPr>
      <w:r>
        <w:rPr>
          <w:rFonts w:ascii="Times New Roman" w:cs="Times New Roman" w:eastAsia="Times New Roman" w:hAnsi="Times New Roman"/>
          <w:sz w:val="19"/>
          <w:szCs w:val="19"/>
        </w:rPr>
        <w:t xml:space="preserve">[9]	Zeiler, M.D., Fergus, R.: Visualizing and understanding convolutional networks. In: Computer Vision – ECCV 2014, LNCS 8689, pp. 818–833. Springer (2014)</w:t>
      </w:r>
    </w:p>
    <w:p>
      <w:pPr>
        <w:tabs>
          <w:tab w:val="left" w:pos="500"/>
        </w:tabs>
        <w:spacing w:after="50" w:line="240"/>
        <w:ind w:left="500" w:hanging="500"/>
        <w:jc w:val="left"/>
      </w:pPr>
      <w:r>
        <w:rPr>
          <w:rFonts w:ascii="Times New Roman" w:cs="Times New Roman" w:eastAsia="Times New Roman" w:hAnsi="Times New Roman"/>
          <w:sz w:val="19"/>
          <w:szCs w:val="19"/>
        </w:rPr>
        <w:t xml:space="preserve">[10]	Fong, R.C., Vedaldi, A.: Interpretable explanations of black boxes by meaningful perturbation. In: Proc. IEEE Int. Conf. Computer Vision (ICCV), pp. 3429–3437 (2017)</w:t>
      </w:r>
    </w:p>
    <w:p>
      <w:pPr>
        <w:tabs>
          <w:tab w:val="left" w:pos="500"/>
        </w:tabs>
        <w:spacing w:after="50" w:line="240"/>
        <w:ind w:left="500" w:hanging="500"/>
        <w:jc w:val="left"/>
      </w:pPr>
      <w:r>
        <w:rPr>
          <w:rFonts w:ascii="Times New Roman" w:cs="Times New Roman" w:eastAsia="Times New Roman" w:hAnsi="Times New Roman"/>
          <w:sz w:val="19"/>
          <w:szCs w:val="19"/>
        </w:rPr>
        <w:t xml:space="preserve">[11]	Xiao, K., Engstrom, L., Ilyas, A., Madry, A.: Noise or signal: the role of image backgrounds in object recognition. In: Int. Conf. Learning Representations (ICLR) (2021)</w:t>
      </w:r>
    </w:p>
    <w:p>
      <w:pPr>
        <w:tabs>
          <w:tab w:val="left" w:pos="500"/>
        </w:tabs>
        <w:spacing w:after="50" w:line="240"/>
        <w:ind w:left="500" w:hanging="500"/>
        <w:jc w:val="left"/>
      </w:pPr>
      <w:r>
        <w:rPr>
          <w:rFonts w:ascii="Times New Roman" w:cs="Times New Roman" w:eastAsia="Times New Roman" w:hAnsi="Times New Roman"/>
          <w:sz w:val="19"/>
          <w:szCs w:val="19"/>
        </w:rPr>
        <w:t xml:space="preserve">[12]	Vangala, B.P., Guda, S., Peddi, L., Vangala, N.: Scores that hold, benchmarks that leak: measuring dataset contamination in public brain-tumor MRI classification. arXiv:2610.00421 (2026)</w:t>
      </w:r>
    </w:p>
    <w:p>
      <w:pPr>
        <w:tabs>
          <w:tab w:val="left" w:pos="500"/>
        </w:tabs>
        <w:spacing w:after="50" w:line="240"/>
        <w:ind w:left="500" w:hanging="500"/>
        <w:jc w:val="left"/>
      </w:pPr>
      <w:r>
        <w:rPr>
          <w:rFonts w:ascii="Times New Roman" w:cs="Times New Roman" w:eastAsia="Times New Roman" w:hAnsi="Times New Roman"/>
          <w:sz w:val="19"/>
          <w:szCs w:val="19"/>
        </w:rPr>
        <w:t xml:space="preserve">[13]	Geirhos, R., Rubisch, P., Michaelis, C., Bethge, M., Wichmann, F.A., Brendel, W.: ImageNet-trained CNNs are biased towards texture; increasing shape bias improves accuracy and robustness.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[14]	Brendel, W., Bethge, M.: Approximating CNNs with bag-of-local-features models works surprisingly well on ImageNet.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[15]	Hendrycks, D., Dietterich, T.: Benchmarking neural network robustness to common corruptions and perturbations.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[16]	Bertalmio, M., Sapiro, G., Caselles, V., Ballester, C.: Image inpainting. In: Proc. SIGGRAPH 2000, pp. 417–424. ACM (2000)</w:t>
      </w:r>
    </w:p>
    <w:p>
      <w:pPr>
        <w:tabs>
          <w:tab w:val="left" w:pos="500"/>
        </w:tabs>
        <w:spacing w:after="50" w:line="240"/>
        <w:ind w:left="500" w:hanging="500"/>
        <w:jc w:val="left"/>
      </w:pPr>
      <w:r>
        <w:rPr>
          <w:rFonts w:ascii="Times New Roman" w:cs="Times New Roman" w:eastAsia="Times New Roman" w:hAnsi="Times New Roman"/>
          <w:sz w:val="19"/>
          <w:szCs w:val="19"/>
        </w:rPr>
        <w:t xml:space="preserve">[17]	Castro, D.C., Walker, I., Glocker, B.: Causality matters in medical imaging. Nat. Commun. 11, 3673 (2020)</w:t>
      </w:r>
    </w:p>
    <w:p>
      <w:pPr>
        <w:tabs>
          <w:tab w:val="left" w:pos="500"/>
        </w:tabs>
        <w:spacing w:after="50" w:line="240"/>
        <w:ind w:left="500" w:hanging="500"/>
        <w:jc w:val="left"/>
      </w:pPr>
      <w:r>
        <w:rPr>
          <w:rFonts w:ascii="Times New Roman" w:cs="Times New Roman" w:eastAsia="Times New Roman" w:hAnsi="Times New Roman"/>
          <w:sz w:val="19"/>
          <w:szCs w:val="19"/>
        </w:rPr>
        <w:t xml:space="preserve">[18]	Oakden-Rayner, L., Dunnmon, J., Carneiro, G., Ré, C.: Hidden stratification causes clinically meaningful failures in machine learning for medical imaging. In: Proc. ACM Conf. Health, Inference, and Learning (CHIL), pp. 151–159 (2020)</w:t>
      </w:r>
    </w:p>
    <w:p>
      <w:pPr>
        <w:tabs>
          <w:tab w:val="left" w:pos="500"/>
        </w:tabs>
        <w:spacing w:after="50" w:line="240"/>
        <w:ind w:left="500" w:hanging="500"/>
        <w:jc w:val="left"/>
      </w:pPr>
      <w:r>
        <w:rPr>
          <w:rFonts w:ascii="Times New Roman" w:cs="Times New Roman" w:eastAsia="Times New Roman" w:hAnsi="Times New Roman"/>
          <w:sz w:val="19"/>
          <w:szCs w:val="19"/>
        </w:rPr>
        <w:t xml:space="preserve">[19]	Rossi, E.B., Lopez, E., Comminiello, D.: TACE: tumor-aware counterfactual explanations for medical imaging. arXiv:2409.13045 (2024)</w:t>
      </w:r>
    </w:p>
    <w:p>
      <w:pPr>
        <w:tabs>
          <w:tab w:val="left" w:pos="500"/>
        </w:tabs>
        <w:spacing w:after="50" w:line="240"/>
        <w:ind w:left="500" w:hanging="500"/>
        <w:jc w:val="left"/>
      </w:pPr>
      <w:r>
        <w:rPr>
          <w:rFonts w:ascii="Times New Roman" w:cs="Times New Roman" w:eastAsia="Times New Roman" w:hAnsi="Times New Roman"/>
          <w:sz w:val="19"/>
          <w:szCs w:val="19"/>
        </w:rPr>
        <w:t xml:space="preserve">[20]	He, K., Zhang, X., Ren, S., Sun, J.: Deep residual learning for image recognition. In: Proc. IEEE Conf. Computer Vision and Pattern Recognition (CVPR), pp. 770–778 (2016)</w:t>
      </w:r>
    </w:p>
    <w:p>
      <w:pPr>
        <w:tabs>
          <w:tab w:val="left" w:pos="500"/>
        </w:tabs>
        <w:spacing w:after="50" w:line="240"/>
        <w:ind w:left="500" w:hanging="500"/>
        <w:jc w:val="left"/>
      </w:pPr>
      <w:r>
        <w:rPr>
          <w:rFonts w:ascii="Times New Roman" w:cs="Times New Roman" w:eastAsia="Times New Roman" w:hAnsi="Times New Roman"/>
          <w:sz w:val="19"/>
          <w:szCs w:val="19"/>
        </w:rPr>
        <w:t xml:space="preserve">[21]	Wang, Z., Bovik, A.C., Sheikh, H.R., Simoncelli, E.P.: Image quality assessment: from error visibility to structural similarity. IEEE Trans. Image Process. 13(4), 600–612 (2004)</w:t>
      </w:r>
    </w:p>
    <w:p>
      <w:pPr>
        <w:tabs>
          <w:tab w:val="left" w:pos="500"/>
        </w:tabs>
        <w:spacing w:after="50" w:line="240"/>
        <w:ind w:left="500" w:hanging="500"/>
        <w:jc w:val="left"/>
      </w:pPr>
      <w:r>
        <w:rPr>
          <w:rFonts w:ascii="Times New Roman" w:cs="Times New Roman" w:eastAsia="Times New Roman" w:hAnsi="Times New Roman"/>
          <w:sz w:val="19"/>
          <w:szCs w:val="19"/>
        </w:rPr>
        <w:t xml:space="preserve">[22]	Efron, B., Tibshirani, R.J.: An Introduction to the Bootstrap. Chapman &amp; Hall, New York (1993)</w:t>
      </w:r>
    </w:p>
    <w:p>
      <w:pPr>
        <w:tabs>
          <w:tab w:val="left" w:pos="500"/>
        </w:tabs>
        <w:spacing w:after="50" w:line="240"/>
        <w:ind w:left="500" w:hanging="500"/>
        <w:jc w:val="left"/>
      </w:pPr>
      <w:r>
        <w:rPr>
          <w:rFonts w:ascii="Times New Roman" w:cs="Times New Roman" w:eastAsia="Times New Roman" w:hAnsi="Times New Roman"/>
          <w:sz w:val="19"/>
          <w:szCs w:val="19"/>
        </w:rPr>
        <w:t xml:space="preserve">[23]	McNemar, Q.: Note on the sampling error of the difference between correlated proportions or percentages. Psychometrika 12(2), 153–157 (1947)</w:t>
      </w:r>
    </w:p>
    <w:p>
      <w:pPr>
        <w:tabs>
          <w:tab w:val="left" w:pos="500"/>
        </w:tabs>
        <w:spacing w:after="50" w:line="240"/>
        <w:ind w:left="500" w:hanging="500"/>
        <w:jc w:val="left"/>
      </w:pPr>
      <w:r>
        <w:rPr>
          <w:rFonts w:ascii="Times New Roman" w:cs="Times New Roman" w:eastAsia="Times New Roman" w:hAnsi="Times New Roman"/>
          <w:sz w:val="19"/>
          <w:szCs w:val="19"/>
        </w:rPr>
        <w:t xml:space="preserve">[24]	Holm, S.: A simple sequentially rejective multiple test procedure. Scand. J. Stat. 6(2), 65–70 (1979)</w:t>
      </w:r>
    </w:p>
    <w:p>
      <w:pPr>
        <w:tabs>
          <w:tab w:val="left" w:pos="500"/>
        </w:tabs>
        <w:spacing w:after="50" w:line="240"/>
        <w:ind w:left="500" w:hanging="500"/>
        <w:jc w:val="left"/>
      </w:pPr>
      <w:r>
        <w:rPr>
          <w:rFonts w:ascii="Times New Roman" w:cs="Times New Roman" w:eastAsia="Times New Roman" w:hAnsi="Times New Roman"/>
          <w:sz w:val="19"/>
          <w:szCs w:val="19"/>
        </w:rPr>
        <w:t xml:space="preserve">[25]	Rajput, C.S., Gupta, R.: Brain tumor prediction using deep learning (project repository and research release). https://github.com/CSrajput-ux/brain-tumor-prediction-using-deep-leaning (2026)</w:t>
      </w:r>
    </w:p>
    <w:p>
      <w:pPr>
        <w:tabs>
          <w:tab w:val="left" w:pos="500"/>
        </w:tabs>
        <w:spacing w:after="50" w:line="240"/>
        <w:ind w:left="500" w:hanging="500"/>
        <w:jc w:val="left"/>
      </w:pPr>
      <w:r>
        <w:rPr>
          <w:rFonts w:ascii="Times New Roman" w:cs="Times New Roman" w:eastAsia="Times New Roman" w:hAnsi="Times New Roman"/>
          <w:sz w:val="19"/>
          <w:szCs w:val="19"/>
        </w:rPr>
        <w:t xml:space="preserve">[26]	Russakovsky, O., Deng, J., Su, H., Krause, J., Satheesh, S., Ma, S., Huang, Z., Karpathy, A., Khosla, A., Bernstein, M., Berg, A.C., Fei-Fei, L.: ImageNet large scale visual recognition challenge. Int. J. Comput. Vis. 115(3), 211–252 (2015)</w:t>
      </w:r>
    </w:p>
    <w:p>
      <w:pPr>
        <w:tabs>
          <w:tab w:val="left" w:pos="500"/>
        </w:tabs>
        <w:spacing w:after="50" w:line="240"/>
        <w:ind w:left="500" w:hanging="500"/>
        <w:jc w:val="left"/>
      </w:pPr>
      <w:r>
        <w:rPr>
          <w:rFonts w:ascii="Times New Roman" w:cs="Times New Roman" w:eastAsia="Times New Roman" w:hAnsi="Times New Roman"/>
          <w:sz w:val="19"/>
          <w:szCs w:val="19"/>
        </w:rPr>
        <w:t xml:space="preserve">[27]	Esteva, A., Kuprel, B., Novoa, R.A., Ko, J., Swetter, S.M., Blau, H.M., Thrun, S.: Dermatologist-level classification of skin cancer with deep neural networks. Nature 542(7639), 115–118 (2017)</w:t>
      </w:r>
    </w:p>
    <w:p>
      <w:pPr>
        <w:tabs>
          <w:tab w:val="left" w:pos="500"/>
        </w:tabs>
        <w:spacing w:after="50" w:line="240"/>
        <w:ind w:left="500" w:hanging="500"/>
        <w:jc w:val="left"/>
      </w:pPr>
      <w:r>
        <w:rPr>
          <w:rFonts w:ascii="Times New Roman" w:cs="Times New Roman" w:eastAsia="Times New Roman" w:hAnsi="Times New Roman"/>
          <w:sz w:val="19"/>
          <w:szCs w:val="19"/>
        </w:rPr>
        <w:t xml:space="preserve">[28]	Rajpurkar, P., Irvin, J., Zhu, K., Yang, B., Mehta, H., Duan, T., Ding, D., Bagul, A., Langlotz, C., Shpanskaya, K., et al.: CheXNet: radiologist-level pneumonia detection on chest X-rays with deep learning. arXiv:1711.05225 (2017)</w:t>
      </w:r>
    </w:p>
    <w:p>
      <w:pPr>
        <w:tabs>
          <w:tab w:val="left" w:pos="500"/>
        </w:tabs>
        <w:spacing w:after="50" w:line="240"/>
        <w:ind w:left="500" w:hanging="500"/>
        <w:jc w:val="left"/>
      </w:pPr>
      <w:r>
        <w:rPr>
          <w:rFonts w:ascii="Times New Roman" w:cs="Times New Roman" w:eastAsia="Times New Roman" w:hAnsi="Times New Roman"/>
          <w:sz w:val="19"/>
          <w:szCs w:val="19"/>
        </w:rPr>
        <w:t xml:space="preserve">[29]	Wang, H., Wu, X., Huang, Z., Xing, E.P.: High-frequency component helps explain the generalization of convolutional neural networks. In: Proc. IEEE/CVF Conf. Computer Vision and Pattern Recognition (CVPR), pp. 8684–8694 (2020)</w:t>
      </w:r>
    </w:p>
    <w:p>
      <w:pPr>
        <w:tabs>
          <w:tab w:val="left" w:pos="500"/>
        </w:tabs>
        <w:spacing w:after="50" w:line="240"/>
        <w:ind w:left="500" w:hanging="500"/>
        <w:jc w:val="left"/>
      </w:pPr>
      <w:r>
        <w:rPr>
          <w:rFonts w:ascii="Times New Roman" w:cs="Times New Roman" w:eastAsia="Times New Roman" w:hAnsi="Times New Roman"/>
          <w:sz w:val="19"/>
          <w:szCs w:val="19"/>
        </w:rPr>
        <w:t xml:space="preserve">[30]	Yin, D., Gontijo Lopes, R., Shlens, J., Cubuk, E.D., Gilmer, J.: A Fourier perspective on model robustness in computer vision. In: Advances in Neural Information Processing Systems 32 (2019)</w:t>
      </w:r>
    </w:p>
    <w:p>
      <w:pPr>
        <w:tabs>
          <w:tab w:val="left" w:pos="500"/>
        </w:tabs>
        <w:spacing w:after="50" w:line="240"/>
        <w:ind w:left="500" w:hanging="500"/>
        <w:jc w:val="left"/>
      </w:pPr>
      <w:r>
        <w:rPr>
          <w:rFonts w:ascii="Times New Roman" w:cs="Times New Roman" w:eastAsia="Times New Roman" w:hAnsi="Times New Roman"/>
          <w:sz w:val="19"/>
          <w:szCs w:val="19"/>
        </w:rPr>
        <w:t xml:space="preserve">[31]	Chang, C.-H., Creager, E., Goldenberg, A., Duvenaud, D.: Explaining image classifiers by counterfactual generation. In: Int. Conf. Learning Representations (ICLR) (2019)</w:t>
      </w:r>
    </w:p>
    <w:p>
      <w:pPr>
        <w:spacing w:after="60" w:before="0" w:line="240"/>
        <w:jc w:val="both"/>
      </w:pPr>
      <w:r>
        <w:rPr>
          <w:rFonts w:ascii="Times New Roman" w:cs="Times New Roman" w:eastAsia="Times New Roman" w:hAnsi="Times New Roman"/>
          <w:sz w:val="20"/>
          <w:szCs w:val="20"/>
        </w:rPr>
        <w:t xml:space="preserve">[32]	Lapuschkin, S., Wäldchen, S., Binder, A., Montavon, G., Samek, W., Müller, K.-R.: Unmasking Clever Hans predictors and assessing what machines really learn. Nat. Commun. 10, 1096 (2019)</w:t>
      </w:r>
    </w:p>
    <w:p>
      <w:r>
        <w:br w:type="page"/>
      </w:r>
    </w:p>
    <w:p>
      <w:pPr>
        <w:pStyle w:val="Heading1"/>
        <w:keepNext/>
        <w:spacing w:after="140" w:before="300"/>
      </w:pPr>
      <w:r>
        <w:rPr>
          <w:rFonts w:ascii="Times New Roman" w:cs="Times New Roman" w:eastAsia="Times New Roman" w:hAnsi="Times New Roman"/>
          <w:b/>
          <w:bCs/>
          <w:sz w:val="28"/>
          <w:szCs w:val="28"/>
        </w:rPr>
        <w:t xml:space="preserve">Appendix A  Fold-level contrasts and confusion matrices</w:t>
      </w:r>
    </w:p>
    <w:p>
      <w:pPr>
        <w:keepNext/>
        <w:spacing w:after="80" w:before="160" w:line="240"/>
        <w:jc w:val="both"/>
      </w:pPr>
      <w:r>
        <w:rPr>
          <w:rFonts w:ascii="Times New Roman" w:cs="Times New Roman" w:eastAsia="Times New Roman" w:hAnsi="Times New Roman"/>
          <w:b/>
          <w:bCs/>
          <w:sz w:val="19"/>
          <w:szCs w:val="19"/>
        </w:rPr>
        <w:t xml:space="preserve">Table A1  </w:t>
      </w:r>
      <w:r>
        <w:rPr>
          <w:rFonts w:ascii="Times New Roman" w:cs="Times New Roman" w:eastAsia="Times New Roman" w:hAnsi="Times New Roman"/>
          <w:sz w:val="19"/>
          <w:szCs w:val="19"/>
        </w:rPr>
        <w:t xml:space="preserve">Fold-level Δ (Macro-F1 difference, A − B) for every contrast. SD is the standard deviation across the five folds.</w:t>
      </w:r>
    </w:p>
    <w:tbl>
      <w:tblPr>
        <w:tblW w:type="dxa" w:w="8072"/>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000"/>
        <w:gridCol w:w="1000"/>
        <w:gridCol w:w="1000"/>
        <w:gridCol w:w="1000"/>
        <w:gridCol w:w="1000"/>
        <w:gridCol w:w="872"/>
      </w:tblGrid>
      <w:tr>
        <w:trPr>
          <w:tblHeader/>
        </w:trPr>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Scen.</w:t>
            </w:r>
          </w:p>
        </w:tc>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Contrast</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1</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2</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3</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4</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5</w:t>
            </w:r>
          </w:p>
        </w:tc>
        <w:tc>
          <w:tcPr>
            <w:tcW w:type="dxa" w:w="8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SD</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0.374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0.177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0.090</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0.513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0.507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0.464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0.039</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0.287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0.499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0.506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0.094</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0.142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0.192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0.124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0.061</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0.006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0.128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0.247</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0.235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0.277</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0.104</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0.448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0.221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0.241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0.260</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0.347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0.218</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0.091</w:t>
            </w:r>
          </w:p>
        </w:tc>
      </w:tr>
      <w:tr>
        <w:trPr>
          <w:cantSplit/>
        </w:trPr>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−0.130</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−0.014</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−0.138</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0.042</w:t>
            </w:r>
          </w:p>
        </w:tc>
        <w:tc>
          <w:tcPr>
            <w:tcW w:type="dxa" w:w="8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0.303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0.204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0.545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0.157</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0.407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0.513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0.353</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0.482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0.598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0.371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0.218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0.205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0.026</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0.305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0.523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0.339</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0.296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0.321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0.060</w:t>
            </w:r>
          </w:p>
        </w:tc>
      </w:tr>
      <w:tr>
        <w:trPr>
          <w:cantSplit/>
        </w:trPr>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−0.047</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0.007</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0.017</w:t>
            </w:r>
          </w:p>
        </w:tc>
        <w:tc>
          <w:tcPr>
            <w:tcW w:type="dxa" w:w="8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0.047</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0.226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0.099</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0.451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0.488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0.449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0.070</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0.465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0.402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0.341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0.255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0.327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0.289</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0.264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0.067</w:t>
            </w:r>
          </w:p>
        </w:tc>
      </w:tr>
      <w:tr>
        <w:trPr>
          <w:cantSplit/>
        </w:trPr>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0.013</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−0.086</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−0.016</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−0.017</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0.024</w:t>
            </w:r>
          </w:p>
        </w:tc>
        <w:tc>
          <w:tcPr>
            <w:tcW w:type="dxa" w:w="8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0.043</w:t>
            </w:r>
          </w:p>
        </w:tc>
      </w:tr>
    </w:tbl>
    <w:p>
      <w:pPr>
        <w:spacing w:after="120" w:before="0" w:line="264"/>
        <w:jc w:val="both"/>
      </w:pPr>
    </w:p>
    <w:p>
      <w:pPr>
        <w:keepNext/>
        <w:spacing w:after="80" w:before="160" w:line="240"/>
        <w:jc w:val="both"/>
      </w:pPr>
      <w:r>
        <w:rPr>
          <w:rFonts w:ascii="Times New Roman" w:cs="Times New Roman" w:eastAsia="Times New Roman" w:hAnsi="Times New Roman"/>
          <w:b/>
          <w:bCs/>
          <w:sz w:val="19"/>
          <w:szCs w:val="19"/>
        </w:rPr>
        <w:t xml:space="preserve">Table A2  </w:t>
      </w:r>
      <w:r>
        <w:rPr>
          <w:rFonts w:ascii="Times New Roman" w:cs="Times New Roman" w:eastAsia="Times New Roman" w:hAnsi="Times New Roman"/>
          <w:sz w:val="19"/>
          <w:szCs w:val="19"/>
        </w:rPr>
        <w:t xml:space="preserve">Pooled out-of-fold confusion matrices (rows: true class; columns: predicted class; M = meningioma, G = glioma, P = pituitary tumour).</w:t>
      </w:r>
    </w:p>
    <w:tbl>
      <w:tblPr>
        <w:tblW w:type="dxa" w:w="8072"/>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1200"/>
        <w:gridCol w:w="1200"/>
        <w:gridCol w:w="1272"/>
      </w:tblGrid>
      <w:tr>
        <w:trPr>
          <w:tblHeader/>
        </w:trPr>
        <w:tc>
          <w:tcPr>
            <w:tcW w:type="dxa" w:w="2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Scenario / condition</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True</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M</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G</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P</w:t>
            </w:r>
          </w:p>
        </w:tc>
        <w:tc>
          <w:tcPr>
            <w:tcW w:type="dxa" w:w="12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Total</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1355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889</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605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374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606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446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147</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712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397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906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114</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816</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567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139</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360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805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223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1149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235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921</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237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1065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333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916</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1371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891</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568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147</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182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356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775</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495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213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302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149</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780</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472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196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1308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923</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423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206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1293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919</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1348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888</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508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458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845</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555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413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227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868</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345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867</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522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1281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99</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924</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493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164</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1254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926</w:t>
            </w:r>
          </w:p>
        </w:tc>
        <w:tc>
          <w:tcPr>
            <w:tcW w:type="dxa" w:w="12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bl>
    <w:p>
      <w:r>
        <w:br w:type="page"/>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40"/>
      <w:outlineLvl w:val="2"/>
    </w:pPr>
    <w:rPr>
      <w:rFonts w:ascii="Times New Roman" w:cs="Times New Roman" w:eastAsia="Times New Roman" w:hAnsi="Times New Roman"/>
      <w:b/>
      <w:bCs/>
      <w:i/>
      <w:i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36a3df607a0d507ad0a18368cd35d357fa83018.png"/><Relationship Id="rId9" Type="http://schemas.openxmlformats.org/officeDocument/2006/relationships/image" Target="media/1563a830d72a20ce577638479190b1415f97f19e.png"/><Relationship Id="rId10" Type="http://schemas.openxmlformats.org/officeDocument/2006/relationships/image" Target="media/a8eaddb905e43ca2f91b58ce07793f85c779fba3.png"/><Relationship Id="rId11" Type="http://schemas.openxmlformats.org/officeDocument/2006/relationships/image" Target="media/cce82ddd84b36f28a0d0e14a5f722f37aa7c0d22.png"/><Relationship Id="rId12" Type="http://schemas.openxmlformats.org/officeDocument/2006/relationships/image" Target="media/805b69a90c1c9fa72e1473df7b230683b83fedcb.png"/><Relationship Id="rId13" Type="http://schemas.openxmlformats.org/officeDocument/2006/relationships/image" Target="media/8a948329a61cfdc4ca2f34f51d76175ddc5772b2.png"/><Relationship Id="rId14" Type="http://schemas.openxmlformats.org/officeDocument/2006/relationships/image" Target="media/a46ce5e5c5230baddc5b0c41df0da8ce5dbf7782.png"/><Relationship Id="rId15" Type="http://schemas.openxmlformats.org/officeDocument/2006/relationships/image" Target="media/bc8649cde77f217ecec4eab85a8438c4af12e0d2.png"/><Relationship Id="rId16" Type="http://schemas.openxmlformats.org/officeDocument/2006/relationships/image" Target="media/7512c806bb86b98ee0041bbf3b07169c63a9bd9f.png"/><Relationship Id="rId17" Type="http://schemas.openxmlformats.org/officeDocument/2006/relationships/image" Target="media/5e8edb921f00b52b103e783afc69ae820e41511b.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Corrected Draft — Disentangling Synthetic Edge Artifacts and Spatial-Context Sensitivity in Brain MRI Tumour Classification</dc:title>
  <dc:creator>Author</dc:creator>
  <cp:lastModifiedBy>Un-named</cp:lastModifiedBy>
  <cp:revision>1</cp:revision>
  <dcterms:created xsi:type="dcterms:W3CDTF">2026-10-22T08:10:08.575Z</dcterms:created>
  <dcterms:modified xsi:type="dcterms:W3CDTF">2026-10-22T08:10:08.587Z</dcterms:modified>
  <dc:subject>Research manuscript correction draft; C2 diagnostics and author/journal items remain pending</dc:subject>
  <dc:description>Corrected Vangala attribution and withdrawn mismatched C2 diagnostics; further recomputation and author confirmations required.</dc:description>
</cp:coreProperties>
</file>

<file path=docProps/custom.xml><?xml version="1.0" encoding="utf-8"?>
<Properties xmlns="http://schemas.openxmlformats.org/officeDocument/2006/custom-properties" xmlns:vt="http://schemas.openxmlformats.org/officeDocument/2006/docPropsVTypes"/>
</file>