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이력서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성명</w:t>
      </w:r>
      <w:r>
        <w:rPr>
          <w:sz w:val="21"/>
          <w:szCs w:val="21"/>
        </w:rPr>
        <w:t xml:space="preserve"> 오태윤 · </w:t>
      </w:r>
      <w:r>
        <w:rPr>
          <w:b/>
          <w:bCs/>
          <w:sz w:val="21"/>
          <w:szCs w:val="21"/>
        </w:rPr>
        <w:t xml:space="preserve">연락처</w:t>
      </w:r>
      <w:r>
        <w:rPr>
          <w:sz w:val="21"/>
          <w:szCs w:val="21"/>
        </w:rPr>
        <w:t xml:space="preserve"> 010-0000-0000 · </w:t>
      </w:r>
      <w:r>
        <w:rPr>
          <w:b/>
          <w:bCs/>
          <w:sz w:val="21"/>
          <w:szCs w:val="21"/>
        </w:rPr>
        <w:t xml:space="preserve">이메일</w:t>
      </w:r>
      <w:r>
        <w:rPr>
          <w:sz w:val="21"/>
          <w:szCs w:val="21"/>
        </w:rPr>
        <w:t xml:space="preserve"> taeyoon.oh27@example.com · </w:t>
      </w:r>
      <w:r>
        <w:rPr>
          <w:b/>
          <w:bCs/>
          <w:sz w:val="21"/>
          <w:szCs w:val="21"/>
        </w:rPr>
        <w:t xml:space="preserve">거주지</w:t>
      </w:r>
      <w:r>
        <w:rPr>
          <w:sz w:val="21"/>
          <w:szCs w:val="21"/>
        </w:rPr>
        <w:t xml:space="preserve"> 서울특별시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지원 포지션</w:t>
      </w:r>
      <w:r>
        <w:rPr>
          <w:sz w:val="21"/>
          <w:szCs w:val="21"/>
        </w:rPr>
        <w:t xml:space="preserve"> B2B 영업 매니저 (5년 이상) · </w:t>
      </w:r>
      <w:r>
        <w:rPr>
          <w:b/>
          <w:bCs/>
          <w:sz w:val="21"/>
          <w:szCs w:val="21"/>
        </w:rPr>
        <w:t xml:space="preserve">지원 채널</w:t>
      </w:r>
      <w:r>
        <w:rPr>
          <w:sz w:val="21"/>
          <w:szCs w:val="21"/>
        </w:rPr>
        <w:t xml:space="preserve"> 원티드 · </w:t>
      </w:r>
      <w:r>
        <w:rPr>
          <w:b/>
          <w:bCs/>
          <w:sz w:val="21"/>
          <w:szCs w:val="21"/>
        </w:rPr>
        <w:t xml:space="preserve">지원일</w:t>
      </w:r>
      <w:r>
        <w:rPr>
          <w:sz w:val="21"/>
          <w:szCs w:val="21"/>
        </w:rPr>
        <w:t xml:space="preserve"> 2026-05-29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요약</w:t>
      </w:r>
    </w:p>
    <w:p>
      <w:pPr>
        <w:spacing w:after="80"/>
      </w:pPr>
      <w:r>
        <w:rPr>
          <w:sz w:val="21"/>
          <w:szCs w:val="21"/>
        </w:rPr>
        <w:t xml:space="preserve">총 5년 0개월 · HR 성과관리 SaaS 및 기업교육 B2B 영업 — 엔터프라이즈 업셀·윈백·레퍼럴 파이프라인으로 매출 성장 견인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사항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(주)퍼포먼스랩 | 엔터프라이즈 AE (정규직) | 2024.08 – 재직 중 (1년 10개월)</w:t>
      </w:r>
    </w:p>
    <w:p>
      <w:pPr>
        <w:spacing w:after="80"/>
      </w:pPr>
      <w:r>
        <w:rPr>
          <w:sz w:val="21"/>
          <w:szCs w:val="21"/>
        </w:rPr>
        <w:t xml:space="preserve">HR 성과관리 SaaS 스타트업 — 엔터프라이즈 대상 세일즈 전 과정 담당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엔터프라이즈 고객 대상 커스텀 개발 제안으로 경쟁사 대비 계약 단가 80% 상향 수주 — 경쟁사 기능 분석 기반 프리미엄 프라이싱(인당 기존 4~6천 원 → 8천 원~1만 원) 전략 수립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'다면진단' 솔루션 상품화 및 신규 엔터프라이즈 수주 — 6개월 내 누적 매출 약 1억 1천만 원 달성 (매일유업, 대웅제약, 넥슨, 삼정회계법인 등), 인바운드 리드 데이터 분석 기반 신규 제품 플랜·요금 구조 수립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기존 고객사 대상 레퍼럴 파트너십 프로그램 기획 — 인바운드 레퍼럴 리드 10건 중 5개사 딜 클로징(수주 성공률 50%), 리드 획득 비용(CAC) 절감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금융지주 산하 5개 계열사 확장 수주 — 통합 패키징 제안으로 평균 4개월 이상 걸리던 딜을 1개월 내 5개사 동시 클로징, 초기 TCV 대비 매출 50% 확장·딜 사이클 75% 단축, 단가 할인 요구에 '2년 계약 유지' 역제안으로 장기 ARR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증권사 다면진단 신규 프로젝트 — 경쟁사 솔루션 윈백 성공, C-Level 맞춤 제안·데모 시연으로 평균 딜 사이클 대비 20% 단축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공공 연구기관에서 '연구과제 평가' 신규 Use Case 발굴·업셀링, ACV 30% 상향 (정보보안 자격검증·비교견적 등 공공 컴플라이언스 대응)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계약서 기반 SOW 표준화(R&amp;R·데이터 양식·타임라인·수정 횟수 명문화)로 납기 지연·스펙 변경 리스크 최소화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(주)브릿지러닝 | AE (정규직) | 2021.05 – 2024.06 (3년 2개월)</w:t>
      </w:r>
    </w:p>
    <w:p>
      <w:pPr>
        <w:spacing w:after="80"/>
      </w:pPr>
      <w:r>
        <w:rPr>
          <w:sz w:val="21"/>
          <w:szCs w:val="21"/>
        </w:rPr>
        <w:t xml:space="preserve">기업교육(에듀테크) 기업 — 대기업·공공 대상 교육 컨설팅 영업 및 프로젝트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시중은행 디지털/IT 직무 승진자 평가 과정 경쟁 입찰 수주 — NCS 기반 평가 프레임워크 설계, 4개 직무별 평가 지표·문항 제작 총괄, WBS·월별 산출물 가시화로 C-Level 설득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통신 대기업 애자일 조직문화·신임 PO 육성 컨설팅 2년 연속 재계약 — 1:1 멘토링 추가 차수 업셀링, 교육 만족도 4.4/5.0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제조 대기업 Python 데이터 분석 인증 교육 4년 연속 재계약 — FGI 기반 페인 포인트 진단으로 가격 저항 방어, 평균 만족도 4.6/5.0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고용노동부 연계 ESG 신규 사업 B2B2G 나라장터 입찰 수주 및 PM(2년 연속 재계약) — 팀 매출 40% 증진 기여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증권사 디지털 인재 양성 프로젝트 총괄 — 약 1억 2천만 원 규모 대형 RFP 대응(제안서 작성·PT 리드), 실무 연계형 인재 48명 배출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금융사 사내 LMS 연동 개발 프로젝트 PM — 양사 개발진 간 시스템 연동 총괄, 온/오프라인 블렌디드 러닝 체계 구축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동국대학교 사범대학 영어교육과 (2020.08 졸업)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자격 및 스킬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영어: 비즈니스 레벨 / OPIc IH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CRM 파이프라인 관리, Slack, Notion, Confluence, Excel, PowerPoint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자기소개서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지원 동기</w:t>
      </w:r>
    </w:p>
    <w:p>
      <w:pPr>
        <w:spacing w:after="80"/>
      </w:pPr>
      <w:r>
        <w:rPr>
          <w:sz w:val="21"/>
          <w:szCs w:val="21"/>
        </w:rPr>
        <w:t xml:space="preserve">HR SaaS와 기업교육 두 도메인에서 엔터프라이즈 고객의 문제를 정의하고 솔루션으로 연결해 왔습니다. AI 역량 진단과 교육을 데이터로 검증하는 귀사의 비즈니스는 제가 쌓아 온 두 도메인의 교차점에 있다고 생각합니다. 초기 시장에서 고객 접점의 인사이트를 제품과 매출로 연결하는 역할에 기여하고 싶습니다.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주요 경험</w:t>
      </w:r>
    </w:p>
    <w:p>
      <w:pPr>
        <w:spacing w:after="80"/>
      </w:pPr>
      <w:r>
        <w:rPr>
          <w:sz w:val="21"/>
          <w:szCs w:val="21"/>
        </w:rPr>
        <w:t xml:space="preserve">현 직장에서 다면진단 솔루션을 상품화하며 인바운드 리드 데이터를 분석해 신규 제품 플랜과 요금 구조를 직접 설계했고, 6개월 만에 누적 매출 약 1억 1천만 원을 만들었습니다. 특히 금융지주 딜에서는 증권사 한 곳의 계약을 발판으로 산하 5개 계열사를 통합 패키징으로 묶어 1개월 내 동시 클로징했고, 단가 할인 요구에는 2년 계약 유지를 역제안해 장기 매출을 확보했습니다. 기존 고객의 신뢰를 레퍼럴 파이프라인으로 구조화해 리드 획득 비용을 낮춘 경험도 있습니다. 고객 관계에서 출발한 확장·업셀 영업이 저의 가장 큰 강점입니다.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2026-08-26T16:24:49.889Z</dcterms:created>
  <dcterms:modified xsi:type="dcterms:W3CDTF">2026-08-26T16:24:49.889Z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