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 w:before="0" w:line="259" w:lineRule="auto"/>
      </w:pPr>
      <w:r>
        <w:rPr>
          <w:rFonts w:ascii="Arial" w:hAnsi="Arial"/>
          <w:b/>
          <w:i w:val="0"/>
          <w:color w:val="0000FF"/>
          <w:sz w:val="18"/>
        </w:rPr>
        <w:t>SW DATA MART  |  APAC DATA &amp; ANALYTICS</w:t>
      </w:r>
    </w:p>
    <w:p>
      <w:pPr>
        <w:spacing w:before="160" w:after="140" w:line="140" w:lineRule="exact"/>
        <w:shd w:fill="000000"/>
      </w:pPr>
      <w:r>
        <w:t xml:space="preserve"> </w:t>
      </w:r>
    </w:p>
    <w:p>
      <w:pPr>
        <w:spacing w:after="0" w:before="0" w:line="259" w:lineRule="auto"/>
      </w:pPr>
      <w:r>
        <w:rPr>
          <w:rFonts w:ascii="Arial" w:hAnsi="Arial"/>
          <w:b w:val="0"/>
          <w:i w:val="0"/>
          <w:color w:val="000000"/>
          <w:sz w:val="52"/>
        </w:rPr>
        <w:t>DA</w:t>
      </w:r>
    </w:p>
    <w:p>
      <w:pPr>
        <w:spacing w:after="360" w:before="0" w:line="259" w:lineRule="auto"/>
      </w:pPr>
      <w:r>
        <w:rPr>
          <w:rFonts w:ascii="Arial" w:hAnsi="Arial"/>
          <w:b w:val="0"/>
          <w:i w:val="0"/>
          <w:color w:val="000000"/>
          <w:sz w:val="52"/>
        </w:rPr>
        <w:t>DATA ARCHITECTURE DESIGN</w:t>
      </w:r>
    </w:p>
    <w:p>
      <w:pPr>
        <w:spacing w:after="100" w:before="0" w:line="259" w:lineRule="auto"/>
      </w:pPr>
      <w:r>
        <w:rPr>
          <w:rFonts w:ascii="Arial" w:hAnsi="Arial"/>
          <w:b w:val="0"/>
          <w:i w:val="0"/>
          <w:color w:val="0000FF"/>
          <w:sz w:val="44"/>
        </w:rPr>
        <w:t>[Business Requirement Title]</w:t>
      </w:r>
    </w:p>
    <w:p>
      <w:pPr>
        <w:spacing w:after="360" w:before="0" w:line="259" w:lineRule="auto"/>
      </w:pPr>
      <w:r>
        <w:rPr>
          <w:rFonts w:ascii="Arial" w:hAnsi="Arial"/>
          <w:b w:val="0"/>
          <w:i w:val="0"/>
          <w:color w:val="0000FF"/>
          <w:sz w:val="34"/>
        </w:rPr>
        <w:t>[Document ID]</w:t>
      </w:r>
    </w:p>
    <w:p>
      <w:pPr>
        <w:spacing w:after="6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00"/>
          <w:sz w:val="20"/>
        </w:rPr>
        <w:t xml:space="preserve">Author: </w:t>
      </w:r>
      <w:r>
        <w:rPr>
          <w:rFonts w:ascii="Arial" w:hAnsi="Arial"/>
          <w:b w:val="0"/>
          <w:i w:val="0"/>
          <w:color w:val="0000FF"/>
          <w:sz w:val="20"/>
        </w:rPr>
        <w:t>[Name]</w:t>
      </w:r>
    </w:p>
    <w:p>
      <w:pPr>
        <w:spacing w:after="6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00"/>
          <w:sz w:val="20"/>
        </w:rPr>
        <w:t xml:space="preserve">Creation date: </w:t>
      </w:r>
      <w:r>
        <w:rPr>
          <w:rFonts w:ascii="Arial" w:hAnsi="Arial"/>
          <w:b w:val="0"/>
          <w:i w:val="0"/>
          <w:color w:val="0000FF"/>
          <w:sz w:val="20"/>
        </w:rPr>
        <w:t>[yyyy-mm-dd]</w:t>
      </w:r>
    </w:p>
    <w:p>
      <w:pPr>
        <w:spacing w:after="6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00"/>
          <w:sz w:val="20"/>
        </w:rPr>
        <w:t xml:space="preserve">Last updated: </w:t>
      </w:r>
      <w:r>
        <w:rPr>
          <w:rFonts w:ascii="Arial" w:hAnsi="Arial"/>
          <w:b w:val="0"/>
          <w:i w:val="0"/>
          <w:color w:val="0000FF"/>
          <w:sz w:val="20"/>
        </w:rPr>
        <w:t>[yyyy-mm-dd]</w:t>
      </w:r>
    </w:p>
    <w:p>
      <w:pPr>
        <w:spacing w:after="6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00"/>
          <w:sz w:val="20"/>
        </w:rPr>
        <w:t xml:space="preserve">Document reference: </w:t>
      </w:r>
      <w:r>
        <w:rPr>
          <w:rFonts w:ascii="Arial" w:hAnsi="Arial"/>
          <w:b w:val="0"/>
          <w:i w:val="0"/>
          <w:color w:val="0000FF"/>
          <w:sz w:val="20"/>
        </w:rPr>
        <w:t>[SharePoint / repository link]</w:t>
      </w:r>
    </w:p>
    <w:p>
      <w:pPr>
        <w:spacing w:after="6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00"/>
          <w:sz w:val="20"/>
        </w:rPr>
        <w:t xml:space="preserve">Version: </w:t>
      </w:r>
      <w:r>
        <w:rPr>
          <w:rFonts w:ascii="Arial" w:hAnsi="Arial"/>
          <w:b w:val="0"/>
          <w:i w:val="0"/>
          <w:color w:val="0000FF"/>
          <w:sz w:val="20"/>
        </w:rPr>
        <w:t>[0.x]</w:t>
      </w:r>
    </w:p>
    <w:p>
      <w:pPr>
        <w:spacing w:after="16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</w:p>
    <w:p>
      <w:pPr>
        <w:spacing w:after="160" w:before="0" w:line="259" w:lineRule="auto"/>
      </w:pPr>
      <w:r>
        <w:rPr>
          <w:rFonts w:ascii="Arial" w:hAnsi="Arial"/>
          <w:b/>
          <w:i w:val="0"/>
          <w:color w:val="000000"/>
          <w:sz w:val="22"/>
        </w:rPr>
        <w:t>Approvals</w:t>
      </w:r>
    </w:p>
    <w:p>
      <w:pPr>
        <w:spacing w:after="22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FF"/>
          <w:sz w:val="20"/>
        </w:rPr>
        <w:t xml:space="preserve">End User acceptance:  </w:t>
      </w:r>
      <w:r>
        <w:rPr>
          <w:rFonts w:ascii="Arial" w:hAnsi="Arial"/>
          <w:b w:val="0"/>
          <w:i w:val="0"/>
          <w:color w:val="000000"/>
          <w:sz w:val="20"/>
        </w:rPr>
        <w:t>______________________________________</w:t>
      </w:r>
    </w:p>
    <w:p>
      <w:pPr>
        <w:spacing w:after="22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FF"/>
          <w:sz w:val="20"/>
        </w:rPr>
        <w:t xml:space="preserve">PMO Manager review:  </w:t>
      </w:r>
      <w:r>
        <w:rPr>
          <w:rFonts w:ascii="Arial" w:hAnsi="Arial"/>
          <w:b w:val="0"/>
          <w:i w:val="0"/>
          <w:color w:val="000000"/>
          <w:sz w:val="20"/>
        </w:rPr>
        <w:t>______________________________________</w:t>
      </w:r>
    </w:p>
    <w:p>
      <w:pPr>
        <w:spacing w:after="22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FF"/>
          <w:sz w:val="20"/>
        </w:rPr>
        <w:t xml:space="preserve">Technical Analyst review:  </w:t>
      </w:r>
      <w:r>
        <w:rPr>
          <w:rFonts w:ascii="Arial" w:hAnsi="Arial"/>
          <w:b w:val="0"/>
          <w:i w:val="0"/>
          <w:color w:val="000000"/>
          <w:sz w:val="20"/>
        </w:rPr>
        <w:t>______________________________________</w:t>
      </w:r>
    </w:p>
    <w:p>
      <w:pPr>
        <w:spacing w:after="22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FF"/>
          <w:sz w:val="20"/>
        </w:rPr>
        <w:t xml:space="preserve">ERP Consultant review:  </w:t>
      </w:r>
      <w:r>
        <w:rPr>
          <w:rFonts w:ascii="Arial" w:hAnsi="Arial"/>
          <w:b w:val="0"/>
          <w:i w:val="0"/>
          <w:color w:val="000000"/>
          <w:sz w:val="20"/>
        </w:rPr>
        <w:t>______________________________________</w:t>
      </w:r>
    </w:p>
    <w:p>
      <w:r>
        <w:br w:type="page"/>
      </w:r>
    </w:p>
    <w:p>
      <w:pPr>
        <w:spacing w:before="160" w:after="140" w:line="140" w:lineRule="exact"/>
        <w:shd w:fill="000000"/>
      </w:pPr>
      <w:r>
        <w:t xml:space="preserve"> </w:t>
      </w:r>
    </w:p>
    <w:p>
      <w:pPr>
        <w:spacing w:after="140" w:before="0" w:line="259" w:lineRule="auto"/>
      </w:pPr>
      <w:r>
        <w:rPr>
          <w:rFonts w:ascii="Arial" w:hAnsi="Arial"/>
          <w:b/>
          <w:i w:val="0"/>
          <w:color w:val="000000"/>
          <w:sz w:val="38"/>
        </w:rPr>
        <w:t>Document Control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240" w:type="dxa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Author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Change summary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0.1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[yyyy-mm-dd]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[Name]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Initial design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[Next]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[yyyy-mm-dd]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[Name]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[Describe approved change]</w:t>
            </w:r>
          </w:p>
        </w:tc>
      </w:tr>
    </w:tbl>
    <w:p>
      <w:pPr>
        <w:spacing w:after="80" w:before="160" w:line="259" w:lineRule="auto"/>
        <w:pBdr>
          <w:bottom w:val="single" w:sz="12" w:space="1" w:color="000000"/>
        </w:pBdr>
      </w:pPr>
      <w:r>
        <w:rPr>
          <w:rFonts w:ascii="Arial" w:hAnsi="Arial"/>
          <w:b/>
          <w:i w:val="0"/>
          <w:color w:val="000000"/>
          <w:sz w:val="26"/>
        </w:rPr>
        <w:t>Review and distribution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Review focus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End User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[Name]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Outcome, usability and UAT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[Pending / approved]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PMO Manager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[Name]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Priority, scope and coordination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[Pending / approved]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Technical Analyst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[Name]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Build, controls and support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[Pending / approved]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ERP Consultant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[Name]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ERP process and source semantics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[Pending / approved]</w:t>
            </w:r>
          </w:p>
        </w:tc>
      </w:tr>
    </w:tbl>
    <w:p>
      <w:r>
        <w:br w:type="page"/>
      </w:r>
    </w:p>
    <w:p>
      <w:pPr>
        <w:spacing w:before="160" w:after="140" w:line="140" w:lineRule="exact"/>
        <w:shd w:fill="000000"/>
      </w:pPr>
      <w:r>
        <w:t xml:space="preserve"> </w:t>
      </w:r>
    </w:p>
    <w:p>
      <w:pPr>
        <w:spacing w:after="140" w:before="0" w:line="259" w:lineRule="auto"/>
      </w:pPr>
      <w:r>
        <w:rPr>
          <w:rFonts w:ascii="Arial" w:hAnsi="Arial"/>
          <w:b/>
          <w:i w:val="0"/>
          <w:color w:val="000000"/>
          <w:sz w:val="38"/>
        </w:rPr>
        <w:t>1. Source and Scope</w:t>
      </w:r>
    </w:p>
    <w:p>
      <w:pPr>
        <w:spacing w:after="12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  <w:t>Document the exact Global EDI Gold View dependencies. Global EDI owns the Medallion data warehouse and upstream ETL; this document covers the APAC consumption work only.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Source object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Gold View schema / version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Refresh / dependency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[Gold View object]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[Schema / version]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Global EDI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[Schedule / SLA]</w:t>
            </w:r>
          </w:p>
        </w:tc>
      </w:tr>
    </w:tbl>
    <w:p>
      <w:pPr>
        <w:spacing w:after="80" w:before="160" w:line="259" w:lineRule="auto"/>
        <w:pBdr>
          <w:bottom w:val="single" w:sz="12" w:space="1" w:color="000000"/>
        </w:pBdr>
      </w:pPr>
      <w:r>
        <w:rPr>
          <w:rFonts w:ascii="Arial" w:hAnsi="Arial"/>
          <w:b/>
          <w:i w:val="0"/>
          <w:color w:val="000000"/>
          <w:sz w:val="26"/>
        </w:rPr>
        <w:t>Source tables and fields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Source table / view</w:t>
            </w:r>
          </w:p>
        </w:tc>
        <w:tc>
          <w:tcPr>
            <w:tcW w:type="dxa" w:w="3504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3504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Key fields / required columns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[Object name]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[Business purpose]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[Keys and fields]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[Object name]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[Business purpose]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[Keys and fields]</w:t>
            </w:r>
          </w:p>
        </w:tc>
      </w:tr>
    </w:tbl>
    <w:p>
      <w:r>
        <w:br w:type="page"/>
      </w:r>
    </w:p>
    <w:p>
      <w:pPr>
        <w:spacing w:before="160" w:after="140" w:line="140" w:lineRule="exact"/>
        <w:shd w:fill="000000"/>
      </w:pPr>
      <w:r>
        <w:t xml:space="preserve"> </w:t>
      </w:r>
    </w:p>
    <w:p>
      <w:pPr>
        <w:spacing w:after="140" w:before="0" w:line="259" w:lineRule="auto"/>
      </w:pPr>
      <w:r>
        <w:rPr>
          <w:rFonts w:ascii="Arial" w:hAnsi="Arial"/>
          <w:b/>
          <w:i w:val="0"/>
          <w:color w:val="000000"/>
          <w:sz w:val="38"/>
        </w:rPr>
        <w:t>2. Data Manipulation Process</w:t>
      </w:r>
    </w:p>
    <w:p>
      <w:pPr>
        <w:spacing w:after="12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  <w:t>Describe how the Global EDI Gold View data is cleaned, integrated and prepared. Name the program, recipe, SQL, notebook or job that performs each step.</w:t>
      </w:r>
    </w:p>
    <w:p>
      <w:pPr>
        <w:spacing w:after="40" w:before="0" w:line="259" w:lineRule="auto"/>
        <w:shd w:fill="F2F4F7"/>
        <w:pBdr>
          <w:top w:val="single" w:sz="8" w:space="1" w:color="A6A6A6"/>
          <w:left w:val="single" w:sz="8" w:space="1" w:color="A6A6A6"/>
          <w:bottom w:val="single" w:sz="8" w:space="1" w:color="A6A6A6"/>
          <w:right w:val="single" w:sz="8" w:space="1" w:color="A6A6A6"/>
        </w:pBdr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/>
          <w:i w:val="0"/>
          <w:color w:val="0000FF"/>
          <w:sz w:val="20"/>
        </w:rPr>
        <w:t>FIGURE / SCREENSHOT PLACEHOLDER</w:t>
        <w:br/>
      </w:r>
      <w:r>
        <w:rPr>
          <w:rFonts w:ascii="Arial" w:hAnsi="Arial"/>
          <w:b/>
          <w:i w:val="0"/>
          <w:color w:val="000000"/>
          <w:sz w:val="26"/>
        </w:rPr>
        <w:t>Gold View → Refined Coat (RC) → Sealer Coat (SC)</w:t>
        <w:br/>
      </w:r>
      <w:r>
        <w:rPr>
          <w:rFonts w:ascii="Arial" w:hAnsi="Arial"/>
          <w:b w:val="0"/>
          <w:i/>
          <w:color w:val="666666"/>
          <w:sz w:val="18"/>
        </w:rPr>
        <w:t>Show inputs, processing assets, tables/views and control checks. This DA document ends at Sealer Coat; Top Coat is documented by the IV / RP / EX consumer designs.</w:t>
      </w:r>
    </w:p>
    <w:p>
      <w:pPr>
        <w:spacing w:after="140" w:before="0" w:line="259" w:lineRule="auto"/>
      </w:pPr>
      <w:r>
        <w:rPr>
          <w:rFonts w:ascii="Arial" w:hAnsi="Arial"/>
          <w:b w:val="0"/>
          <w:i/>
          <w:color w:val="666666"/>
          <w:sz w:val="17"/>
        </w:rPr>
        <w:t>Figure [#]. [Replace with a concise caption.]</w:t>
      </w:r>
    </w:p>
    <w:p>
      <w:pPr>
        <w:spacing w:after="80" w:before="160" w:line="259" w:lineRule="auto"/>
        <w:pBdr>
          <w:bottom w:val="single" w:sz="12" w:space="1" w:color="000000"/>
        </w:pBdr>
      </w:pPr>
      <w:r>
        <w:rPr>
          <w:rFonts w:ascii="Arial" w:hAnsi="Arial"/>
          <w:b/>
          <w:i w:val="0"/>
          <w:color w:val="000000"/>
          <w:sz w:val="26"/>
        </w:rPr>
        <w:t>Processing assets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Process step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Program / tool / asset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Logic summary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Refined Coat (RC)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[Dataiku / SQL / notebook / job]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[Ingest, join, standardise and retain source keys]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Technical Analyst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Sealer Coat (SC)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[Dataiku / SQL / notebook / job]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[Documented local cleansing, mapping or enrichment]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Technical Analyst</w:t>
            </w:r>
          </w:p>
        </w:tc>
      </w:tr>
    </w:tbl>
    <w:p>
      <w:pPr>
        <w:spacing w:after="80" w:before="160" w:line="259" w:lineRule="auto"/>
        <w:pBdr>
          <w:bottom w:val="single" w:sz="12" w:space="1" w:color="000000"/>
        </w:pBdr>
      </w:pPr>
      <w:r>
        <w:rPr>
          <w:rFonts w:ascii="Arial" w:hAnsi="Arial"/>
          <w:b/>
          <w:i w:val="0"/>
          <w:color w:val="000000"/>
          <w:sz w:val="26"/>
        </w:rPr>
        <w:t>Reviewed transformation code or configuration</w:t>
      </w:r>
    </w:p>
    <w:p>
      <w:pPr>
        <w:spacing w:after="160" w:before="0" w:line="259" w:lineRule="auto"/>
        <w:shd w:fill="1F2937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Consolas" w:hAnsi="Consolas"/>
          <w:b w:val="0"/>
          <w:i w:val="0"/>
          <w:color w:val="F9FAFB"/>
          <w:sz w:val="17"/>
        </w:rPr>
        <w:t>[PASTE REVIEWED SQL / DAX / PYTHON / CONFIGURATION HERE]</w:t>
        <w:br/>
        <w:t># Identify the repository or release version.</w:t>
        <w:br/>
        <w:t># Explain the expected result and validation check.</w:t>
      </w:r>
    </w:p>
    <w:p>
      <w:r>
        <w:br w:type="page"/>
      </w:r>
    </w:p>
    <w:p>
      <w:pPr>
        <w:spacing w:before="160" w:after="140" w:line="140" w:lineRule="exact"/>
        <w:shd w:fill="000000"/>
      </w:pPr>
      <w:r>
        <w:t xml:space="preserve"> </w:t>
      </w:r>
    </w:p>
    <w:p>
      <w:pPr>
        <w:spacing w:after="140" w:before="0" w:line="259" w:lineRule="auto"/>
      </w:pPr>
      <w:r>
        <w:rPr>
          <w:rFonts w:ascii="Arial" w:hAnsi="Arial"/>
          <w:b/>
          <w:i w:val="0"/>
          <w:color w:val="000000"/>
          <w:sz w:val="38"/>
        </w:rPr>
        <w:t>3. RC and SC Data Objects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Coat</w:t>
            </w:r>
          </w:p>
        </w:tc>
        <w:tc>
          <w:tcPr>
            <w:tcW w:type="dxa" w:w="2102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Table / view name</w:t>
            </w:r>
          </w:p>
        </w:tc>
        <w:tc>
          <w:tcPr>
            <w:tcW w:type="dxa" w:w="2102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2102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Primary key / grain</w:t>
            </w:r>
          </w:p>
        </w:tc>
        <w:tc>
          <w:tcPr>
            <w:tcW w:type="dxa" w:w="2102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Refresh / retention</w:t>
            </w:r>
          </w:p>
        </w:tc>
      </w:tr>
      <w:tr>
        <w:tc>
          <w:tcPr>
            <w:tcW w:type="dxa" w:w="2102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Refined Coat (RC)</w:t>
            </w:r>
          </w:p>
        </w:tc>
        <w:tc>
          <w:tcPr>
            <w:tcW w:type="dxa" w:w="2102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[RC object]</w:t>
            </w:r>
          </w:p>
        </w:tc>
        <w:tc>
          <w:tcPr>
            <w:tcW w:type="dxa" w:w="2102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[Integrated source-ready object]</w:t>
            </w:r>
          </w:p>
        </w:tc>
        <w:tc>
          <w:tcPr>
            <w:tcW w:type="dxa" w:w="2102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[Key / grain]</w:t>
            </w:r>
          </w:p>
        </w:tc>
        <w:tc>
          <w:tcPr>
            <w:tcW w:type="dxa" w:w="2102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[Schedule / retention]</w:t>
            </w:r>
          </w:p>
        </w:tc>
      </w:tr>
      <w:tr>
        <w:tc>
          <w:tcPr>
            <w:tcW w:type="dxa" w:w="2102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Sealer Coat (SC)</w:t>
            </w:r>
          </w:p>
        </w:tc>
        <w:tc>
          <w:tcPr>
            <w:tcW w:type="dxa" w:w="2102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[SC object]</w:t>
            </w:r>
          </w:p>
        </w:tc>
        <w:tc>
          <w:tcPr>
            <w:tcW w:type="dxa" w:w="2102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[Local cleansing / harmonisation object]</w:t>
            </w:r>
          </w:p>
        </w:tc>
        <w:tc>
          <w:tcPr>
            <w:tcW w:type="dxa" w:w="2102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[Key / grain]</w:t>
            </w:r>
          </w:p>
        </w:tc>
        <w:tc>
          <w:tcPr>
            <w:tcW w:type="dxa" w:w="2102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[Schedule / retention]</w:t>
            </w:r>
          </w:p>
        </w:tc>
      </w:tr>
    </w:tbl>
    <w:p>
      <w:pPr>
        <w:spacing w:after="80" w:before="160" w:line="259" w:lineRule="auto"/>
        <w:pBdr>
          <w:bottom w:val="single" w:sz="12" w:space="1" w:color="000000"/>
        </w:pBdr>
      </w:pPr>
      <w:r>
        <w:rPr>
          <w:rFonts w:ascii="Arial" w:hAnsi="Arial"/>
          <w:b/>
          <w:i w:val="0"/>
          <w:color w:val="000000"/>
          <w:sz w:val="26"/>
        </w:rPr>
        <w:t>Source-to-target and data-quality controls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Source field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RC / SC target field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Transformation / rule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Validation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[Gold View field]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[Target field]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[Rule / default / null handling]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[Completeness / reconciliation]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[Gold View field]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[Target field]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[Rule / default / null handling]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[Completeness / reconciliation]</w:t>
            </w:r>
          </w:p>
        </w:tc>
      </w:tr>
    </w:tbl>
    <w:p>
      <w:pPr>
        <w:spacing w:before="160" w:after="140" w:line="140" w:lineRule="exact"/>
        <w:shd w:fill="000000"/>
      </w:pPr>
      <w:r>
        <w:t xml:space="preserve"> </w:t>
      </w:r>
    </w:p>
    <w:p>
      <w:pPr>
        <w:spacing w:after="140" w:before="0" w:line="259" w:lineRule="auto"/>
      </w:pPr>
      <w:r>
        <w:rPr>
          <w:rFonts w:ascii="Arial" w:hAnsi="Arial"/>
          <w:b/>
          <w:i w:val="0"/>
          <w:color w:val="000000"/>
          <w:sz w:val="38"/>
        </w:rPr>
        <w:t>Validation and Handover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3504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Evidence / expected result</w:t>
            </w:r>
          </w:p>
        </w:tc>
        <w:tc>
          <w:tcPr>
            <w:tcW w:type="dxa" w:w="3504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Business validation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[End User confirms the business outcome and representative result.]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End User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Delivery coordination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[Scope, status and dependencies are recorded.]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PMO Manager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Technical validation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[DQ, reconciliation, security and performance checks pass.]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Technical Analyst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ERP semantics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[Source fields, process status and exceptions are confirmed.]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ERP Consultant</w:t>
            </w:r>
          </w:p>
        </w:tc>
      </w:tr>
    </w:tbl>
    <w:p>
      <w:pPr>
        <w:spacing w:after="160" w:before="0" w:line="259" w:lineRule="auto"/>
        <w:shd w:fill="EAF3FB"/>
        <w:pBdr>
          <w:left w:val="single" w:sz="20" w:space="1" w:color="0000FF"/>
        </w:pBdr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/>
          <w:i w:val="0"/>
          <w:color w:val="000000"/>
          <w:sz w:val="20"/>
        </w:rPr>
        <w:t xml:space="preserve">Handover rule.  </w:t>
      </w:r>
      <w:r>
        <w:rPr>
          <w:rFonts w:ascii="Arial" w:hAnsi="Arial"/>
          <w:b w:val="0"/>
          <w:i w:val="0"/>
          <w:color w:val="000000"/>
          <w:sz w:val="20"/>
        </w:rPr>
        <w:t>Link the approved document, evidence and release location to the DRIVE enhancement record before production release.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864" w:bottom="792" w:left="86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666666"/>
        <w:sz w:val="17"/>
      </w:rPr>
      <w:t>Controlled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 w:val="0"/>
        <w:i w:val="0"/>
        <w:color w:val="666666"/>
        <w:sz w:val="17"/>
      </w:rPr>
      <w:t>SW DATA MART  |  CONTROLLED DELIVERY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