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before="0" w:line="259" w:lineRule="auto"/>
      </w:pPr>
      <w:r>
        <w:rPr>
          <w:rFonts w:ascii="Arial" w:hAnsi="Arial" w:eastAsia="Arial"/>
          <w:b/>
          <w:i w:val="0"/>
          <w:color w:val="0000FF"/>
          <w:sz w:val="18"/>
        </w:rPr>
        <w:t>SW DATA MART  |  APAC DATA &amp; ANALYTICS</w:t>
      </w:r>
    </w:p>
    <w:p>
      <w:pPr>
        <w:spacing w:before="160" w:after="140" w:line="140" w:lineRule="exact"/>
        <w:shd w:fill="000000"/>
      </w:pPr>
      <w:r>
        <w:rPr>
          <w:rFonts w:ascii="Arial" w:hAnsi="Arial" w:eastAsia="Arial"/>
          <w:b w:val="0"/>
          <w:i w:val="0"/>
          <w:color w:val="000000"/>
          <w:sz w:val="4"/>
        </w:rPr>
        <w:t xml:space="preserve"> </w:t>
      </w:r>
    </w:p>
    <w:p>
      <w:pPr>
        <w:spacing w:after="0" w:before="0" w:line="259" w:lineRule="auto"/>
      </w:pPr>
      <w:r>
        <w:rPr>
          <w:rFonts w:ascii="Arial" w:hAnsi="Arial" w:eastAsia="Arial"/>
          <w:b w:val="0"/>
          <w:i w:val="0"/>
          <w:color w:val="000000"/>
          <w:sz w:val="52"/>
        </w:rPr>
        <w:t>DRIVE INTEGRATED</w:t>
      </w:r>
    </w:p>
    <w:p>
      <w:pPr>
        <w:spacing w:after="360" w:before="0" w:line="259" w:lineRule="auto"/>
      </w:pPr>
      <w:r>
        <w:rPr>
          <w:rFonts w:ascii="Arial" w:hAnsi="Arial" w:eastAsia="Arial"/>
          <w:b w:val="0"/>
          <w:i w:val="0"/>
          <w:color w:val="000000"/>
          <w:sz w:val="52"/>
        </w:rPr>
        <w:t>TECHNICAL DESIGN</w:t>
      </w:r>
    </w:p>
    <w:p>
      <w:pPr>
        <w:spacing w:after="100" w:before="0" w:line="259" w:lineRule="auto"/>
      </w:pPr>
      <w:r>
        <w:rPr>
          <w:rFonts w:ascii="Arial" w:hAnsi="Arial" w:eastAsia="Arial"/>
          <w:b w:val="0"/>
          <w:i w:val="0"/>
          <w:color w:val="0000FF"/>
          <w:sz w:val="44"/>
        </w:rPr>
        <w:t>SW Data Mart Consumption Architecture</w:t>
      </w:r>
    </w:p>
    <w:p>
      <w:pPr>
        <w:spacing w:after="360" w:before="0" w:line="259" w:lineRule="auto"/>
      </w:pPr>
      <w:r>
        <w:rPr>
          <w:rFonts w:ascii="Arial" w:hAnsi="Arial" w:eastAsia="Arial"/>
          <w:b w:val="0"/>
          <w:i w:val="0"/>
          <w:color w:val="0000FF"/>
          <w:sz w:val="34"/>
        </w:rPr>
        <w:t>DRIVE-001</w:t>
      </w:r>
    </w:p>
    <w:p>
      <w:pPr>
        <w:spacing w:after="60"/>
      </w:pPr>
      <w:r>
        <w:rPr>
          <w:rFonts w:ascii="Arial" w:hAnsi="Arial" w:eastAsia="Arial"/>
          <w:b w:val="0"/>
          <w:i w:val="0"/>
          <w:color w:val="000000"/>
          <w:sz w:val="21"/>
        </w:rPr>
        <w:t>Author:</w:t>
      </w:r>
      <w:r>
        <w:t xml:space="preserve">              </w:t>
      </w:r>
      <w:r>
        <w:rPr>
          <w:rFonts w:ascii="Arial" w:hAnsi="Arial" w:eastAsia="Arial"/>
          <w:b w:val="0"/>
          <w:i w:val="0"/>
          <w:color w:val="0000FF"/>
          <w:sz w:val="21"/>
        </w:rPr>
        <w:t>APAC Data &amp; Analytics</w:t>
      </w:r>
    </w:p>
    <w:p>
      <w:pPr>
        <w:spacing w:after="60"/>
      </w:pPr>
      <w:r>
        <w:rPr>
          <w:rFonts w:ascii="Arial" w:hAnsi="Arial" w:eastAsia="Arial"/>
          <w:b w:val="0"/>
          <w:i w:val="0"/>
          <w:color w:val="000000"/>
          <w:sz w:val="21"/>
        </w:rPr>
        <w:t>Creation date:</w:t>
      </w:r>
      <w:r>
        <w:t xml:space="preserve">       </w:t>
      </w:r>
      <w:r>
        <w:rPr>
          <w:rFonts w:ascii="Arial" w:hAnsi="Arial" w:eastAsia="Arial"/>
          <w:b w:val="0"/>
          <w:i w:val="0"/>
          <w:color w:val="0000FF"/>
          <w:sz w:val="21"/>
        </w:rPr>
        <w:t>02 August 2026</w:t>
      </w:r>
    </w:p>
    <w:p>
      <w:pPr>
        <w:spacing w:after="60"/>
      </w:pPr>
      <w:r>
        <w:rPr>
          <w:rFonts w:ascii="Arial" w:hAnsi="Arial" w:eastAsia="Arial"/>
          <w:b w:val="0"/>
          <w:i w:val="0"/>
          <w:color w:val="000000"/>
          <w:sz w:val="21"/>
        </w:rPr>
        <w:t>Last updated:</w:t>
      </w:r>
      <w:r>
        <w:t xml:space="preserve">        </w:t>
      </w:r>
      <w:r>
        <w:rPr>
          <w:rFonts w:ascii="Arial" w:hAnsi="Arial" w:eastAsia="Arial"/>
          <w:b w:val="0"/>
          <w:i w:val="0"/>
          <w:color w:val="0000FF"/>
          <w:sz w:val="21"/>
        </w:rPr>
        <w:t>02 August 2026</w:t>
      </w:r>
    </w:p>
    <w:p>
      <w:pPr>
        <w:spacing w:after="60"/>
      </w:pPr>
      <w:r>
        <w:rPr>
          <w:rFonts w:ascii="Arial" w:hAnsi="Arial" w:eastAsia="Arial"/>
          <w:b w:val="0"/>
          <w:i w:val="0"/>
          <w:color w:val="000000"/>
          <w:sz w:val="21"/>
        </w:rPr>
        <w:t>Document reference:</w:t>
      </w:r>
      <w:r>
        <w:t xml:space="preserve">  </w:t>
      </w:r>
      <w:r>
        <w:rPr>
          <w:rFonts w:ascii="Arial" w:hAnsi="Arial" w:eastAsia="Arial"/>
          <w:b w:val="0"/>
          <w:i w:val="0"/>
          <w:color w:val="0000FF"/>
          <w:sz w:val="21"/>
        </w:rPr>
        <w:t>SW-DM-DRIVE-001</w:t>
      </w:r>
    </w:p>
    <w:p>
      <w:pPr>
        <w:spacing w:after="60"/>
      </w:pPr>
      <w:r>
        <w:rPr>
          <w:rFonts w:ascii="Arial" w:hAnsi="Arial" w:eastAsia="Arial"/>
          <w:b w:val="0"/>
          <w:i w:val="0"/>
          <w:color w:val="000000"/>
          <w:sz w:val="21"/>
        </w:rPr>
        <w:t>Version:</w:t>
      </w:r>
      <w:r>
        <w:t xml:space="preserve">             </w:t>
      </w:r>
      <w:r>
        <w:rPr>
          <w:rFonts w:ascii="Arial" w:hAnsi="Arial" w:eastAsia="Arial"/>
          <w:b w:val="0"/>
          <w:i w:val="0"/>
          <w:color w:val="0000FF"/>
          <w:sz w:val="21"/>
        </w:rPr>
        <w:t>1.1</w:t>
      </w:r>
    </w:p>
    <w:p>
      <w:pPr>
        <w:spacing w:after="160" w:before="0" w:line="259" w:lineRule="auto"/>
      </w:pPr>
      <w:r>
        <w:rPr>
          <w:rFonts w:ascii="Arial" w:hAnsi="Arial" w:eastAsia="Arial"/>
          <w:b w:val="0"/>
          <w:i w:val="0"/>
          <w:color w:val="000000"/>
          <w:sz w:val="21"/>
        </w:rPr>
      </w:r>
    </w:p>
    <w:p>
      <w:pPr>
        <w:spacing w:after="160" w:before="0" w:line="259" w:lineRule="auto"/>
      </w:pPr>
      <w:r>
        <w:rPr>
          <w:rFonts w:ascii="Arial" w:hAnsi="Arial" w:eastAsia="Arial"/>
          <w:b/>
          <w:i w:val="0"/>
          <w:color w:val="000000"/>
          <w:sz w:val="22"/>
        </w:rPr>
        <w:t>Approvals</w:t>
      </w:r>
    </w:p>
    <w:p>
      <w:pPr>
        <w:spacing w:after="220"/>
      </w:pPr>
      <w:r>
        <w:rPr>
          <w:rFonts w:ascii="Arial" w:hAnsi="Arial" w:eastAsia="Arial"/>
          <w:b w:val="0"/>
          <w:i w:val="0"/>
          <w:color w:val="0000FF"/>
          <w:sz w:val="20"/>
        </w:rPr>
        <w:t xml:space="preserve">Business owner:  </w:t>
      </w:r>
      <w:r>
        <w:rPr>
          <w:rFonts w:ascii="Arial" w:hAnsi="Arial" w:eastAsia="Arial"/>
          <w:b w:val="0"/>
          <w:i w:val="0"/>
          <w:color w:val="000000"/>
          <w:sz w:val="20"/>
        </w:rPr>
        <w:t>________________________________________</w:t>
      </w:r>
    </w:p>
    <w:p>
      <w:pPr>
        <w:spacing w:after="220"/>
      </w:pPr>
      <w:r>
        <w:rPr>
          <w:rFonts w:ascii="Arial" w:hAnsi="Arial" w:eastAsia="Arial"/>
          <w:b w:val="0"/>
          <w:i w:val="0"/>
          <w:color w:val="0000FF"/>
          <w:sz w:val="20"/>
        </w:rPr>
        <w:t xml:space="preserve">Technical owner:  </w:t>
      </w:r>
      <w:r>
        <w:rPr>
          <w:rFonts w:ascii="Arial" w:hAnsi="Arial" w:eastAsia="Arial"/>
          <w:b w:val="0"/>
          <w:i w:val="0"/>
          <w:color w:val="000000"/>
          <w:sz w:val="20"/>
        </w:rPr>
        <w:t>________________________________________</w:t>
      </w:r>
    </w:p>
    <w:p>
      <w:pPr>
        <w:spacing w:after="220"/>
      </w:pPr>
      <w:r>
        <w:rPr>
          <w:rFonts w:ascii="Arial" w:hAnsi="Arial" w:eastAsia="Arial"/>
          <w:b w:val="0"/>
          <w:i w:val="0"/>
          <w:color w:val="0000FF"/>
          <w:sz w:val="20"/>
        </w:rPr>
        <w:t xml:space="preserve">Finance / control owner (if applicable):  </w:t>
      </w:r>
      <w:r>
        <w:rPr>
          <w:rFonts w:ascii="Arial" w:hAnsi="Arial" w:eastAsia="Arial"/>
          <w:b w:val="0"/>
          <w:i w:val="0"/>
          <w:color w:val="000000"/>
          <w:sz w:val="20"/>
        </w:rPr>
        <w:t>________________________________________</w:t>
      </w:r>
    </w:p>
    <w:p>
      <w:pPr>
        <w:spacing w:after="0" w:before="0" w:line="259" w:lineRule="auto"/>
      </w:pPr>
      <w:r>
        <w:rPr>
          <w:rFonts w:ascii="Arial" w:hAnsi="Arial" w:eastAsia="Arial"/>
          <w:b w:val="0"/>
          <w:i/>
          <w:color w:val="666666"/>
          <w:sz w:val="17"/>
        </w:rPr>
        <w:t>Use this document to describe a controlled change. Replace all bracketed guidance before approval.</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Document Control</w:t>
      </w:r>
    </w:p>
    <w:tbl>
      <w:tblPr>
        <w:tblStyle w:val="TableGrid"/>
        <w:tblW w:type="dxa" w:w="9240"/>
        <w:jc w:val="left"/>
        <w:tblLayout w:type="fixed"/>
        <w:tblLook w:firstColumn="1" w:firstRow="1" w:lastColumn="0" w:lastRow="0" w:noHBand="0" w:noVBand="1" w:val="04A0"/>
        <w:tblInd w:w="120" w:type="dxa"/>
      </w:tblPr>
      <w:tblGrid>
        <w:gridCol w:w="900"/>
        <w:gridCol w:w="1300"/>
        <w:gridCol w:w="2100"/>
        <w:gridCol w:w="4940"/>
      </w:tblGrid>
      <w:tr>
        <w:tc>
          <w:tcPr>
            <w:tcW w:type="dxa" w:w="900"/>
            <w:tcMar>
              <w:top w:w="90" w:type="dxa"/>
              <w:start w:w="120" w:type="dxa"/>
              <w:bottom w:w="90" w:type="dxa"/>
              <w:end w:w="120" w:type="dxa"/>
            </w:tcMar>
            <w:vAlign w:val="center"/>
            <w:shd w:fill="000000"/>
          </w:tcPr>
          <w:p>
            <w:pPr>
              <w:spacing w:after="0"/>
            </w:pPr>
            <w:r/>
            <w:r>
              <w:rPr>
                <w:rFonts w:ascii="Arial" w:hAnsi="Arial" w:eastAsia="Arial"/>
                <w:b/>
                <w:i w:val="0"/>
                <w:color w:val="FFFFFF"/>
                <w:sz w:val="19"/>
              </w:rPr>
              <w:t>Version</w:t>
            </w:r>
          </w:p>
        </w:tc>
        <w:tc>
          <w:tcPr>
            <w:tcW w:type="dxa" w:w="1300"/>
            <w:tcMar>
              <w:top w:w="90" w:type="dxa"/>
              <w:start w:w="120" w:type="dxa"/>
              <w:bottom w:w="90" w:type="dxa"/>
              <w:end w:w="120" w:type="dxa"/>
            </w:tcMar>
            <w:vAlign w:val="center"/>
            <w:shd w:fill="000000"/>
          </w:tcPr>
          <w:p>
            <w:pPr>
              <w:spacing w:after="0"/>
            </w:pPr>
            <w:r/>
            <w:r>
              <w:rPr>
                <w:rFonts w:ascii="Arial" w:hAnsi="Arial" w:eastAsia="Arial"/>
                <w:b/>
                <w:i w:val="0"/>
                <w:color w:val="FFFFFF"/>
                <w:sz w:val="19"/>
              </w:rPr>
              <w:t>Date</w:t>
            </w:r>
          </w:p>
        </w:tc>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Author</w:t>
            </w:r>
          </w:p>
        </w:tc>
        <w:tc>
          <w:tcPr>
            <w:tcW w:type="dxa" w:w="4940"/>
            <w:tcMar>
              <w:top w:w="90" w:type="dxa"/>
              <w:start w:w="120" w:type="dxa"/>
              <w:bottom w:w="90" w:type="dxa"/>
              <w:end w:w="120" w:type="dxa"/>
            </w:tcMar>
            <w:vAlign w:val="center"/>
            <w:shd w:fill="000000"/>
          </w:tcPr>
          <w:p>
            <w:pPr>
              <w:spacing w:after="0"/>
            </w:pPr>
            <w:r/>
            <w:r>
              <w:rPr>
                <w:rFonts w:ascii="Arial" w:hAnsi="Arial" w:eastAsia="Arial"/>
                <w:b/>
                <w:i w:val="0"/>
                <w:color w:val="FFFFFF"/>
                <w:sz w:val="19"/>
              </w:rPr>
              <w:t>Change summary</w:t>
            </w:r>
          </w:p>
        </w:tc>
      </w:tr>
      <w:tr>
        <w:tc>
          <w:tcPr>
            <w:tcW w:type="dxa" w:w="900"/>
          </w:tcPr>
          <w:p>
            <w:pPr>
              <w:spacing w:after="0"/>
            </w:pPr>
            <w:r/>
            <w:r>
              <w:rPr>
                <w:rFonts w:ascii="Arial" w:hAnsi="Arial" w:eastAsia="Arial"/>
                <w:b/>
                <w:i w:val="0"/>
                <w:color w:val="000000"/>
                <w:sz w:val="18"/>
              </w:rPr>
              <w:t>0.1</w:t>
            </w:r>
          </w:p>
        </w:tc>
        <w:tc>
          <w:tcPr>
            <w:tcW w:type="dxa" w:w="1300"/>
          </w:tcPr>
          <w:p>
            <w:pPr>
              <w:spacing w:after="0"/>
            </w:pPr>
            <w:r/>
            <w:r>
              <w:rPr>
                <w:rFonts w:ascii="Arial" w:hAnsi="Arial" w:eastAsia="Arial"/>
                <w:b w:val="0"/>
                <w:i w:val="0"/>
                <w:color w:val="000000"/>
                <w:sz w:val="18"/>
              </w:rPr>
              <w:t>2026-08-02</w:t>
            </w:r>
          </w:p>
        </w:tc>
        <w:tc>
          <w:tcPr>
            <w:tcW w:type="dxa" w:w="2100"/>
          </w:tcPr>
          <w:p>
            <w:pPr>
              <w:spacing w:after="0"/>
            </w:pPr>
            <w:r/>
            <w:r>
              <w:rPr>
                <w:rFonts w:ascii="Arial" w:hAnsi="Arial" w:eastAsia="Arial"/>
                <w:b w:val="0"/>
                <w:i w:val="0"/>
                <w:color w:val="000000"/>
                <w:sz w:val="18"/>
              </w:rPr>
              <w:t>APAC Data &amp; Analytics</w:t>
            </w:r>
          </w:p>
        </w:tc>
        <w:tc>
          <w:tcPr>
            <w:tcW w:type="dxa" w:w="4940"/>
          </w:tcPr>
          <w:p>
            <w:pPr>
              <w:spacing w:after="0"/>
            </w:pPr>
            <w:r/>
            <w:r>
              <w:rPr>
                <w:rFonts w:ascii="Arial" w:hAnsi="Arial" w:eastAsia="Arial"/>
                <w:b w:val="0"/>
                <w:i w:val="0"/>
                <w:color w:val="000000"/>
                <w:sz w:val="18"/>
              </w:rPr>
              <w:t>Initial controlled design</w:t>
            </w:r>
          </w:p>
        </w:tc>
      </w:tr>
      <w:tr>
        <w:tc>
          <w:tcPr>
            <w:tcW w:type="dxa" w:w="900"/>
          </w:tcPr>
          <w:p>
            <w:pPr>
              <w:spacing w:after="0"/>
            </w:pPr>
            <w:r/>
            <w:r>
              <w:rPr>
                <w:rFonts w:ascii="Arial" w:hAnsi="Arial" w:eastAsia="Arial"/>
                <w:b/>
                <w:i w:val="0"/>
                <w:color w:val="000000"/>
                <w:sz w:val="18"/>
              </w:rPr>
              <w:t>[Next]</w:t>
            </w:r>
          </w:p>
        </w:tc>
        <w:tc>
          <w:tcPr>
            <w:tcW w:type="dxa" w:w="1300"/>
          </w:tcPr>
          <w:p>
            <w:pPr>
              <w:spacing w:after="0"/>
            </w:pPr>
            <w:r/>
            <w:r>
              <w:rPr>
                <w:rFonts w:ascii="Arial" w:hAnsi="Arial" w:eastAsia="Arial"/>
                <w:b w:val="0"/>
                <w:i w:val="0"/>
                <w:color w:val="000000"/>
                <w:sz w:val="18"/>
              </w:rPr>
              <w:t>[yyyy-mm-dd]</w:t>
            </w:r>
          </w:p>
        </w:tc>
        <w:tc>
          <w:tcPr>
            <w:tcW w:type="dxa" w:w="2100"/>
          </w:tcPr>
          <w:p>
            <w:pPr>
              <w:spacing w:after="0"/>
            </w:pPr>
            <w:r/>
            <w:r>
              <w:rPr>
                <w:rFonts w:ascii="Arial" w:hAnsi="Arial" w:eastAsia="Arial"/>
                <w:b w:val="0"/>
                <w:i w:val="0"/>
                <w:color w:val="000000"/>
                <w:sz w:val="18"/>
              </w:rPr>
              <w:t>[Name]</w:t>
            </w:r>
          </w:p>
        </w:tc>
        <w:tc>
          <w:tcPr>
            <w:tcW w:type="dxa" w:w="4940"/>
          </w:tcPr>
          <w:p>
            <w:pPr>
              <w:spacing w:after="0"/>
            </w:pPr>
            <w:r/>
            <w:r>
              <w:rPr>
                <w:rFonts w:ascii="Arial" w:hAnsi="Arial" w:eastAsia="Arial"/>
                <w:b w:val="0"/>
                <w:i w:val="0"/>
                <w:color w:val="000000"/>
                <w:sz w:val="18"/>
              </w:rPr>
              <w:t>[Describe the approved change]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Reviewers and distribution</w:t>
      </w:r>
    </w:p>
    <w:tbl>
      <w:tblPr>
        <w:tblStyle w:val="TableGrid"/>
        <w:tblW w:type="dxa" w:w="9240"/>
        <w:jc w:val="left"/>
        <w:tblLayout w:type="fixed"/>
        <w:tblLook w:firstColumn="1" w:firstRow="1" w:lastColumn="0" w:lastRow="0" w:noHBand="0" w:noVBand="1" w:val="04A0"/>
        <w:tblInd w:w="120" w:type="dxa"/>
      </w:tblPr>
      <w:tblGrid>
        <w:gridCol w:w="1800"/>
        <w:gridCol w:w="1800"/>
        <w:gridCol w:w="3600"/>
        <w:gridCol w:w="2040"/>
      </w:tblGrid>
      <w:tr>
        <w:tc>
          <w:tcPr>
            <w:tcW w:type="dxa" w:w="1800"/>
            <w:tcMar>
              <w:top w:w="90" w:type="dxa"/>
              <w:start w:w="120" w:type="dxa"/>
              <w:bottom w:w="90" w:type="dxa"/>
              <w:end w:w="120" w:type="dxa"/>
            </w:tcMar>
            <w:vAlign w:val="center"/>
            <w:shd w:fill="000000"/>
          </w:tcPr>
          <w:p>
            <w:pPr>
              <w:spacing w:after="0"/>
            </w:pPr>
            <w:r/>
            <w:r>
              <w:rPr>
                <w:rFonts w:ascii="Arial" w:hAnsi="Arial" w:eastAsia="Arial"/>
                <w:b/>
                <w:i w:val="0"/>
                <w:color w:val="FFFFFF"/>
                <w:sz w:val="19"/>
              </w:rPr>
              <w:t>Role</w:t>
            </w:r>
          </w:p>
        </w:tc>
        <w:tc>
          <w:tcPr>
            <w:tcW w:type="dxa" w:w="1800"/>
            <w:tcMar>
              <w:top w:w="90" w:type="dxa"/>
              <w:start w:w="120" w:type="dxa"/>
              <w:bottom w:w="90" w:type="dxa"/>
              <w:end w:w="120" w:type="dxa"/>
            </w:tcMar>
            <w:vAlign w:val="center"/>
            <w:shd w:fill="000000"/>
          </w:tcPr>
          <w:p>
            <w:pPr>
              <w:spacing w:after="0"/>
            </w:pPr>
            <w:r/>
            <w:r>
              <w:rPr>
                <w:rFonts w:ascii="Arial" w:hAnsi="Arial" w:eastAsia="Arial"/>
                <w:b/>
                <w:i w:val="0"/>
                <w:color w:val="FFFFFF"/>
                <w:sz w:val="19"/>
              </w:rPr>
              <w:t>Name</w:t>
            </w:r>
          </w:p>
        </w:tc>
        <w:tc>
          <w:tcPr>
            <w:tcW w:type="dxa" w:w="3600"/>
            <w:tcMar>
              <w:top w:w="90" w:type="dxa"/>
              <w:start w:w="120" w:type="dxa"/>
              <w:bottom w:w="90" w:type="dxa"/>
              <w:end w:w="120" w:type="dxa"/>
            </w:tcMar>
            <w:vAlign w:val="center"/>
            <w:shd w:fill="000000"/>
          </w:tcPr>
          <w:p>
            <w:pPr>
              <w:spacing w:after="0"/>
            </w:pPr>
            <w:r/>
            <w:r>
              <w:rPr>
                <w:rFonts w:ascii="Arial" w:hAnsi="Arial" w:eastAsia="Arial"/>
                <w:b/>
                <w:i w:val="0"/>
                <w:color w:val="FFFFFF"/>
                <w:sz w:val="19"/>
              </w:rPr>
              <w:t>Review purpose</w:t>
            </w:r>
          </w:p>
        </w:tc>
        <w:tc>
          <w:tcPr>
            <w:tcW w:type="dxa" w:w="2040"/>
            <w:tcMar>
              <w:top w:w="90" w:type="dxa"/>
              <w:start w:w="120" w:type="dxa"/>
              <w:bottom w:w="90" w:type="dxa"/>
              <w:end w:w="120" w:type="dxa"/>
            </w:tcMar>
            <w:vAlign w:val="center"/>
            <w:shd w:fill="000000"/>
          </w:tcPr>
          <w:p>
            <w:pPr>
              <w:spacing w:after="0"/>
            </w:pPr>
            <w:r/>
            <w:r>
              <w:rPr>
                <w:rFonts w:ascii="Arial" w:hAnsi="Arial" w:eastAsia="Arial"/>
                <w:b/>
                <w:i w:val="0"/>
                <w:color w:val="FFFFFF"/>
                <w:sz w:val="19"/>
              </w:rPr>
              <w:t>Status</w:t>
            </w:r>
          </w:p>
        </w:tc>
      </w:tr>
      <w:tr>
        <w:tc>
          <w:tcPr>
            <w:tcW w:type="dxa" w:w="1800"/>
          </w:tcPr>
          <w:p>
            <w:pPr>
              <w:spacing w:after="0"/>
            </w:pPr>
            <w:r/>
            <w:r>
              <w:rPr>
                <w:rFonts w:ascii="Arial" w:hAnsi="Arial" w:eastAsia="Arial"/>
                <w:b/>
                <w:i w:val="0"/>
                <w:color w:val="000000"/>
                <w:sz w:val="18"/>
              </w:rPr>
              <w:t>Business owner</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Business outcome and acceptance</w:t>
            </w:r>
          </w:p>
        </w:tc>
        <w:tc>
          <w:tcPr>
            <w:tcW w:type="dxa" w:w="2040"/>
          </w:tcPr>
          <w:p>
            <w:pPr>
              <w:spacing w:after="0"/>
            </w:pPr>
            <w:r/>
            <w:r>
              <w:rPr>
                <w:rFonts w:ascii="Arial" w:hAnsi="Arial" w:eastAsia="Arial"/>
                <w:b w:val="0"/>
                <w:i w:val="0"/>
                <w:color w:val="000000"/>
                <w:sz w:val="18"/>
              </w:rPr>
              <w:t>[Pending / approved]</w:t>
            </w:r>
          </w:p>
        </w:tc>
      </w:tr>
      <w:tr>
        <w:tc>
          <w:tcPr>
            <w:tcW w:type="dxa" w:w="1800"/>
          </w:tcPr>
          <w:p>
            <w:pPr>
              <w:spacing w:after="0"/>
            </w:pPr>
            <w:r/>
            <w:r>
              <w:rPr>
                <w:rFonts w:ascii="Arial" w:hAnsi="Arial" w:eastAsia="Arial"/>
                <w:b/>
                <w:i w:val="0"/>
                <w:color w:val="000000"/>
                <w:sz w:val="18"/>
              </w:rPr>
              <w:t>ERP functional consultant</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Source/process semantics</w:t>
            </w:r>
          </w:p>
        </w:tc>
        <w:tc>
          <w:tcPr>
            <w:tcW w:type="dxa" w:w="2040"/>
          </w:tcPr>
          <w:p>
            <w:pPr>
              <w:spacing w:after="0"/>
            </w:pPr>
            <w:r/>
            <w:r>
              <w:rPr>
                <w:rFonts w:ascii="Arial" w:hAnsi="Arial" w:eastAsia="Arial"/>
                <w:b w:val="0"/>
                <w:i w:val="0"/>
                <w:color w:val="000000"/>
                <w:sz w:val="18"/>
              </w:rPr>
              <w:t>[Pending / approved]</w:t>
            </w:r>
          </w:p>
        </w:tc>
      </w:tr>
      <w:tr>
        <w:tc>
          <w:tcPr>
            <w:tcW w:type="dxa" w:w="1800"/>
          </w:tcPr>
          <w:p>
            <w:pPr>
              <w:spacing w:after="0"/>
            </w:pPr>
            <w:r/>
            <w:r>
              <w:rPr>
                <w:rFonts w:ascii="Arial" w:hAnsi="Arial" w:eastAsia="Arial"/>
                <w:b/>
                <w:i w:val="0"/>
                <w:color w:val="000000"/>
                <w:sz w:val="18"/>
              </w:rPr>
              <w:t>Data / BI owner</w:t>
            </w:r>
          </w:p>
        </w:tc>
        <w:tc>
          <w:tcPr>
            <w:tcW w:type="dxa" w:w="1800"/>
          </w:tcPr>
          <w:p>
            <w:pPr>
              <w:spacing w:after="0"/>
            </w:pPr>
            <w:r/>
            <w:r>
              <w:rPr>
                <w:rFonts w:ascii="Arial" w:hAnsi="Arial" w:eastAsia="Arial"/>
                <w:b w:val="0"/>
                <w:i w:val="0"/>
                <w:color w:val="000000"/>
                <w:sz w:val="18"/>
              </w:rPr>
              <w:t>[Name]</w:t>
            </w:r>
          </w:p>
        </w:tc>
        <w:tc>
          <w:tcPr>
            <w:tcW w:type="dxa" w:w="3600"/>
          </w:tcPr>
          <w:p>
            <w:pPr>
              <w:spacing w:after="0"/>
            </w:pPr>
            <w:r/>
            <w:r>
              <w:rPr>
                <w:rFonts w:ascii="Arial" w:hAnsi="Arial" w:eastAsia="Arial"/>
                <w:b w:val="0"/>
                <w:i w:val="0"/>
                <w:color w:val="000000"/>
                <w:sz w:val="18"/>
              </w:rPr>
              <w:t>Technical design and operability</w:t>
            </w:r>
          </w:p>
        </w:tc>
        <w:tc>
          <w:tcPr>
            <w:tcW w:type="dxa" w:w="2040"/>
          </w:tcPr>
          <w:p>
            <w:pPr>
              <w:spacing w:after="0"/>
            </w:pPr>
            <w:r/>
            <w:r>
              <w:rPr>
                <w:rFonts w:ascii="Arial" w:hAnsi="Arial" w:eastAsia="Arial"/>
                <w:b w:val="0"/>
                <w:i w:val="0"/>
                <w:color w:val="000000"/>
                <w:sz w:val="18"/>
              </w:rPr>
              <w:t>[Pending / approved]</w:t>
            </w:r>
          </w:p>
        </w:tc>
      </w:tr>
    </w:tbl>
    <w:p>
      <w:pPr>
        <w:spacing w:after="80" w:before="0" w:line="259" w:lineRule="auto"/>
      </w:pPr>
      <w:r>
        <w:rPr>
          <w:rFonts w:ascii="Arial" w:hAnsi="Arial" w:eastAsia="Arial"/>
          <w:b w:val="0"/>
          <w:i w:val="0"/>
          <w:color w:val="000000"/>
          <w:sz w:val="6"/>
        </w:rPr>
      </w:r>
    </w:p>
    <w:p>
      <w:pPr>
        <w:spacing w:before="100" w:after="160"/>
        <w:ind w:left="115" w:right="115"/>
        <w:shd w:fill="EAF3FB"/>
        <w:pBdr>
          <w:left w:val="single" w:sz="18" w:space="3" w:color="0000FF"/>
        </w:pBdr>
      </w:pPr>
      <w:r>
        <w:rPr>
          <w:rFonts w:ascii="Arial" w:hAnsi="Arial" w:eastAsia="Arial"/>
          <w:b/>
          <w:i w:val="0"/>
          <w:color w:val="000000"/>
          <w:sz w:val="20"/>
        </w:rPr>
        <w:t xml:space="preserve">Document rule.  </w:t>
      </w:r>
      <w:r>
        <w:rPr>
          <w:rFonts w:ascii="Arial" w:hAnsi="Arial" w:eastAsia="Arial"/>
          <w:b w:val="0"/>
          <w:i w:val="0"/>
          <w:color w:val="000000"/>
          <w:sz w:val="20"/>
        </w:rPr>
        <w:t>Only include sections that apply to the change. Preserve the end-to-end lineage, validation evidence and release decision for every delivery.</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Contents</w:t>
      </w:r>
    </w:p>
    <w:p>
      <w:pPr>
        <w:spacing w:after="100"/>
        <w:ind w:left="461"/>
      </w:pPr>
      <w:r>
        <w:rPr>
          <w:rFonts w:ascii="Arial" w:hAnsi="Arial" w:eastAsia="Arial"/>
          <w:b w:val="0"/>
          <w:i w:val="0"/>
          <w:color w:val="000000"/>
          <w:sz w:val="22"/>
        </w:rPr>
        <w:t>1. Business and technical overview</w:t>
      </w:r>
    </w:p>
    <w:p>
      <w:pPr>
        <w:spacing w:after="100"/>
        <w:ind w:left="461"/>
      </w:pPr>
      <w:r>
        <w:rPr>
          <w:rFonts w:ascii="Arial" w:hAnsi="Arial" w:eastAsia="Arial"/>
          <w:b w:val="0"/>
          <w:i w:val="0"/>
          <w:color w:val="000000"/>
          <w:sz w:val="22"/>
        </w:rPr>
        <w:t>2. Business logic and user outcome</w:t>
      </w:r>
    </w:p>
    <w:p>
      <w:pPr>
        <w:spacing w:after="100"/>
        <w:ind w:left="461"/>
      </w:pPr>
      <w:r>
        <w:rPr>
          <w:rFonts w:ascii="Arial" w:hAnsi="Arial" w:eastAsia="Arial"/>
          <w:b w:val="0"/>
          <w:i w:val="0"/>
          <w:color w:val="000000"/>
          <w:sz w:val="22"/>
        </w:rPr>
        <w:t>3. Controlled consumption architecture</w:t>
      </w:r>
    </w:p>
    <w:p>
      <w:pPr>
        <w:spacing w:after="100"/>
        <w:ind w:left="461"/>
      </w:pPr>
      <w:r>
        <w:rPr>
          <w:rFonts w:ascii="Arial" w:hAnsi="Arial" w:eastAsia="Arial"/>
          <w:b w:val="0"/>
          <w:i w:val="0"/>
          <w:color w:val="000000"/>
          <w:sz w:val="22"/>
        </w:rPr>
        <w:t>4. Data lineage and semantic contract</w:t>
      </w:r>
    </w:p>
    <w:p>
      <w:pPr>
        <w:spacing w:after="100"/>
        <w:ind w:left="461"/>
      </w:pPr>
      <w:r>
        <w:rPr>
          <w:rFonts w:ascii="Arial" w:hAnsi="Arial" w:eastAsia="Arial"/>
          <w:b w:val="0"/>
          <w:i w:val="0"/>
          <w:color w:val="000000"/>
          <w:sz w:val="22"/>
        </w:rPr>
        <w:t>5. Component design: DA / VI / RP / EX</w:t>
      </w:r>
    </w:p>
    <w:p>
      <w:pPr>
        <w:spacing w:after="100"/>
        <w:ind w:left="461"/>
      </w:pPr>
      <w:r>
        <w:rPr>
          <w:rFonts w:ascii="Arial" w:hAnsi="Arial" w:eastAsia="Arial"/>
          <w:b w:val="0"/>
          <w:i w:val="0"/>
          <w:color w:val="000000"/>
          <w:sz w:val="22"/>
        </w:rPr>
        <w:t>6. Validation, security and acceptance</w:t>
      </w:r>
    </w:p>
    <w:p>
      <w:pPr>
        <w:spacing w:after="100"/>
        <w:ind w:left="461"/>
      </w:pPr>
      <w:r>
        <w:rPr>
          <w:rFonts w:ascii="Arial" w:hAnsi="Arial" w:eastAsia="Arial"/>
          <w:b w:val="0"/>
          <w:i w:val="0"/>
          <w:color w:val="000000"/>
          <w:sz w:val="22"/>
        </w:rPr>
        <w:t>7. Operations, release and recovery</w:t>
      </w:r>
    </w:p>
    <w:p>
      <w:pPr>
        <w:spacing w:after="100"/>
        <w:ind w:left="461"/>
      </w:pPr>
      <w:r>
        <w:rPr>
          <w:rFonts w:ascii="Arial" w:hAnsi="Arial" w:eastAsia="Arial"/>
          <w:b w:val="0"/>
          <w:i w:val="0"/>
          <w:color w:val="000000"/>
          <w:sz w:val="22"/>
        </w:rPr>
        <w:t>Appendix A. Data dictionary and field controls</w:t>
      </w:r>
    </w:p>
    <w:p>
      <w:pPr>
        <w:spacing w:after="100"/>
        <w:ind w:left="461"/>
      </w:pPr>
      <w:r>
        <w:rPr>
          <w:rFonts w:ascii="Arial" w:hAnsi="Arial" w:eastAsia="Arial"/>
          <w:b w:val="0"/>
          <w:i w:val="0"/>
          <w:color w:val="000000"/>
          <w:sz w:val="22"/>
        </w:rPr>
        <w:t>Appendix B. Code, configuration and figure register</w:t>
      </w:r>
    </w:p>
    <w:p>
      <w:pPr>
        <w:spacing w:after="0" w:before="0" w:line="259" w:lineRule="auto"/>
      </w:pPr>
      <w:r>
        <w:rPr>
          <w:rFonts w:ascii="Arial" w:hAnsi="Arial" w:eastAsia="Arial"/>
          <w:b w:val="0"/>
          <w:i/>
          <w:color w:val="666666"/>
          <w:sz w:val="17"/>
        </w:rPr>
        <w:t>Tip: use Word headings when adding sections so the Table of Contents can be refreshed if a dynamic TOC is enabled in your corporate template.</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1. Business and Technical Overview</w:t>
      </w:r>
    </w:p>
    <w:p>
      <w:pPr>
        <w:spacing w:after="60" w:before="0" w:line="259" w:lineRule="auto"/>
      </w:pPr>
      <w:r>
        <w:rPr>
          <w:rFonts w:ascii="Arial" w:hAnsi="Arial" w:eastAsia="Arial"/>
          <w:b/>
          <w:i w:val="0"/>
          <w:color w:val="000000"/>
          <w:sz w:val="26"/>
        </w:rPr>
        <w:t>Purpose</w:t>
      </w:r>
    </w:p>
    <w:p>
      <w:pPr>
        <w:spacing w:after="120" w:before="0" w:line="259" w:lineRule="auto"/>
      </w:pPr>
      <w:r>
        <w:rPr>
          <w:rFonts w:ascii="Arial" w:hAnsi="Arial" w:eastAsia="Arial"/>
          <w:b w:val="0"/>
          <w:i w:val="0"/>
          <w:color w:val="000000"/>
          <w:sz w:val="21"/>
        </w:rPr>
        <w:t>Provide APAC business teams with a governed and reusable way to consume Global EDI-curated data in dashboards, structured reports and authorised extensions.</w:t>
      </w:r>
    </w:p>
    <w:p>
      <w:pPr>
        <w:spacing w:after="60" w:before="0" w:line="259" w:lineRule="auto"/>
      </w:pPr>
      <w:r>
        <w:rPr>
          <w:rFonts w:ascii="Arial" w:hAnsi="Arial" w:eastAsia="Arial"/>
          <w:b/>
          <w:i w:val="0"/>
          <w:color w:val="000000"/>
          <w:sz w:val="26"/>
        </w:rPr>
        <w:t>Business outcome</w:t>
      </w:r>
    </w:p>
    <w:p>
      <w:pPr>
        <w:spacing w:after="120" w:before="0" w:line="259" w:lineRule="auto"/>
      </w:pPr>
      <w:r>
        <w:rPr>
          <w:rFonts w:ascii="Arial" w:hAnsi="Arial" w:eastAsia="Arial"/>
          <w:b w:val="0"/>
          <w:i w:val="0"/>
          <w:color w:val="000000"/>
          <w:sz w:val="21"/>
        </w:rPr>
        <w:t>Users receive consistent metrics and traceable data definitions for recurring operational and finance decisions, without relying on manual extracts or rebuilding upstream ETL.</w:t>
      </w:r>
    </w:p>
    <w:p>
      <w:pPr>
        <w:spacing w:after="60" w:before="0" w:line="259" w:lineRule="auto"/>
      </w:pPr>
      <w:r>
        <w:rPr>
          <w:rFonts w:ascii="Arial" w:hAnsi="Arial" w:eastAsia="Arial"/>
          <w:b/>
          <w:i w:val="0"/>
          <w:color w:val="000000"/>
          <w:sz w:val="26"/>
        </w:rPr>
        <w:t>Architecture intent</w:t>
      </w:r>
    </w:p>
    <w:p>
      <w:pPr>
        <w:spacing w:after="120" w:before="0" w:line="259" w:lineRule="auto"/>
      </w:pPr>
      <w:r>
        <w:rPr>
          <w:rFonts w:ascii="Arial" w:hAnsi="Arial" w:eastAsia="Arial"/>
          <w:b w:val="0"/>
          <w:i w:val="0"/>
          <w:color w:val="000000"/>
          <w:sz w:val="21"/>
        </w:rPr>
        <w:t>Global EDI remains the authoritative team for source extraction, ETL and the Gold View. SW Data Mart is a governed consumption capability: it applies only the APAC logic required to make that curated output usable, stable and secure for local consumers.</w:t>
      </w:r>
    </w:p>
    <w:p>
      <w:pPr>
        <w:spacing w:before="100" w:after="160"/>
        <w:ind w:left="115" w:right="115"/>
        <w:shd w:fill="EAF3FB"/>
        <w:pBdr>
          <w:left w:val="single" w:sz="18" w:space="3" w:color="0000FF"/>
        </w:pBdr>
      </w:pPr>
      <w:r>
        <w:rPr>
          <w:rFonts w:ascii="Arial" w:hAnsi="Arial" w:eastAsia="Arial"/>
          <w:b/>
          <w:i w:val="0"/>
          <w:color w:val="000000"/>
          <w:sz w:val="20"/>
        </w:rPr>
        <w:t xml:space="preserve">Boundary of responsibility.  </w:t>
      </w:r>
      <w:r>
        <w:rPr>
          <w:rFonts w:ascii="Arial" w:hAnsi="Arial" w:eastAsia="Arial"/>
          <w:b w:val="0"/>
          <w:i w:val="0"/>
          <w:color w:val="000000"/>
          <w:sz w:val="20"/>
        </w:rPr>
        <w:t>Global EDI owns source-to-Gold-View extraction and upstream ETL. APAC owns documented consumption logic, local semantic definitions, output experience, validation and support for its approved downstream deliverables.</w:t>
      </w:r>
    </w:p>
    <w:p>
      <w:pPr>
        <w:spacing w:after="80" w:before="160" w:line="259" w:lineRule="auto"/>
        <w:pBdr>
          <w:bottom w:val="single" w:sz="8" w:space="1" w:color="000000"/>
        </w:pBdr>
        <w:keepNext/>
      </w:pPr>
      <w:r>
        <w:rPr>
          <w:rFonts w:ascii="Arial" w:hAnsi="Arial" w:eastAsia="Arial"/>
          <w:b/>
          <w:i w:val="0"/>
          <w:color w:val="000000"/>
          <w:sz w:val="26"/>
        </w:rPr>
        <w:t>Scope and exclusions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tcMar>
              <w:top w:w="90" w:type="dxa"/>
              <w:start w:w="120" w:type="dxa"/>
              <w:bottom w:w="90" w:type="dxa"/>
              <w:end w:w="120" w:type="dxa"/>
            </w:tcMar>
            <w:vAlign w:val="center"/>
            <w:shd w:fill="000000"/>
          </w:tcPr>
          <w:p>
            <w:pPr>
              <w:spacing w:after="0"/>
            </w:pPr>
            <w:r/>
            <w:r>
              <w:rPr>
                <w:rFonts w:ascii="Arial" w:hAnsi="Arial" w:eastAsia="Arial"/>
                <w:b/>
                <w:i w:val="0"/>
                <w:color w:val="FFFFFF"/>
                <w:sz w:val="19"/>
              </w:rPr>
              <w:t>In scope</w:t>
            </w:r>
          </w:p>
        </w:tc>
        <w:tc>
          <w:tcPr>
            <w:tcW w:type="dxa" w:w="4680"/>
            <w:tcMar>
              <w:top w:w="90" w:type="dxa"/>
              <w:start w:w="120" w:type="dxa"/>
              <w:bottom w:w="90" w:type="dxa"/>
              <w:end w:w="120" w:type="dxa"/>
            </w:tcMar>
            <w:vAlign w:val="center"/>
            <w:shd w:fill="000000"/>
          </w:tcPr>
          <w:p>
            <w:pPr>
              <w:spacing w:after="0"/>
            </w:pPr>
            <w:r/>
            <w:r>
              <w:rPr>
                <w:rFonts w:ascii="Arial" w:hAnsi="Arial" w:eastAsia="Arial"/>
                <w:b/>
                <w:i w:val="0"/>
                <w:color w:val="FFFFFF"/>
                <w:sz w:val="19"/>
              </w:rPr>
              <w:t>Out of scope</w:t>
            </w:r>
          </w:p>
        </w:tc>
      </w:tr>
      <w:tr>
        <w:tc>
          <w:tcPr>
            <w:tcW w:type="dxa" w:w="4680"/>
          </w:tcPr>
          <w:p>
            <w:pPr>
              <w:spacing w:after="0"/>
            </w:pPr>
            <w:r/>
            <w:r>
              <w:rPr>
                <w:rFonts w:ascii="Arial" w:hAnsi="Arial" w:eastAsia="Arial"/>
                <w:b/>
                <w:i w:val="0"/>
                <w:color w:val="000000"/>
                <w:sz w:val="18"/>
              </w:rPr>
              <w:t>APAC consumption views, business definitions, dashboards, reports and approved extensions that use named Global EDI Gold View objects.</w:t>
            </w:r>
          </w:p>
        </w:tc>
        <w:tc>
          <w:tcPr>
            <w:tcW w:type="dxa" w:w="4680"/>
          </w:tcPr>
          <w:p>
            <w:pPr>
              <w:spacing w:after="0"/>
            </w:pPr>
            <w:r/>
            <w:r>
              <w:rPr>
                <w:rFonts w:ascii="Arial" w:hAnsi="Arial" w:eastAsia="Arial"/>
                <w:b w:val="0"/>
                <w:i w:val="0"/>
                <w:color w:val="000000"/>
                <w:sz w:val="18"/>
              </w:rPr>
              <w:t>Source-system extraction, enterprise ETL redesign, changes to Global EDI Gold View logic unless raised and approved through the Global EDI process.</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2. Business Logic and User Outcome</w:t>
      </w:r>
    </w:p>
    <w:p>
      <w:pPr>
        <w:spacing w:after="80" w:before="160" w:line="259" w:lineRule="auto"/>
        <w:pBdr>
          <w:bottom w:val="single" w:sz="8" w:space="1" w:color="000000"/>
        </w:pBdr>
        <w:keepNext/>
      </w:pPr>
      <w:r>
        <w:rPr>
          <w:rFonts w:ascii="Arial" w:hAnsi="Arial" w:eastAsia="Arial"/>
          <w:b/>
          <w:i w:val="0"/>
          <w:color w:val="000000"/>
          <w:sz w:val="26"/>
        </w:rPr>
        <w:t>Decision and business rules</w:t>
      </w:r>
    </w:p>
    <w:p>
      <w:pPr>
        <w:spacing w:after="120" w:before="0" w:line="259" w:lineRule="auto"/>
      </w:pPr>
      <w:r>
        <w:rPr>
          <w:rFonts w:ascii="Arial" w:hAnsi="Arial" w:eastAsia="Arial"/>
          <w:b w:val="0"/>
          <w:i w:val="0"/>
          <w:color w:val="000000"/>
          <w:sz w:val="21"/>
        </w:rPr>
        <w:t>Each published metric must have one declared grain, a named business owner, an approved period and currency policy, and an explicit treatment for exclusions, late changes and Finance overrides.</w:t>
      </w:r>
    </w:p>
    <w:tbl>
      <w:tblPr>
        <w:tblStyle w:val="TableGrid"/>
        <w:tblW w:type="dxa" w:w="9360"/>
        <w:jc w:val="left"/>
        <w:tblLayout w:type="fixed"/>
        <w:tblLook w:firstColumn="1" w:firstRow="1" w:lastColumn="0" w:lastRow="0" w:noHBand="0" w:noVBand="1" w:val="04A0"/>
        <w:tblInd w:w="120" w:type="dxa"/>
      </w:tblPr>
      <w:tblGrid>
        <w:gridCol w:w="2100"/>
        <w:gridCol w:w="5000"/>
        <w:gridCol w:w="226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Rule / measure</w:t>
            </w:r>
          </w:p>
        </w:tc>
        <w:tc>
          <w:tcPr>
            <w:tcW w:type="dxa" w:w="50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Definition and grain</w:t>
            </w:r>
          </w:p>
        </w:tc>
        <w:tc>
          <w:tcPr>
            <w:tcW w:type="dxa" w:w="2260"/>
            <w:tcMar>
              <w:top w:w="90" w:type="dxa"/>
              <w:start w:w="120" w:type="dxa"/>
              <w:bottom w:w="90" w:type="dxa"/>
              <w:end w:w="120" w:type="dxa"/>
            </w:tcMar>
            <w:vAlign w:val="center"/>
            <w:shd w:fill="000000"/>
          </w:tcPr>
          <w:p>
            <w:pPr>
              <w:spacing w:after="0"/>
            </w:pPr>
            <w:r/>
            <w:r>
              <w:rPr>
                <w:rFonts w:ascii="Arial" w:hAnsi="Arial" w:eastAsia="Arial"/>
                <w:b/>
                <w:i w:val="0"/>
                <w:color w:val="FFFFFF"/>
                <w:sz w:val="19"/>
              </w:rPr>
              <w:t>Owner / approver</w:t>
            </w:r>
          </w:p>
        </w:tc>
      </w:tr>
      <w:tr>
        <w:tc>
          <w:tcPr>
            <w:tcW w:type="dxa" w:w="2100"/>
          </w:tcPr>
          <w:p>
            <w:pPr>
              <w:spacing w:after="0"/>
            </w:pPr>
            <w:r/>
            <w:r>
              <w:rPr>
                <w:rFonts w:ascii="Arial" w:hAnsi="Arial" w:eastAsia="Arial"/>
                <w:b/>
                <w:i w:val="0"/>
                <w:color w:val="000000"/>
                <w:sz w:val="18"/>
              </w:rPr>
              <w:t>Net sales</w:t>
            </w:r>
          </w:p>
        </w:tc>
        <w:tc>
          <w:tcPr>
            <w:tcW w:type="dxa" w:w="5000"/>
          </w:tcPr>
          <w:p>
            <w:pPr>
              <w:spacing w:after="0"/>
            </w:pPr>
            <w:r/>
            <w:r>
              <w:rPr>
                <w:rFonts w:ascii="Arial" w:hAnsi="Arial" w:eastAsia="Arial"/>
                <w:b w:val="0"/>
                <w:i w:val="0"/>
                <w:color w:val="000000"/>
                <w:sz w:val="18"/>
              </w:rPr>
              <w:t>Recognised sales at customer-product-period grain, after approved adjustments.</w:t>
            </w:r>
          </w:p>
        </w:tc>
        <w:tc>
          <w:tcPr>
            <w:tcW w:type="dxa" w:w="2260"/>
          </w:tcPr>
          <w:p>
            <w:pPr>
              <w:spacing w:after="0"/>
            </w:pPr>
            <w:r/>
            <w:r>
              <w:rPr>
                <w:rFonts w:ascii="Arial" w:hAnsi="Arial" w:eastAsia="Arial"/>
                <w:b w:val="0"/>
                <w:i w:val="0"/>
                <w:color w:val="000000"/>
                <w:sz w:val="18"/>
              </w:rPr>
              <w:t>Finance business owner</w:t>
            </w:r>
          </w:p>
        </w:tc>
      </w:tr>
      <w:tr>
        <w:tc>
          <w:tcPr>
            <w:tcW w:type="dxa" w:w="2100"/>
          </w:tcPr>
          <w:p>
            <w:pPr>
              <w:spacing w:after="0"/>
            </w:pPr>
            <w:r/>
            <w:r>
              <w:rPr>
                <w:rFonts w:ascii="Arial" w:hAnsi="Arial" w:eastAsia="Arial"/>
                <w:b/>
                <w:i w:val="0"/>
                <w:color w:val="000000"/>
                <w:sz w:val="18"/>
              </w:rPr>
              <w:t>Order fulfilment</w:t>
            </w:r>
          </w:p>
        </w:tc>
        <w:tc>
          <w:tcPr>
            <w:tcW w:type="dxa" w:w="5000"/>
          </w:tcPr>
          <w:p>
            <w:pPr>
              <w:spacing w:after="0"/>
            </w:pPr>
            <w:r/>
            <w:r>
              <w:rPr>
                <w:rFonts w:ascii="Arial" w:hAnsi="Arial" w:eastAsia="Arial"/>
                <w:b w:val="0"/>
                <w:i w:val="0"/>
                <w:color w:val="000000"/>
                <w:sz w:val="18"/>
              </w:rPr>
              <w:t>Order-line outcome assessed against confirmed delivery commitment.</w:t>
            </w:r>
          </w:p>
        </w:tc>
        <w:tc>
          <w:tcPr>
            <w:tcW w:type="dxa" w:w="2260"/>
          </w:tcPr>
          <w:p>
            <w:pPr>
              <w:spacing w:after="0"/>
            </w:pPr>
            <w:r/>
            <w:r>
              <w:rPr>
                <w:rFonts w:ascii="Arial" w:hAnsi="Arial" w:eastAsia="Arial"/>
                <w:b w:val="0"/>
                <w:i w:val="0"/>
                <w:color w:val="000000"/>
                <w:sz w:val="18"/>
              </w:rPr>
              <w:t>Operations owner</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User experience and output</w:t>
      </w:r>
    </w:p>
    <w:p>
      <w:pPr>
        <w:spacing w:after="120" w:before="0" w:line="259" w:lineRule="auto"/>
      </w:pPr>
      <w:r>
        <w:rPr>
          <w:rFonts w:ascii="Arial" w:hAnsi="Arial" w:eastAsia="Arial"/>
          <w:b w:val="0"/>
          <w:i w:val="0"/>
          <w:color w:val="000000"/>
          <w:sz w:val="21"/>
        </w:rPr>
        <w:t>Business users access approved dashboards and reports with a common definition set, discover the responsible owner, and drill to the record context allowed by their security entitlement.</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Business journey, dashboard wireframe or report sample</w:t>
        <w:br/>
      </w:r>
      <w:r>
        <w:rPr>
          <w:rFonts w:ascii="Arial" w:hAnsi="Arial" w:eastAsia="Arial"/>
          <w:b w:val="0"/>
          <w:i/>
          <w:color w:val="666666"/>
          <w:sz w:val="19"/>
        </w:rPr>
        <w:t>Insert a diagram or screenshot that makes the intended user action clear. Use callouts to explain what the user can decide or do.</w:t>
      </w:r>
    </w:p>
    <w:p>
      <w:pPr>
        <w:spacing w:after="140" w:before="0" w:line="259" w:lineRule="auto"/>
      </w:pPr>
      <w:r>
        <w:rPr>
          <w:rFonts w:ascii="Arial" w:hAnsi="Arial" w:eastAsia="Arial"/>
          <w:b w:val="0"/>
          <w:i/>
          <w:color w:val="666666"/>
          <w:sz w:val="17"/>
        </w:rPr>
        <w:t>Figure [#]. [Replace with a concise, meaningful caption.]</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3. Controlled Consumption Architecture</w:t>
      </w:r>
    </w:p>
    <w:p>
      <w:pPr>
        <w:spacing w:after="120" w:before="0" w:line="259" w:lineRule="auto"/>
      </w:pPr>
      <w:r>
        <w:rPr>
          <w:rFonts w:ascii="Arial" w:hAnsi="Arial" w:eastAsia="Arial"/>
          <w:b w:val="0"/>
          <w:i w:val="0"/>
          <w:color w:val="000000"/>
          <w:sz w:val="21"/>
        </w:rPr>
        <w:t>The architecture is deliberately described as a consumption pattern, not as a second enterprise ingestion platform. The approved upstream starting point is the named Global EDI Gold View. The APAC delivery team only adds local logic when it is necessary to provide an agreed consumer contract.</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Global EDI Gold View → APAC consumption views / semantic model → authorised outputs</w:t>
        <w:br/>
      </w:r>
      <w:r>
        <w:rPr>
          <w:rFonts w:ascii="Arial" w:hAnsi="Arial" w:eastAsia="Arial"/>
          <w:b w:val="0"/>
          <w:i/>
          <w:color w:val="666666"/>
          <w:sz w:val="19"/>
        </w:rPr>
        <w:t>Show ownership boundaries. Global EDI is upstream owner; APAC owns documented consumption logic; dashboards, reports and extensions consume only approved views or semantic models.</w:t>
      </w:r>
    </w:p>
    <w:p>
      <w:pPr>
        <w:spacing w:after="140" w:before="0" w:line="259" w:lineRule="auto"/>
      </w:pPr>
      <w:r>
        <w:rPr>
          <w:rFonts w:ascii="Arial" w:hAnsi="Arial" w:eastAsia="Arial"/>
          <w:b w:val="0"/>
          <w:i/>
          <w:color w:val="666666"/>
          <w:sz w:val="17"/>
        </w:rPr>
        <w:t>Figure [#]. [Replace with a concise, meaningful caption.]</w:t>
      </w:r>
    </w:p>
    <w:p>
      <w:pPr>
        <w:spacing w:after="80" w:before="160" w:line="259" w:lineRule="auto"/>
        <w:pBdr>
          <w:bottom w:val="single" w:sz="8" w:space="1" w:color="000000"/>
        </w:pBdr>
        <w:keepNext/>
      </w:pPr>
      <w:r>
        <w:rPr>
          <w:rFonts w:ascii="Arial" w:hAnsi="Arial" w:eastAsia="Arial"/>
          <w:b/>
          <w:i w:val="0"/>
          <w:color w:val="000000"/>
          <w:sz w:val="26"/>
        </w:rPr>
        <w:t>Local processing pattern</w:t>
      </w:r>
    </w:p>
    <w:p>
      <w:pPr>
        <w:spacing w:after="120" w:before="0" w:line="259" w:lineRule="auto"/>
      </w:pPr>
      <w:r>
        <w:rPr>
          <w:rFonts w:ascii="Arial" w:hAnsi="Arial" w:eastAsia="Arial"/>
          <w:b w:val="0"/>
          <w:i w:val="0"/>
          <w:color w:val="000000"/>
          <w:sz w:val="21"/>
        </w:rPr>
        <w:t>Use the already implemented RC / SC / TC object names where needed for delivery traceability. Describe their job in functional terms: integration staging, optional local harmonisation, and certified consumption views. Do not present them as a separate enterprise data platform.</w:t>
      </w:r>
    </w:p>
    <w:tbl>
      <w:tblPr>
        <w:tblStyle w:val="TableGrid"/>
        <w:tblW w:type="dxa" w:w="9360"/>
        <w:jc w:val="left"/>
        <w:tblLayout w:type="fixed"/>
        <w:tblLook w:firstColumn="1" w:firstRow="1" w:lastColumn="0" w:lastRow="0" w:noHBand="0" w:noVBand="1" w:val="04A0"/>
        <w:tblInd w:w="120" w:type="dxa"/>
      </w:tblPr>
      <w:tblGrid>
        <w:gridCol w:w="2200"/>
        <w:gridCol w:w="3940"/>
        <w:gridCol w:w="3220"/>
      </w:tblGrid>
      <w:tr>
        <w:tc>
          <w:tcPr>
            <w:tcW w:type="dxa" w:w="2200"/>
            <w:tcMar>
              <w:top w:w="90" w:type="dxa"/>
              <w:start w:w="120" w:type="dxa"/>
              <w:bottom w:w="90" w:type="dxa"/>
              <w:end w:w="120" w:type="dxa"/>
            </w:tcMar>
            <w:vAlign w:val="center"/>
            <w:shd w:fill="000000"/>
          </w:tcPr>
          <w:p>
            <w:pPr>
              <w:spacing w:after="0"/>
            </w:pPr>
            <w:r/>
            <w:r>
              <w:rPr>
                <w:rFonts w:ascii="Arial" w:hAnsi="Arial" w:eastAsia="Arial"/>
                <w:b/>
                <w:i w:val="0"/>
                <w:color w:val="FFFFFF"/>
                <w:sz w:val="19"/>
              </w:rPr>
              <w:t>Logical function</w:t>
            </w:r>
          </w:p>
        </w:tc>
        <w:tc>
          <w:tcPr>
            <w:tcW w:type="dxa" w:w="3940"/>
            <w:tcMar>
              <w:top w:w="90" w:type="dxa"/>
              <w:start w:w="120" w:type="dxa"/>
              <w:bottom w:w="90" w:type="dxa"/>
              <w:end w:w="120" w:type="dxa"/>
            </w:tcMar>
            <w:vAlign w:val="center"/>
            <w:shd w:fill="000000"/>
          </w:tcPr>
          <w:p>
            <w:pPr>
              <w:spacing w:after="0"/>
            </w:pPr>
            <w:r/>
            <w:r>
              <w:rPr>
                <w:rFonts w:ascii="Arial" w:hAnsi="Arial" w:eastAsia="Arial"/>
                <w:b/>
                <w:i w:val="0"/>
                <w:color w:val="FFFFFF"/>
                <w:sz w:val="19"/>
              </w:rPr>
              <w:t>When used</w:t>
            </w:r>
          </w:p>
        </w:tc>
        <w:tc>
          <w:tcPr>
            <w:tcW w:type="dxa" w:w="322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Consumer rule</w:t>
            </w:r>
          </w:p>
        </w:tc>
      </w:tr>
      <w:tr>
        <w:tc>
          <w:tcPr>
            <w:tcW w:type="dxa" w:w="2200"/>
          </w:tcPr>
          <w:p>
            <w:pPr>
              <w:spacing w:after="0"/>
            </w:pPr>
            <w:r/>
            <w:r>
              <w:rPr>
                <w:rFonts w:ascii="Arial" w:hAnsi="Arial" w:eastAsia="Arial"/>
                <w:b/>
                <w:i w:val="0"/>
                <w:color w:val="000000"/>
                <w:sz w:val="18"/>
              </w:rPr>
              <w:t>Integration staging (RC)</w:t>
            </w:r>
          </w:p>
        </w:tc>
        <w:tc>
          <w:tcPr>
            <w:tcW w:type="dxa" w:w="3940"/>
          </w:tcPr>
          <w:p>
            <w:pPr>
              <w:spacing w:after="0"/>
            </w:pPr>
            <w:r/>
            <w:r>
              <w:rPr>
                <w:rFonts w:ascii="Arial" w:hAnsi="Arial" w:eastAsia="Arial"/>
                <w:b w:val="0"/>
                <w:i w:val="0"/>
                <w:color w:val="000000"/>
                <w:sz w:val="18"/>
              </w:rPr>
              <w:t>Combine approved Gold View objects while retaining source keys and audit attributes.</w:t>
            </w:r>
          </w:p>
        </w:tc>
        <w:tc>
          <w:tcPr>
            <w:tcW w:type="dxa" w:w="3220"/>
          </w:tcPr>
          <w:p>
            <w:pPr>
              <w:spacing w:after="0"/>
            </w:pPr>
            <w:r/>
            <w:r>
              <w:rPr>
                <w:rFonts w:ascii="Arial" w:hAnsi="Arial" w:eastAsia="Arial"/>
                <w:b w:val="0"/>
                <w:i w:val="0"/>
                <w:color w:val="000000"/>
                <w:sz w:val="18"/>
              </w:rPr>
              <w:t>Not a direct end-user or BI consumption source.</w:t>
            </w:r>
          </w:p>
        </w:tc>
      </w:tr>
      <w:tr>
        <w:tc>
          <w:tcPr>
            <w:tcW w:type="dxa" w:w="2200"/>
          </w:tcPr>
          <w:p>
            <w:pPr>
              <w:spacing w:after="0"/>
            </w:pPr>
            <w:r/>
            <w:r>
              <w:rPr>
                <w:rFonts w:ascii="Arial" w:hAnsi="Arial" w:eastAsia="Arial"/>
                <w:b/>
                <w:i w:val="0"/>
                <w:color w:val="000000"/>
                <w:sz w:val="18"/>
              </w:rPr>
              <w:t>Optional local harmonisation (SC)</w:t>
            </w:r>
          </w:p>
        </w:tc>
        <w:tc>
          <w:tcPr>
            <w:tcW w:type="dxa" w:w="3940"/>
          </w:tcPr>
          <w:p>
            <w:pPr>
              <w:spacing w:after="0"/>
            </w:pPr>
            <w:r/>
            <w:r>
              <w:rPr>
                <w:rFonts w:ascii="Arial" w:hAnsi="Arial" w:eastAsia="Arial"/>
                <w:b w:val="0"/>
                <w:i w:val="0"/>
                <w:color w:val="000000"/>
                <w:sz w:val="18"/>
              </w:rPr>
              <w:t>Apply justified local correction, mapping or enrichment that cannot be represented safely at serving time.</w:t>
            </w:r>
          </w:p>
        </w:tc>
        <w:tc>
          <w:tcPr>
            <w:tcW w:type="dxa" w:w="3220"/>
          </w:tcPr>
          <w:p>
            <w:pPr>
              <w:spacing w:after="0"/>
            </w:pPr>
            <w:r/>
            <w:r>
              <w:rPr>
                <w:rFonts w:ascii="Arial" w:hAnsi="Arial" w:eastAsia="Arial"/>
                <w:b w:val="0"/>
                <w:i w:val="0"/>
                <w:color w:val="000000"/>
                <w:sz w:val="18"/>
              </w:rPr>
              <w:t>Use only where documented business logic requires it.</w:t>
            </w:r>
          </w:p>
        </w:tc>
      </w:tr>
      <w:tr>
        <w:tc>
          <w:tcPr>
            <w:tcW w:type="dxa" w:w="2200"/>
          </w:tcPr>
          <w:p>
            <w:pPr>
              <w:spacing w:after="0"/>
            </w:pPr>
            <w:r/>
            <w:r>
              <w:rPr>
                <w:rFonts w:ascii="Arial" w:hAnsi="Arial" w:eastAsia="Arial"/>
                <w:b/>
                <w:i w:val="0"/>
                <w:color w:val="000000"/>
                <w:sz w:val="18"/>
              </w:rPr>
              <w:t>Certified consumption view (TC)</w:t>
            </w:r>
          </w:p>
        </w:tc>
        <w:tc>
          <w:tcPr>
            <w:tcW w:type="dxa" w:w="3940"/>
          </w:tcPr>
          <w:p>
            <w:pPr>
              <w:spacing w:after="0"/>
            </w:pPr>
            <w:r/>
            <w:r>
              <w:rPr>
                <w:rFonts w:ascii="Arial" w:hAnsi="Arial" w:eastAsia="Arial"/>
                <w:b w:val="0"/>
                <w:i w:val="0"/>
                <w:color w:val="000000"/>
                <w:sz w:val="18"/>
              </w:rPr>
              <w:t>Publish stable business fields, approved measures and ownership metadata.</w:t>
            </w:r>
          </w:p>
        </w:tc>
        <w:tc>
          <w:tcPr>
            <w:tcW w:type="dxa" w:w="3220"/>
          </w:tcPr>
          <w:p>
            <w:pPr>
              <w:spacing w:after="0"/>
            </w:pPr>
            <w:r/>
            <w:r>
              <w:rPr>
                <w:rFonts w:ascii="Arial" w:hAnsi="Arial" w:eastAsia="Arial"/>
                <w:b w:val="0"/>
                <w:i w:val="0"/>
                <w:color w:val="000000"/>
                <w:sz w:val="18"/>
              </w:rPr>
              <w:t>Dashboards, reports and extensions consume this view or its approved semantic model.</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4. Data Lineage and Semantic Contract</w:t>
      </w:r>
    </w:p>
    <w:p>
      <w:pPr>
        <w:spacing w:after="80" w:before="160" w:line="259" w:lineRule="auto"/>
        <w:pBdr>
          <w:bottom w:val="single" w:sz="8" w:space="1" w:color="000000"/>
        </w:pBdr>
        <w:keepNext/>
      </w:pPr>
      <w:r>
        <w:rPr>
          <w:rFonts w:ascii="Arial" w:hAnsi="Arial" w:eastAsia="Arial"/>
          <w:b/>
          <w:i w:val="0"/>
          <w:color w:val="000000"/>
          <w:sz w:val="26"/>
        </w:rPr>
        <w:t>Lineage narrative</w:t>
      </w:r>
    </w:p>
    <w:p>
      <w:pPr>
        <w:spacing w:after="120" w:before="0" w:line="259" w:lineRule="auto"/>
      </w:pPr>
      <w:r>
        <w:rPr>
          <w:rFonts w:ascii="Arial" w:hAnsi="Arial" w:eastAsia="Arial"/>
          <w:b w:val="0"/>
          <w:i w:val="0"/>
          <w:color w:val="000000"/>
          <w:sz w:val="21"/>
        </w:rPr>
        <w:t>Every release traces one named Global EDI Gold View object through any approved APAC consumption processing, into a certified view or semantic model, and finally into a named dashboard, report or extension.</w:t>
      </w:r>
    </w:p>
    <w:p>
      <w:pPr>
        <w:spacing w:before="120" w:after="40" w:line="259" w:lineRule="auto"/>
        <w:ind w:left="173" w:right="173"/>
        <w:shd w:fill="F2F4F7"/>
        <w:pBdr>
          <w:top w:val="single" w:sz="8" w:space="1" w:color="A6A6A6"/>
          <w:left w:val="single" w:sz="8" w:space="1" w:color="A6A6A6"/>
          <w:bottom w:val="single" w:sz="8" w:space="1" w:color="A6A6A6"/>
          <w:right w:val="single" w:sz="8" w:space="1" w:color="A6A6A6"/>
        </w:pBdr>
      </w:pPr>
      <w:r>
        <w:rPr>
          <w:rFonts w:ascii="Arial" w:hAnsi="Arial" w:eastAsia="Arial"/>
          <w:b/>
          <w:i w:val="0"/>
          <w:color w:val="0000FF"/>
          <w:sz w:val="20"/>
        </w:rPr>
        <w:t>FIGURE PLACEHOLDER</w:t>
        <w:br/>
      </w:r>
      <w:r>
        <w:rPr>
          <w:rFonts w:ascii="Arial" w:hAnsi="Arial" w:eastAsia="Arial"/>
          <w:b/>
          <w:i w:val="0"/>
          <w:color w:val="000000"/>
          <w:sz w:val="26"/>
        </w:rPr>
        <w:t>End-to-end lineage</w:t>
        <w:br/>
      </w:r>
      <w:r>
        <w:rPr>
          <w:rFonts w:ascii="Arial" w:hAnsi="Arial" w:eastAsia="Arial"/>
          <w:b w:val="0"/>
          <w:i/>
          <w:color w:val="666666"/>
          <w:sz w:val="19"/>
        </w:rPr>
        <w:t>Insert the current lineage diagram. Include object names, ownership boundary, refresh frequency and links to source-to-target mapping.</w:t>
      </w:r>
    </w:p>
    <w:p>
      <w:pPr>
        <w:spacing w:after="140" w:before="0" w:line="259" w:lineRule="auto"/>
      </w:pPr>
      <w:r>
        <w:rPr>
          <w:rFonts w:ascii="Arial" w:hAnsi="Arial" w:eastAsia="Arial"/>
          <w:b w:val="0"/>
          <w:i/>
          <w:color w:val="666666"/>
          <w:sz w:val="17"/>
        </w:rPr>
        <w:t>Figure [#]. [Replace with a concise, meaningful caption.]</w:t>
      </w:r>
    </w:p>
    <w:p>
      <w:pPr>
        <w:spacing w:after="80" w:before="160" w:line="259" w:lineRule="auto"/>
        <w:pBdr>
          <w:bottom w:val="single" w:sz="8" w:space="1" w:color="000000"/>
        </w:pBdr>
        <w:keepNext/>
      </w:pPr>
      <w:r>
        <w:rPr>
          <w:rFonts w:ascii="Arial" w:hAnsi="Arial" w:eastAsia="Arial"/>
          <w:b/>
          <w:i w:val="0"/>
          <w:color w:val="000000"/>
          <w:sz w:val="26"/>
        </w:rPr>
        <w:t>Semantic contract</w:t>
      </w:r>
    </w:p>
    <w:tbl>
      <w:tblPr>
        <w:tblStyle w:val="TableGrid"/>
        <w:tblW w:type="dxa" w:w="9360"/>
        <w:jc w:val="left"/>
        <w:tblLayout w:type="fixed"/>
        <w:tblLook w:firstColumn="1" w:firstRow="1" w:lastColumn="0" w:lastRow="0" w:noHBand="0" w:noVBand="1" w:val="04A0"/>
        <w:tblInd w:w="120" w:type="dxa"/>
      </w:tblPr>
      <w:tblGrid>
        <w:gridCol w:w="2100"/>
        <w:gridCol w:w="726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Element</w:t>
            </w:r>
          </w:p>
        </w:tc>
        <w:tc>
          <w:tcPr>
            <w:tcW w:type="dxa" w:w="7260"/>
            <w:tcMar>
              <w:top w:w="90" w:type="dxa"/>
              <w:start w:w="120" w:type="dxa"/>
              <w:bottom w:w="90" w:type="dxa"/>
              <w:end w:w="120" w:type="dxa"/>
            </w:tcMar>
            <w:vAlign w:val="center"/>
            <w:shd w:fill="000000"/>
          </w:tcPr>
          <w:p>
            <w:pPr>
              <w:spacing w:after="0"/>
            </w:pPr>
            <w:r/>
            <w:r>
              <w:rPr>
                <w:rFonts w:ascii="Arial" w:hAnsi="Arial" w:eastAsia="Arial"/>
                <w:b/>
                <w:i w:val="0"/>
                <w:color w:val="FFFFFF"/>
                <w:sz w:val="19"/>
              </w:rPr>
              <w:t>Required definition</w:t>
            </w:r>
          </w:p>
        </w:tc>
      </w:tr>
      <w:tr>
        <w:tc>
          <w:tcPr>
            <w:tcW w:type="dxa" w:w="2100"/>
          </w:tcPr>
          <w:p>
            <w:pPr>
              <w:spacing w:after="0"/>
            </w:pPr>
            <w:r/>
            <w:r>
              <w:rPr>
                <w:rFonts w:ascii="Arial" w:hAnsi="Arial" w:eastAsia="Arial"/>
                <w:b/>
                <w:i w:val="0"/>
                <w:color w:val="000000"/>
                <w:sz w:val="18"/>
              </w:rPr>
              <w:t>Business grain</w:t>
            </w:r>
          </w:p>
        </w:tc>
        <w:tc>
          <w:tcPr>
            <w:tcW w:type="dxa" w:w="7260"/>
          </w:tcPr>
          <w:p>
            <w:pPr>
              <w:spacing w:after="0"/>
            </w:pPr>
            <w:r/>
            <w:r>
              <w:rPr>
                <w:rFonts w:ascii="Arial" w:hAnsi="Arial" w:eastAsia="Arial"/>
                <w:b w:val="0"/>
                <w:i w:val="0"/>
                <w:color w:val="000000"/>
                <w:sz w:val="18"/>
              </w:rPr>
              <w:t>One declared event or snapshot grain; record uniqueness must be testable.</w:t>
            </w:r>
          </w:p>
        </w:tc>
      </w:tr>
      <w:tr>
        <w:tc>
          <w:tcPr>
            <w:tcW w:type="dxa" w:w="2100"/>
          </w:tcPr>
          <w:p>
            <w:pPr>
              <w:spacing w:after="0"/>
            </w:pPr>
            <w:r/>
            <w:r>
              <w:rPr>
                <w:rFonts w:ascii="Arial" w:hAnsi="Arial" w:eastAsia="Arial"/>
                <w:b/>
                <w:i w:val="0"/>
                <w:color w:val="000000"/>
                <w:sz w:val="18"/>
              </w:rPr>
              <w:t>Reference / REF</w:t>
            </w:r>
          </w:p>
        </w:tc>
        <w:tc>
          <w:tcPr>
            <w:tcW w:type="dxa" w:w="7260"/>
          </w:tcPr>
          <w:p>
            <w:pPr>
              <w:spacing w:after="0"/>
            </w:pPr>
            <w:r/>
            <w:r>
              <w:rPr>
                <w:rFonts w:ascii="Arial" w:hAnsi="Arial" w:eastAsia="Arial"/>
                <w:b w:val="0"/>
                <w:i w:val="0"/>
                <w:color w:val="000000"/>
                <w:sz w:val="18"/>
              </w:rPr>
              <w:t>Conformed business context, natural key, effective dates and owner.</w:t>
            </w:r>
          </w:p>
        </w:tc>
      </w:tr>
      <w:tr>
        <w:tc>
          <w:tcPr>
            <w:tcW w:type="dxa" w:w="2100"/>
          </w:tcPr>
          <w:p>
            <w:pPr>
              <w:spacing w:after="0"/>
            </w:pPr>
            <w:r/>
            <w:r>
              <w:rPr>
                <w:rFonts w:ascii="Arial" w:hAnsi="Arial" w:eastAsia="Arial"/>
                <w:b/>
                <w:i w:val="0"/>
                <w:color w:val="000000"/>
                <w:sz w:val="18"/>
              </w:rPr>
              <w:t>Metric / MET</w:t>
            </w:r>
          </w:p>
        </w:tc>
        <w:tc>
          <w:tcPr>
            <w:tcW w:type="dxa" w:w="7260"/>
          </w:tcPr>
          <w:p>
            <w:pPr>
              <w:spacing w:after="0"/>
            </w:pPr>
            <w:r/>
            <w:r>
              <w:rPr>
                <w:rFonts w:ascii="Arial" w:hAnsi="Arial" w:eastAsia="Arial"/>
                <w:b w:val="0"/>
                <w:i w:val="0"/>
                <w:color w:val="000000"/>
                <w:sz w:val="18"/>
              </w:rPr>
              <w:t>Declared grain, dimension keys, measures and event/as-of date.</w:t>
            </w:r>
          </w:p>
        </w:tc>
      </w:tr>
      <w:tr>
        <w:tc>
          <w:tcPr>
            <w:tcW w:type="dxa" w:w="2100"/>
          </w:tcPr>
          <w:p>
            <w:pPr>
              <w:spacing w:after="0"/>
            </w:pPr>
            <w:r/>
            <w:r>
              <w:rPr>
                <w:rFonts w:ascii="Arial" w:hAnsi="Arial" w:eastAsia="Arial"/>
                <w:b/>
                <w:i w:val="0"/>
                <w:color w:val="000000"/>
                <w:sz w:val="18"/>
              </w:rPr>
              <w:t>Link / LNK</w:t>
            </w:r>
          </w:p>
        </w:tc>
        <w:tc>
          <w:tcPr>
            <w:tcW w:type="dxa" w:w="7260"/>
          </w:tcPr>
          <w:p>
            <w:pPr>
              <w:spacing w:after="0"/>
            </w:pPr>
            <w:r/>
            <w:r>
              <w:rPr>
                <w:rFonts w:ascii="Arial" w:hAnsi="Arial" w:eastAsia="Arial"/>
                <w:b w:val="0"/>
                <w:i w:val="0"/>
                <w:color w:val="000000"/>
                <w:sz w:val="18"/>
              </w:rPr>
              <w:t>Both keys, relationship type, allocation rule and validity dates.</w:t>
            </w:r>
          </w:p>
        </w:tc>
      </w:tr>
      <w:tr>
        <w:tc>
          <w:tcPr>
            <w:tcW w:type="dxa" w:w="2100"/>
          </w:tcPr>
          <w:p>
            <w:pPr>
              <w:spacing w:after="0"/>
            </w:pPr>
            <w:r/>
            <w:r>
              <w:rPr>
                <w:rFonts w:ascii="Arial" w:hAnsi="Arial" w:eastAsia="Arial"/>
                <w:b/>
                <w:i w:val="0"/>
                <w:color w:val="000000"/>
                <w:sz w:val="18"/>
              </w:rPr>
              <w:t>Rollup / RUP</w:t>
            </w:r>
          </w:p>
        </w:tc>
        <w:tc>
          <w:tcPr>
            <w:tcW w:type="dxa" w:w="7260"/>
          </w:tcPr>
          <w:p>
            <w:pPr>
              <w:spacing w:after="0"/>
            </w:pPr>
            <w:r/>
            <w:r>
              <w:rPr>
                <w:rFonts w:ascii="Arial" w:hAnsi="Arial" w:eastAsia="Arial"/>
                <w:b w:val="0"/>
                <w:i w:val="0"/>
                <w:color w:val="000000"/>
                <w:sz w:val="18"/>
              </w:rPr>
              <w:t>Aggregation grain, period/as-of rule, refresh timestamp and owner.</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Code or configuration evidence</w:t>
      </w:r>
    </w:p>
    <w:p>
      <w:pPr>
        <w:spacing w:after="120" w:before="0" w:line="259" w:lineRule="auto"/>
      </w:pPr>
      <w:r>
        <w:rPr>
          <w:rFonts w:ascii="Arial" w:hAnsi="Arial" w:eastAsia="Arial"/>
          <w:b w:val="0"/>
          <w:i/>
          <w:color w:val="666666"/>
          <w:sz w:val="19"/>
        </w:rPr>
        <w:t>Paste only the relevant SQL, DAX, Dataiku recipe logic, configuration or pseudo-code. Use a source-control link for longer code and identify the version reviewed.</w:t>
      </w:r>
    </w:p>
    <w:p>
      <w:pPr>
        <w:spacing w:before="100" w:after="140" w:line="240" w:lineRule="auto"/>
        <w:ind w:left="173" w:right="173"/>
        <w:shd w:fill="1F2937"/>
      </w:pPr>
      <w:r>
        <w:rPr>
          <w:rFonts w:ascii="Consolas" w:hAnsi="Consolas" w:eastAsia="Consolas"/>
          <w:b w:val="0"/>
          <w:i w:val="0"/>
          <w:color w:val="F9FAFB"/>
          <w:sz w:val="17"/>
        </w:rPr>
        <w:t>/* Example evidence only — replace with release-controlled code link */</w:t>
        <w:br/>
        <w:t>SELECT business_key, metric_value, refresh_timestamp</w:t>
        <w:br/>
        <w:t>FROM SW_APAC_TC_&lt;SUBJECT&gt;_MET</w:t>
        <w:br/>
        <w:t>WHERE reporting_period = :reporting_period;</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5. Component Design: DA / VI / RP / EX</w:t>
      </w:r>
    </w:p>
    <w:p>
      <w:pPr>
        <w:spacing w:after="120" w:before="0" w:line="259" w:lineRule="auto"/>
      </w:pPr>
      <w:r>
        <w:rPr>
          <w:rFonts w:ascii="Arial" w:hAnsi="Arial" w:eastAsia="Arial"/>
          <w:b w:val="0"/>
          <w:i w:val="0"/>
          <w:color w:val="000000"/>
          <w:sz w:val="21"/>
        </w:rPr>
        <w:t>Select only the components that are in scope. The table is an inventory, not a replacement for explanatory design notes, screenshots or code evidence.</w:t>
      </w:r>
    </w:p>
    <w:tbl>
      <w:tblPr>
        <w:tblStyle w:val="TableGrid"/>
        <w:tblW w:type="dxa" w:w="9360"/>
        <w:jc w:val="left"/>
        <w:tblLayout w:type="fixed"/>
        <w:tblLook w:firstColumn="1" w:firstRow="1" w:lastColumn="0" w:lastRow="0" w:noHBand="0" w:noVBand="1" w:val="04A0"/>
        <w:tblInd w:w="120" w:type="dxa"/>
      </w:tblPr>
      <w:tblGrid>
        <w:gridCol w:w="850"/>
        <w:gridCol w:w="3150"/>
        <w:gridCol w:w="3500"/>
        <w:gridCol w:w="1860"/>
      </w:tblGrid>
      <w:tr>
        <w:tc>
          <w:tcPr>
            <w:tcW w:type="dxa" w:w="850"/>
            <w:tcMar>
              <w:top w:w="90" w:type="dxa"/>
              <w:start w:w="120" w:type="dxa"/>
              <w:bottom w:w="90" w:type="dxa"/>
              <w:end w:w="120" w:type="dxa"/>
            </w:tcMar>
            <w:vAlign w:val="center"/>
            <w:shd w:fill="000000"/>
          </w:tcPr>
          <w:p>
            <w:pPr>
              <w:spacing w:after="0"/>
            </w:pPr>
            <w:r/>
            <w:r>
              <w:rPr>
                <w:rFonts w:ascii="Arial" w:hAnsi="Arial" w:eastAsia="Arial"/>
                <w:b/>
                <w:i w:val="0"/>
                <w:color w:val="FFFFFF"/>
                <w:sz w:val="19"/>
              </w:rPr>
              <w:t>Component</w:t>
            </w:r>
          </w:p>
        </w:tc>
        <w:tc>
          <w:tcPr>
            <w:tcW w:type="dxa" w:w="3150"/>
            <w:tcMar>
              <w:top w:w="90" w:type="dxa"/>
              <w:start w:w="120" w:type="dxa"/>
              <w:bottom w:w="90" w:type="dxa"/>
              <w:end w:w="120" w:type="dxa"/>
            </w:tcMar>
            <w:vAlign w:val="center"/>
            <w:shd w:fill="000000"/>
          </w:tcPr>
          <w:p>
            <w:pPr>
              <w:spacing w:after="0"/>
            </w:pPr>
            <w:r/>
            <w:r>
              <w:rPr>
                <w:rFonts w:ascii="Arial" w:hAnsi="Arial" w:eastAsia="Arial"/>
                <w:b/>
                <w:i w:val="0"/>
                <w:color w:val="FFFFFF"/>
                <w:sz w:val="19"/>
              </w:rPr>
              <w:t>Purpose / user value</w:t>
            </w:r>
          </w:p>
        </w:tc>
        <w:tc>
          <w:tcPr>
            <w:tcW w:type="dxa" w:w="35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Design evidence</w:t>
            </w:r>
          </w:p>
        </w:tc>
        <w:tc>
          <w:tcPr>
            <w:tcW w:type="dxa" w:w="1860"/>
            <w:tcMar>
              <w:top w:w="90" w:type="dxa"/>
              <w:start w:w="120" w:type="dxa"/>
              <w:bottom w:w="90" w:type="dxa"/>
              <w:end w:w="120" w:type="dxa"/>
            </w:tcMar>
            <w:vAlign w:val="center"/>
            <w:shd w:fill="000000"/>
          </w:tcPr>
          <w:p>
            <w:pPr>
              <w:spacing w:after="0"/>
            </w:pPr>
            <w:r/>
            <w:r>
              <w:rPr>
                <w:rFonts w:ascii="Arial" w:hAnsi="Arial" w:eastAsia="Arial"/>
                <w:b/>
                <w:i w:val="0"/>
                <w:color w:val="FFFFFF"/>
                <w:sz w:val="19"/>
              </w:rPr>
              <w:t>Owner</w:t>
            </w:r>
          </w:p>
        </w:tc>
      </w:tr>
      <w:tr>
        <w:tc>
          <w:tcPr>
            <w:tcW w:type="dxa" w:w="850"/>
          </w:tcPr>
          <w:p>
            <w:pPr>
              <w:spacing w:after="0"/>
            </w:pPr>
            <w:r/>
            <w:r>
              <w:rPr>
                <w:rFonts w:ascii="Arial" w:hAnsi="Arial" w:eastAsia="Arial"/>
                <w:b/>
                <w:i w:val="0"/>
                <w:color w:val="000000"/>
                <w:sz w:val="18"/>
              </w:rPr>
              <w:t>DA</w:t>
            </w:r>
          </w:p>
        </w:tc>
        <w:tc>
          <w:tcPr>
            <w:tcW w:type="dxa" w:w="3150"/>
          </w:tcPr>
          <w:p>
            <w:pPr>
              <w:spacing w:after="0"/>
            </w:pPr>
            <w:r/>
            <w:r>
              <w:rPr>
                <w:rFonts w:ascii="Arial" w:hAnsi="Arial" w:eastAsia="Arial"/>
                <w:b w:val="0"/>
                <w:i w:val="0"/>
                <w:color w:val="000000"/>
                <w:sz w:val="18"/>
              </w:rPr>
              <w:t>Named Gold View inputs, certified consumption view, lineage and field controls.</w:t>
            </w:r>
          </w:p>
        </w:tc>
        <w:tc>
          <w:tcPr>
            <w:tcW w:type="dxa" w:w="3500"/>
          </w:tcPr>
          <w:p>
            <w:pPr>
              <w:spacing w:after="0"/>
            </w:pPr>
            <w:r/>
            <w:r>
              <w:rPr>
                <w:rFonts w:ascii="Arial" w:hAnsi="Arial" w:eastAsia="Arial"/>
                <w:b w:val="0"/>
                <w:i w:val="0"/>
                <w:color w:val="000000"/>
                <w:sz w:val="18"/>
              </w:rPr>
              <w:t>Lineage diagram, dictionary and DQ rules.</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VI</w:t>
            </w:r>
          </w:p>
        </w:tc>
        <w:tc>
          <w:tcPr>
            <w:tcW w:type="dxa" w:w="3150"/>
          </w:tcPr>
          <w:p>
            <w:pPr>
              <w:spacing w:after="0"/>
            </w:pPr>
            <w:r/>
            <w:r>
              <w:rPr>
                <w:rFonts w:ascii="Arial" w:hAnsi="Arial" w:eastAsia="Arial"/>
                <w:b w:val="0"/>
                <w:i w:val="0"/>
                <w:color w:val="000000"/>
                <w:sz w:val="18"/>
              </w:rPr>
              <w:t>Decision-oriented dashboard with approved measures, filters and RLS.</w:t>
            </w:r>
          </w:p>
        </w:tc>
        <w:tc>
          <w:tcPr>
            <w:tcW w:type="dxa" w:w="3500"/>
          </w:tcPr>
          <w:p>
            <w:pPr>
              <w:spacing w:after="0"/>
            </w:pPr>
            <w:r/>
            <w:r>
              <w:rPr>
                <w:rFonts w:ascii="Arial" w:hAnsi="Arial" w:eastAsia="Arial"/>
                <w:b w:val="0"/>
                <w:i w:val="0"/>
                <w:color w:val="000000"/>
                <w:sz w:val="18"/>
              </w:rPr>
              <w:t>Wireframe, measure catalogue and UAT.</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RP</w:t>
            </w:r>
          </w:p>
        </w:tc>
        <w:tc>
          <w:tcPr>
            <w:tcW w:type="dxa" w:w="3150"/>
          </w:tcPr>
          <w:p>
            <w:pPr>
              <w:spacing w:after="0"/>
            </w:pPr>
            <w:r/>
            <w:r>
              <w:rPr>
                <w:rFonts w:ascii="Arial" w:hAnsi="Arial" w:eastAsia="Arial"/>
                <w:b w:val="0"/>
                <w:i w:val="0"/>
                <w:color w:val="000000"/>
                <w:sz w:val="18"/>
              </w:rPr>
              <w:t>Controlled report with schedule, snapshot and Finance policy where applicable.</w:t>
            </w:r>
          </w:p>
        </w:tc>
        <w:tc>
          <w:tcPr>
            <w:tcW w:type="dxa" w:w="3500"/>
          </w:tcPr>
          <w:p>
            <w:pPr>
              <w:spacing w:after="0"/>
            </w:pPr>
            <w:r/>
            <w:r>
              <w:rPr>
                <w:rFonts w:ascii="Arial" w:hAnsi="Arial" w:eastAsia="Arial"/>
                <w:b w:val="0"/>
                <w:i w:val="0"/>
                <w:color w:val="000000"/>
                <w:sz w:val="18"/>
              </w:rPr>
              <w:t>Layout, reconciliation and distribution test.</w:t>
            </w:r>
          </w:p>
        </w:tc>
        <w:tc>
          <w:tcPr>
            <w:tcW w:type="dxa" w:w="1860"/>
          </w:tcPr>
          <w:p>
            <w:pPr>
              <w:spacing w:after="0"/>
            </w:pPr>
            <w:r/>
            <w:r>
              <w:rPr>
                <w:rFonts w:ascii="Arial" w:hAnsi="Arial" w:eastAsia="Arial"/>
                <w:b w:val="0"/>
                <w:i w:val="0"/>
                <w:color w:val="000000"/>
                <w:sz w:val="18"/>
              </w:rPr>
              <w:t>[Name]</w:t>
            </w:r>
          </w:p>
        </w:tc>
      </w:tr>
      <w:tr>
        <w:tc>
          <w:tcPr>
            <w:tcW w:type="dxa" w:w="850"/>
          </w:tcPr>
          <w:p>
            <w:pPr>
              <w:spacing w:after="0"/>
            </w:pPr>
            <w:r/>
            <w:r>
              <w:rPr>
                <w:rFonts w:ascii="Arial" w:hAnsi="Arial" w:eastAsia="Arial"/>
                <w:b/>
                <w:i w:val="0"/>
                <w:color w:val="000000"/>
                <w:sz w:val="18"/>
              </w:rPr>
              <w:t>EX</w:t>
            </w:r>
          </w:p>
        </w:tc>
        <w:tc>
          <w:tcPr>
            <w:tcW w:type="dxa" w:w="3150"/>
          </w:tcPr>
          <w:p>
            <w:pPr>
              <w:spacing w:after="0"/>
            </w:pPr>
            <w:r/>
            <w:r>
              <w:rPr>
                <w:rFonts w:ascii="Arial" w:hAnsi="Arial" w:eastAsia="Arial"/>
                <w:b w:val="0"/>
                <w:i w:val="0"/>
                <w:color w:val="000000"/>
                <w:sz w:val="18"/>
              </w:rPr>
              <w:t>Approved extension with explicit entitlement, interface and support model.</w:t>
            </w:r>
          </w:p>
        </w:tc>
        <w:tc>
          <w:tcPr>
            <w:tcW w:type="dxa" w:w="3500"/>
          </w:tcPr>
          <w:p>
            <w:pPr>
              <w:spacing w:after="0"/>
            </w:pPr>
            <w:r/>
            <w:r>
              <w:rPr>
                <w:rFonts w:ascii="Arial" w:hAnsi="Arial" w:eastAsia="Arial"/>
                <w:b w:val="0"/>
                <w:i w:val="0"/>
                <w:color w:val="000000"/>
                <w:sz w:val="18"/>
              </w:rPr>
              <w:t>Code/configuration, security test and failure handling.</w:t>
            </w:r>
          </w:p>
        </w:tc>
        <w:tc>
          <w:tcPr>
            <w:tcW w:type="dxa" w:w="1860"/>
          </w:tcPr>
          <w:p>
            <w:pPr>
              <w:spacing w:after="0"/>
            </w:pPr>
            <w:r/>
            <w:r>
              <w:rPr>
                <w:rFonts w:ascii="Arial" w:hAnsi="Arial" w:eastAsia="Arial"/>
                <w:b w:val="0"/>
                <w:i w:val="0"/>
                <w:color w:val="000000"/>
                <w:sz w:val="18"/>
              </w:rPr>
              <w:t>[Name]</w:t>
            </w:r>
          </w:p>
        </w:tc>
      </w:tr>
    </w:tbl>
    <w:p>
      <w:pPr>
        <w:spacing w:after="80" w:before="0" w:line="259" w:lineRule="auto"/>
      </w:pPr>
      <w:r>
        <w:rPr>
          <w:rFonts w:ascii="Arial" w:hAnsi="Arial" w:eastAsia="Arial"/>
          <w:b w:val="0"/>
          <w:i w:val="0"/>
          <w:color w:val="000000"/>
          <w:sz w:val="6"/>
        </w:rPr>
      </w:r>
    </w:p>
    <w:p>
      <w:pPr>
        <w:spacing w:after="80" w:before="160" w:line="259" w:lineRule="auto"/>
        <w:pBdr>
          <w:bottom w:val="single" w:sz="8" w:space="1" w:color="000000"/>
        </w:pBdr>
        <w:keepNext/>
      </w:pPr>
      <w:r>
        <w:rPr>
          <w:rFonts w:ascii="Arial" w:hAnsi="Arial" w:eastAsia="Arial"/>
          <w:b/>
          <w:i w:val="0"/>
          <w:color w:val="000000"/>
          <w:sz w:val="26"/>
        </w:rPr>
        <w:t>Data dictionary and controls</w:t>
      </w:r>
    </w:p>
    <w:tbl>
      <w:tblPr>
        <w:tblStyle w:val="TableGrid"/>
        <w:tblW w:type="dxa" w:w="9360"/>
        <w:jc w:val="left"/>
        <w:tblLayout w:type="fixed"/>
        <w:tblLook w:firstColumn="1" w:firstRow="1" w:lastColumn="0" w:lastRow="0" w:noHBand="0" w:noVBand="1" w:val="04A0"/>
        <w:tblInd w:w="120" w:type="dxa"/>
      </w:tblPr>
      <w:tblGrid>
        <w:gridCol w:w="2100"/>
        <w:gridCol w:w="3950"/>
        <w:gridCol w:w="3310"/>
      </w:tblGrid>
      <w:tr>
        <w:tc>
          <w:tcPr>
            <w:tcW w:type="dxa" w:w="2100"/>
            <w:tcMar>
              <w:top w:w="90" w:type="dxa"/>
              <w:start w:w="120" w:type="dxa"/>
              <w:bottom w:w="90" w:type="dxa"/>
              <w:end w:w="120" w:type="dxa"/>
            </w:tcMar>
            <w:vAlign w:val="center"/>
            <w:shd w:fill="000000"/>
          </w:tcPr>
          <w:p>
            <w:pPr>
              <w:spacing w:after="0"/>
            </w:pPr>
            <w:r/>
            <w:r>
              <w:rPr>
                <w:rFonts w:ascii="Arial" w:hAnsi="Arial" w:eastAsia="Arial"/>
                <w:b/>
                <w:i w:val="0"/>
                <w:color w:val="FFFFFF"/>
                <w:sz w:val="19"/>
              </w:rPr>
              <w:t>Field / object</w:t>
            </w:r>
          </w:p>
        </w:tc>
        <w:tc>
          <w:tcPr>
            <w:tcW w:type="dxa" w:w="3950"/>
            <w:tcMar>
              <w:top w:w="90" w:type="dxa"/>
              <w:start w:w="120" w:type="dxa"/>
              <w:bottom w:w="90" w:type="dxa"/>
              <w:end w:w="120" w:type="dxa"/>
            </w:tcMar>
            <w:vAlign w:val="center"/>
            <w:shd w:fill="000000"/>
          </w:tcPr>
          <w:p>
            <w:pPr>
              <w:spacing w:after="0"/>
            </w:pPr>
            <w:r/>
            <w:r>
              <w:rPr>
                <w:rFonts w:ascii="Arial" w:hAnsi="Arial" w:eastAsia="Arial"/>
                <w:b/>
                <w:i w:val="0"/>
                <w:color w:val="FFFFFF"/>
                <w:sz w:val="19"/>
              </w:rPr>
              <w:t>Business definition</w:t>
            </w:r>
          </w:p>
        </w:tc>
        <w:tc>
          <w:tcPr>
            <w:tcW w:type="dxa" w:w="3310"/>
            <w:tcMar>
              <w:top w:w="90" w:type="dxa"/>
              <w:start w:w="120" w:type="dxa"/>
              <w:bottom w:w="90" w:type="dxa"/>
              <w:end w:w="120" w:type="dxa"/>
            </w:tcMar>
            <w:vAlign w:val="center"/>
            <w:shd w:fill="000000"/>
          </w:tcPr>
          <w:p>
            <w:pPr>
              <w:spacing w:after="0"/>
            </w:pPr>
            <w:r/>
            <w:r>
              <w:rPr>
                <w:rFonts w:ascii="Arial" w:hAnsi="Arial" w:eastAsia="Arial"/>
                <w:b/>
                <w:i w:val="0"/>
                <w:color w:val="FFFFFF"/>
                <w:sz w:val="19"/>
              </w:rPr>
              <w:t>WHO / WHEN / control</w:t>
            </w:r>
          </w:p>
        </w:tc>
      </w:tr>
      <w:tr>
        <w:tc>
          <w:tcPr>
            <w:tcW w:type="dxa" w:w="2100"/>
          </w:tcPr>
          <w:p>
            <w:pPr>
              <w:spacing w:after="0"/>
            </w:pPr>
            <w:r/>
            <w:r>
              <w:rPr>
                <w:rFonts w:ascii="Arial" w:hAnsi="Arial" w:eastAsia="Arial"/>
                <w:b/>
                <w:i w:val="0"/>
                <w:color w:val="000000"/>
                <w:sz w:val="18"/>
              </w:rPr>
              <w:t>[Object or field name]</w:t>
            </w:r>
          </w:p>
        </w:tc>
        <w:tc>
          <w:tcPr>
            <w:tcW w:type="dxa" w:w="3950"/>
          </w:tcPr>
          <w:p>
            <w:pPr>
              <w:spacing w:after="0"/>
            </w:pPr>
            <w:r/>
            <w:r>
              <w:rPr>
                <w:rFonts w:ascii="Arial" w:hAnsi="Arial" w:eastAsia="Arial"/>
                <w:b w:val="0"/>
                <w:i w:val="0"/>
                <w:color w:val="000000"/>
                <w:sz w:val="18"/>
              </w:rPr>
              <w:t>[Plain-English definition, type and derivation]</w:t>
            </w:r>
          </w:p>
        </w:tc>
        <w:tc>
          <w:tcPr>
            <w:tcW w:type="dxa" w:w="3310"/>
          </w:tcPr>
          <w:p>
            <w:pPr>
              <w:spacing w:after="0"/>
            </w:pPr>
            <w:r/>
            <w:r>
              <w:rPr>
                <w:rFonts w:ascii="Arial" w:hAnsi="Arial" w:eastAsia="Arial"/>
                <w:b w:val="0"/>
                <w:i w:val="0"/>
                <w:color w:val="000000"/>
                <w:sz w:val="18"/>
              </w:rPr>
              <w:t>WHO: [owner/steward]  WHEN: [effective / refresh time]  Control: [DQ / sensitivity / rule version]</w:t>
            </w:r>
          </w:p>
        </w:tc>
      </w:tr>
      <w:tr>
        <w:tc>
          <w:tcPr>
            <w:tcW w:type="dxa" w:w="2100"/>
          </w:tcPr>
          <w:p>
            <w:pPr>
              <w:spacing w:after="0"/>
            </w:pPr>
            <w:r/>
            <w:r>
              <w:rPr>
                <w:rFonts w:ascii="Arial" w:hAnsi="Arial" w:eastAsia="Arial"/>
                <w:b/>
                <w:i w:val="0"/>
                <w:color w:val="000000"/>
                <w:sz w:val="18"/>
              </w:rPr>
              <w:t>[Object or field name]</w:t>
            </w:r>
          </w:p>
        </w:tc>
        <w:tc>
          <w:tcPr>
            <w:tcW w:type="dxa" w:w="3950"/>
          </w:tcPr>
          <w:p>
            <w:pPr>
              <w:spacing w:after="0"/>
            </w:pPr>
            <w:r/>
            <w:r>
              <w:rPr>
                <w:rFonts w:ascii="Arial" w:hAnsi="Arial" w:eastAsia="Arial"/>
                <w:b w:val="0"/>
                <w:i w:val="0"/>
                <w:color w:val="000000"/>
                <w:sz w:val="18"/>
              </w:rPr>
              <w:t>[Plain-English definition, type and derivation]</w:t>
            </w:r>
          </w:p>
        </w:tc>
        <w:tc>
          <w:tcPr>
            <w:tcW w:type="dxa" w:w="3310"/>
          </w:tcPr>
          <w:p>
            <w:pPr>
              <w:spacing w:after="0"/>
            </w:pPr>
            <w:r/>
            <w:r>
              <w:rPr>
                <w:rFonts w:ascii="Arial" w:hAnsi="Arial" w:eastAsia="Arial"/>
                <w:b w:val="0"/>
                <w:i w:val="0"/>
                <w:color w:val="000000"/>
                <w:sz w:val="18"/>
              </w:rPr>
              <w:t>WHO: [owner/steward]  WHEN: [effective / refresh time]  Control: [DQ / sensitivity / rule version]</w:t>
            </w:r>
          </w:p>
        </w:tc>
      </w:tr>
    </w:tbl>
    <w:p>
      <w:pPr>
        <w:spacing w:after="80" w:before="0" w:line="259" w:lineRule="auto"/>
      </w:pPr>
      <w:r>
        <w:rPr>
          <w:rFonts w:ascii="Arial" w:hAnsi="Arial" w:eastAsia="Arial"/>
          <w:b w:val="0"/>
          <w:i w:val="0"/>
          <w:color w:val="000000"/>
          <w:sz w:val="6"/>
        </w:rPr>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6. Validation, Security and Acceptance</w:t>
      </w:r>
    </w:p>
    <w:tbl>
      <w:tblPr>
        <w:tblStyle w:val="TableGrid"/>
        <w:tblW w:type="dxa" w:w="9360"/>
        <w:jc w:val="left"/>
        <w:tblLayout w:type="fixed"/>
        <w:tblLook w:firstColumn="1" w:firstRow="1" w:lastColumn="0" w:lastRow="0" w:noHBand="0" w:noVBand="1" w:val="04A0"/>
        <w:tblInd w:w="120" w:type="dxa"/>
      </w:tblPr>
      <w:tblGrid>
        <w:gridCol w:w="1900"/>
        <w:gridCol w:w="4750"/>
        <w:gridCol w:w="2710"/>
      </w:tblGrid>
      <w:tr>
        <w:tc>
          <w:tcPr>
            <w:tcW w:type="dxa" w:w="190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Control</w:t>
            </w:r>
          </w:p>
        </w:tc>
        <w:tc>
          <w:tcPr>
            <w:tcW w:type="dxa" w:w="4750"/>
            <w:tcMar>
              <w:top w:w="90" w:type="dxa"/>
              <w:start w:w="120" w:type="dxa"/>
              <w:bottom w:w="90" w:type="dxa"/>
              <w:end w:w="120" w:type="dxa"/>
            </w:tcMar>
            <w:vAlign w:val="center"/>
            <w:shd w:fill="000000"/>
          </w:tcPr>
          <w:p>
            <w:pPr>
              <w:spacing w:after="0"/>
            </w:pPr>
            <w:r/>
            <w:r>
              <w:rPr>
                <w:rFonts w:ascii="Arial" w:hAnsi="Arial" w:eastAsia="Arial"/>
                <w:b/>
                <w:i w:val="0"/>
                <w:color w:val="FFFFFF"/>
                <w:sz w:val="19"/>
              </w:rPr>
              <w:t>Test and expected result</w:t>
            </w:r>
          </w:p>
        </w:tc>
        <w:tc>
          <w:tcPr>
            <w:tcW w:type="dxa" w:w="2710"/>
            <w:tcMar>
              <w:top w:w="90" w:type="dxa"/>
              <w:start w:w="120" w:type="dxa"/>
              <w:bottom w:w="90" w:type="dxa"/>
              <w:end w:w="120" w:type="dxa"/>
            </w:tcMar>
            <w:vAlign w:val="center"/>
            <w:shd w:fill="000000"/>
          </w:tcPr>
          <w:p>
            <w:pPr>
              <w:spacing w:after="0"/>
            </w:pPr>
            <w:r/>
            <w:r>
              <w:rPr>
                <w:rFonts w:ascii="Arial" w:hAnsi="Arial" w:eastAsia="Arial"/>
                <w:b/>
                <w:i w:val="0"/>
                <w:color w:val="FFFFFF"/>
                <w:sz w:val="19"/>
              </w:rPr>
              <w:t>Evidence / approver</w:t>
            </w:r>
          </w:p>
        </w:tc>
      </w:tr>
      <w:tr>
        <w:tc>
          <w:tcPr>
            <w:tcW w:type="dxa" w:w="1900"/>
          </w:tcPr>
          <w:p>
            <w:pPr>
              <w:spacing w:after="0"/>
            </w:pPr>
            <w:r/>
            <w:r>
              <w:rPr>
                <w:rFonts w:ascii="Arial" w:hAnsi="Arial" w:eastAsia="Arial"/>
                <w:b/>
                <w:i w:val="0"/>
                <w:color w:val="000000"/>
                <w:sz w:val="18"/>
              </w:rPr>
              <w:t>Data quality</w:t>
            </w:r>
          </w:p>
        </w:tc>
        <w:tc>
          <w:tcPr>
            <w:tcW w:type="dxa" w:w="4750"/>
          </w:tcPr>
          <w:p>
            <w:pPr>
              <w:spacing w:after="0"/>
            </w:pPr>
            <w:r/>
            <w:r>
              <w:rPr>
                <w:rFonts w:ascii="Arial" w:hAnsi="Arial" w:eastAsia="Arial"/>
                <w:b w:val="0"/>
                <w:i w:val="0"/>
                <w:color w:val="000000"/>
                <w:sz w:val="18"/>
              </w:rPr>
              <w:t>[Completeness, duplicates, referential integrity, late-arrival or reconciliation check.]</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Semantic validation</w:t>
            </w:r>
          </w:p>
        </w:tc>
        <w:tc>
          <w:tcPr>
            <w:tcW w:type="dxa" w:w="4750"/>
          </w:tcPr>
          <w:p>
            <w:pPr>
              <w:spacing w:after="0"/>
            </w:pPr>
            <w:r/>
            <w:r>
              <w:rPr>
                <w:rFonts w:ascii="Arial" w:hAnsi="Arial" w:eastAsia="Arial"/>
                <w:b w:val="0"/>
                <w:i w:val="0"/>
                <w:color w:val="000000"/>
                <w:sz w:val="18"/>
              </w:rPr>
              <w:t>[Business owner confirms measure, grain, hierarchy, period/currency and exception treatment.]</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Security / RLS</w:t>
            </w:r>
          </w:p>
        </w:tc>
        <w:tc>
          <w:tcPr>
            <w:tcW w:type="dxa" w:w="4750"/>
          </w:tcPr>
          <w:p>
            <w:pPr>
              <w:spacing w:after="0"/>
            </w:pPr>
            <w:r/>
            <w:r>
              <w:rPr>
                <w:rFonts w:ascii="Arial" w:hAnsi="Arial" w:eastAsia="Arial"/>
                <w:b w:val="0"/>
                <w:i w:val="0"/>
                <w:color w:val="000000"/>
                <w:sz w:val="18"/>
              </w:rPr>
              <w:t>[Only entitled roles can see allowed data; export behavior is checked.]</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Performance</w:t>
            </w:r>
          </w:p>
        </w:tc>
        <w:tc>
          <w:tcPr>
            <w:tcW w:type="dxa" w:w="4750"/>
          </w:tcPr>
          <w:p>
            <w:pPr>
              <w:spacing w:after="0"/>
            </w:pPr>
            <w:r/>
            <w:r>
              <w:rPr>
                <w:rFonts w:ascii="Arial" w:hAnsi="Arial" w:eastAsia="Arial"/>
                <w:b w:val="0"/>
                <w:i w:val="0"/>
                <w:color w:val="000000"/>
                <w:sz w:val="18"/>
              </w:rPr>
              <w:t>[Refresh, query or report duration meets agreed service level.]</w:t>
            </w:r>
          </w:p>
        </w:tc>
        <w:tc>
          <w:tcPr>
            <w:tcW w:type="dxa" w:w="2710"/>
          </w:tcPr>
          <w:p>
            <w:pPr>
              <w:spacing w:after="0"/>
            </w:pPr>
            <w:r/>
            <w:r>
              <w:rPr>
                <w:rFonts w:ascii="Arial" w:hAnsi="Arial" w:eastAsia="Arial"/>
                <w:b w:val="0"/>
                <w:i w:val="0"/>
                <w:color w:val="000000"/>
                <w:sz w:val="18"/>
              </w:rPr>
              <w:t>[Link / owner]</w:t>
            </w:r>
          </w:p>
        </w:tc>
      </w:tr>
      <w:tr>
        <w:tc>
          <w:tcPr>
            <w:tcW w:type="dxa" w:w="1900"/>
          </w:tcPr>
          <w:p>
            <w:pPr>
              <w:spacing w:after="0"/>
            </w:pPr>
            <w:r/>
            <w:r>
              <w:rPr>
                <w:rFonts w:ascii="Arial" w:hAnsi="Arial" w:eastAsia="Arial"/>
                <w:b/>
                <w:i w:val="0"/>
                <w:color w:val="000000"/>
                <w:sz w:val="18"/>
              </w:rPr>
              <w:t>UAT and release</w:t>
            </w:r>
          </w:p>
        </w:tc>
        <w:tc>
          <w:tcPr>
            <w:tcW w:type="dxa" w:w="4750"/>
          </w:tcPr>
          <w:p>
            <w:pPr>
              <w:spacing w:after="0"/>
            </w:pPr>
            <w:r/>
            <w:r>
              <w:rPr>
                <w:rFonts w:ascii="Arial" w:hAnsi="Arial" w:eastAsia="Arial"/>
                <w:b w:val="0"/>
                <w:i w:val="0"/>
                <w:color w:val="000000"/>
                <w:sz w:val="18"/>
              </w:rPr>
              <w:t>[Representative users complete approved scenarios.]</w:t>
            </w:r>
          </w:p>
        </w:tc>
        <w:tc>
          <w:tcPr>
            <w:tcW w:type="dxa" w:w="2710"/>
          </w:tcPr>
          <w:p>
            <w:pPr>
              <w:spacing w:after="0"/>
            </w:pPr>
            <w:r/>
            <w:r>
              <w:rPr>
                <w:rFonts w:ascii="Arial" w:hAnsi="Arial" w:eastAsia="Arial"/>
                <w:b w:val="0"/>
                <w:i w:val="0"/>
                <w:color w:val="000000"/>
                <w:sz w:val="18"/>
              </w:rPr>
              <w:t>[Link / owner]</w:t>
            </w:r>
          </w:p>
        </w:tc>
      </w:tr>
    </w:tbl>
    <w:p>
      <w:pPr>
        <w:spacing w:after="80" w:before="0" w:line="259" w:lineRule="auto"/>
      </w:pPr>
      <w:r>
        <w:rPr>
          <w:rFonts w:ascii="Arial" w:hAnsi="Arial" w:eastAsia="Arial"/>
          <w:b w:val="0"/>
          <w:i w:val="0"/>
          <w:color w:val="000000"/>
          <w:sz w:val="6"/>
        </w:rPr>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7. Operations, Release and Recovery</w:t>
      </w:r>
    </w:p>
    <w:p>
      <w:pPr>
        <w:spacing w:after="120" w:before="0" w:line="259" w:lineRule="auto"/>
      </w:pPr>
      <w:r>
        <w:rPr>
          <w:rFonts w:ascii="Arial" w:hAnsi="Arial" w:eastAsia="Arial"/>
          <w:b w:val="0"/>
          <w:i w:val="0"/>
          <w:color w:val="000000"/>
          <w:sz w:val="21"/>
        </w:rPr>
        <w:t>Each release names a support owner, monitors freshness and control results, retains release evidence, and records how affected consumer outputs will be assessed when Global EDI changes the Gold View schema or behaviour.</w:t>
      </w:r>
    </w:p>
    <w:p>
      <w:pPr>
        <w:spacing w:before="100" w:after="160"/>
        <w:ind w:left="115" w:right="115"/>
        <w:shd w:fill="EAF3FB"/>
        <w:pBdr>
          <w:left w:val="single" w:sz="18" w:space="3" w:color="0000FF"/>
        </w:pBdr>
      </w:pPr>
      <w:r>
        <w:rPr>
          <w:rFonts w:ascii="Arial" w:hAnsi="Arial" w:eastAsia="Arial"/>
          <w:b/>
          <w:i w:val="0"/>
          <w:color w:val="000000"/>
          <w:sz w:val="20"/>
        </w:rPr>
        <w:t xml:space="preserve">Release rule.  </w:t>
      </w:r>
      <w:r>
        <w:rPr>
          <w:rFonts w:ascii="Arial" w:hAnsi="Arial" w:eastAsia="Arial"/>
          <w:b w:val="0"/>
          <w:i w:val="0"/>
          <w:color w:val="000000"/>
          <w:sz w:val="20"/>
        </w:rPr>
        <w:t>Do not release until business logic, lineage, semantic model, security and acceptance evidence are linked to the DRIVE record. Escalate any required upstream Gold View change to Global EDI through its established process.</w:t>
      </w:r>
    </w:p>
    <w:p>
      <w:pPr>
        <w:spacing w:after="80" w:before="160" w:line="259" w:lineRule="auto"/>
        <w:pBdr>
          <w:bottom w:val="single" w:sz="8" w:space="1" w:color="000000"/>
        </w:pBdr>
        <w:keepNext/>
      </w:pPr>
      <w:r>
        <w:rPr>
          <w:rFonts w:ascii="Arial" w:hAnsi="Arial" w:eastAsia="Arial"/>
          <w:b/>
          <w:i w:val="0"/>
          <w:color w:val="000000"/>
          <w:sz w:val="26"/>
        </w:rPr>
        <w:t>Release checklist</w:t>
      </w:r>
    </w:p>
    <w:p>
      <w:pPr>
        <w:pStyle w:val="ListBullet"/>
        <w:spacing w:after="60"/>
      </w:pPr>
      <w:r>
        <w:rPr>
          <w:rFonts w:ascii="Arial" w:hAnsi="Arial" w:eastAsia="Arial"/>
          <w:b w:val="0"/>
          <w:i w:val="0"/>
          <w:color w:val="000000"/>
          <w:sz w:val="21"/>
        </w:rPr>
        <w:t>Business owner acceptance recorded.</w:t>
      </w:r>
    </w:p>
    <w:p>
      <w:pPr>
        <w:pStyle w:val="ListBullet"/>
        <w:spacing w:after="60"/>
      </w:pPr>
      <w:r>
        <w:rPr>
          <w:rFonts w:ascii="Arial" w:hAnsi="Arial" w:eastAsia="Arial"/>
          <w:b w:val="0"/>
          <w:i w:val="0"/>
          <w:color w:val="000000"/>
          <w:sz w:val="21"/>
        </w:rPr>
        <w:t>Gold View source object and schema/version confirmed.</w:t>
      </w:r>
    </w:p>
    <w:p>
      <w:pPr>
        <w:pStyle w:val="ListBullet"/>
        <w:spacing w:after="60"/>
      </w:pPr>
      <w:r>
        <w:rPr>
          <w:rFonts w:ascii="Arial" w:hAnsi="Arial" w:eastAsia="Arial"/>
          <w:b w:val="0"/>
          <w:i w:val="0"/>
          <w:color w:val="000000"/>
          <w:sz w:val="21"/>
        </w:rPr>
        <w:t>Lineage, dictionary and consumer contract updated.</w:t>
      </w:r>
    </w:p>
    <w:p>
      <w:pPr>
        <w:pStyle w:val="ListBullet"/>
        <w:spacing w:after="60"/>
      </w:pPr>
      <w:r>
        <w:rPr>
          <w:rFonts w:ascii="Arial" w:hAnsi="Arial" w:eastAsia="Arial"/>
          <w:b w:val="0"/>
          <w:i w:val="0"/>
          <w:color w:val="000000"/>
          <w:sz w:val="21"/>
        </w:rPr>
        <w:t>Data quality, reconciliation, RLS and UAT evidence attached.</w:t>
      </w:r>
    </w:p>
    <w:p>
      <w:pPr>
        <w:pStyle w:val="ListBullet"/>
        <w:spacing w:after="60"/>
      </w:pPr>
      <w:r>
        <w:rPr>
          <w:rFonts w:ascii="Arial" w:hAnsi="Arial" w:eastAsia="Arial"/>
          <w:b w:val="0"/>
          <w:i w:val="0"/>
          <w:color w:val="000000"/>
          <w:sz w:val="21"/>
        </w:rPr>
        <w:t>Support owner, rollback and communication actions confirmed.</w:t>
      </w:r>
    </w:p>
    <w:p>
      <w:r>
        <w:br w:type="page"/>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Appendix A. Data Dictionary and Field Controls</w:t>
      </w:r>
    </w:p>
    <w:p>
      <w:pPr>
        <w:spacing w:after="120" w:before="0" w:line="259" w:lineRule="auto"/>
      </w:pPr>
      <w:r>
        <w:rPr>
          <w:rFonts w:ascii="Arial" w:hAnsi="Arial" w:eastAsia="Arial"/>
          <w:b w:val="0"/>
          <w:i/>
          <w:color w:val="666666"/>
          <w:sz w:val="19"/>
        </w:rPr>
        <w:t>Add rows as needed. Do not use this table for narrative design; use the preceding sections for business logic and architecture explanation.</w:t>
      </w:r>
    </w:p>
    <w:tbl>
      <w:tblPr>
        <w:tblStyle w:val="TableGrid"/>
        <w:tblW w:type="dxa" w:w="9360"/>
        <w:jc w:val="left"/>
        <w:tblLayout w:type="fixed"/>
        <w:tblLook w:firstColumn="1" w:firstRow="1" w:lastColumn="0" w:lastRow="0" w:noHBand="0" w:noVBand="1" w:val="04A0"/>
        <w:tblInd w:w="120" w:type="dxa"/>
      </w:tblPr>
      <w:tblGrid>
        <w:gridCol w:w="1200"/>
        <w:gridCol w:w="850"/>
        <w:gridCol w:w="2700"/>
        <w:gridCol w:w="1100"/>
        <w:gridCol w:w="1500"/>
        <w:gridCol w:w="2010"/>
      </w:tblGrid>
      <w:tr>
        <w:tc>
          <w:tcPr>
            <w:tcW w:type="dxa" w:w="1200"/>
            <w:tcMar>
              <w:top w:w="90" w:type="dxa"/>
              <w:start w:w="120" w:type="dxa"/>
              <w:bottom w:w="90" w:type="dxa"/>
              <w:end w:w="120" w:type="dxa"/>
            </w:tcMar>
            <w:vAlign w:val="center"/>
            <w:shd w:fill="000000"/>
          </w:tcPr>
          <w:p>
            <w:pPr>
              <w:spacing w:after="0"/>
            </w:pPr>
            <w:r/>
            <w:r>
              <w:rPr>
                <w:rFonts w:ascii="Arial" w:hAnsi="Arial" w:eastAsia="Arial"/>
                <w:b/>
                <w:i w:val="0"/>
                <w:color w:val="FFFFFF"/>
                <w:sz w:val="19"/>
              </w:rPr>
              <w:t>Field</w:t>
            </w:r>
          </w:p>
        </w:tc>
        <w:tc>
          <w:tcPr>
            <w:tcW w:type="dxa" w:w="850"/>
            <w:tcMar>
              <w:top w:w="90" w:type="dxa"/>
              <w:start w:w="120" w:type="dxa"/>
              <w:bottom w:w="90" w:type="dxa"/>
              <w:end w:w="120" w:type="dxa"/>
            </w:tcMar>
            <w:vAlign w:val="center"/>
            <w:shd w:fill="000000"/>
          </w:tcPr>
          <w:p>
            <w:pPr>
              <w:spacing w:after="0"/>
            </w:pPr>
            <w:r/>
            <w:r>
              <w:rPr>
                <w:rFonts w:ascii="Arial" w:hAnsi="Arial" w:eastAsia="Arial"/>
                <w:b/>
                <w:i w:val="0"/>
                <w:color w:val="FFFFFF"/>
                <w:sz w:val="19"/>
              </w:rPr>
              <w:t>Type</w:t>
            </w:r>
          </w:p>
        </w:tc>
        <w:tc>
          <w:tcPr>
            <w:tcW w:type="dxa" w:w="2700"/>
            <w:tcMar>
              <w:top w:w="90" w:type="dxa"/>
              <w:start w:w="120" w:type="dxa"/>
              <w:bottom w:w="90" w:type="dxa"/>
              <w:end w:w="120" w:type="dxa"/>
            </w:tcMar>
            <w:vAlign w:val="center"/>
            <w:shd w:fill="000000"/>
          </w:tcPr>
          <w:p>
            <w:pPr>
              <w:spacing w:after="0"/>
            </w:pPr>
            <w:r/>
            <w:r>
              <w:rPr>
                <w:rFonts w:ascii="Arial" w:hAnsi="Arial" w:eastAsia="Arial"/>
                <w:b/>
                <w:i w:val="0"/>
                <w:color w:val="FFFFFF"/>
                <w:sz w:val="19"/>
              </w:rPr>
              <w:t>Definition / derivation</w:t>
            </w:r>
          </w:p>
        </w:tc>
        <w:tc>
          <w:tcPr>
            <w:tcW w:type="dxa" w:w="1100"/>
            <w:tcMar>
              <w:top w:w="90" w:type="dxa"/>
              <w:start w:w="120" w:type="dxa"/>
              <w:bottom w:w="90" w:type="dxa"/>
              <w:end w:w="120" w:type="dxa"/>
            </w:tcMar>
            <w:vAlign w:val="center"/>
            <w:shd w:fill="000000"/>
          </w:tcPr>
          <w:p>
            <w:pPr>
              <w:spacing w:after="0"/>
            </w:pPr>
            <w:r/>
            <w:r>
              <w:rPr>
                <w:rFonts w:ascii="Arial" w:hAnsi="Arial" w:eastAsia="Arial"/>
                <w:b/>
                <w:i w:val="0"/>
                <w:color w:val="FFFFFF"/>
                <w:sz w:val="19"/>
              </w:rPr>
              <w:t>WHO</w:t>
            </w:r>
          </w:p>
        </w:tc>
        <w:tc>
          <w:tcPr>
            <w:tcW w:type="dxa" w:w="1500"/>
            <w:tcMar>
              <w:top w:w="90" w:type="dxa"/>
              <w:start w:w="120" w:type="dxa"/>
              <w:bottom w:w="90" w:type="dxa"/>
              <w:end w:w="120" w:type="dxa"/>
            </w:tcMar>
            <w:vAlign w:val="center"/>
            <w:shd w:fill="000000"/>
          </w:tcPr>
          <w:p>
            <w:pPr>
              <w:spacing w:after="0"/>
            </w:pPr>
            <w:r/>
            <w:r>
              <w:rPr>
                <w:rFonts w:ascii="Arial" w:hAnsi="Arial" w:eastAsia="Arial"/>
                <w:b/>
                <w:i w:val="0"/>
                <w:color w:val="FFFFFF"/>
                <w:sz w:val="19"/>
              </w:rPr>
              <w:t>WHEN</w:t>
            </w:r>
          </w:p>
        </w:tc>
        <w:tc>
          <w:tcPr>
            <w:tcW w:type="dxa" w:w="2010"/>
            <w:tcMar>
              <w:top w:w="90" w:type="dxa"/>
              <w:start w:w="120" w:type="dxa"/>
              <w:bottom w:w="90" w:type="dxa"/>
              <w:end w:w="120" w:type="dxa"/>
            </w:tcMar>
            <w:vAlign w:val="center"/>
            <w:shd w:fill="000000"/>
          </w:tcPr>
          <w:p>
            <w:pPr>
              <w:spacing w:after="0"/>
            </w:pPr>
            <w:r/>
            <w:r>
              <w:rPr>
                <w:rFonts w:ascii="Arial" w:hAnsi="Arial" w:eastAsia="Arial"/>
                <w:b/>
                <w:i w:val="0"/>
                <w:color w:val="FFFFFF"/>
                <w:sz w:val="19"/>
              </w:rPr>
              <w:t>Control</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r>
        <w:tc>
          <w:tcPr>
            <w:tcW w:type="dxa" w:w="1200"/>
          </w:tcPr>
          <w:p>
            <w:pPr>
              <w:spacing w:after="0"/>
            </w:pPr>
            <w:r/>
            <w:r>
              <w:rPr>
                <w:rFonts w:ascii="Arial" w:hAnsi="Arial" w:eastAsia="Arial"/>
                <w:b/>
                <w:i w:val="0"/>
                <w:color w:val="000000"/>
                <w:sz w:val="18"/>
              </w:rPr>
              <w:t>[field_name]</w:t>
            </w:r>
          </w:p>
        </w:tc>
        <w:tc>
          <w:tcPr>
            <w:tcW w:type="dxa" w:w="850"/>
          </w:tcPr>
          <w:p>
            <w:pPr>
              <w:spacing w:after="0"/>
            </w:pPr>
            <w:r/>
            <w:r>
              <w:rPr>
                <w:rFonts w:ascii="Arial" w:hAnsi="Arial" w:eastAsia="Arial"/>
                <w:b w:val="0"/>
                <w:i w:val="0"/>
                <w:color w:val="000000"/>
                <w:sz w:val="18"/>
              </w:rPr>
              <w:t>[type]</w:t>
            </w:r>
          </w:p>
        </w:tc>
        <w:tc>
          <w:tcPr>
            <w:tcW w:type="dxa" w:w="2700"/>
          </w:tcPr>
          <w:p>
            <w:pPr>
              <w:spacing w:after="0"/>
            </w:pPr>
            <w:r/>
            <w:r>
              <w:rPr>
                <w:rFonts w:ascii="Arial" w:hAnsi="Arial" w:eastAsia="Arial"/>
                <w:b w:val="0"/>
                <w:i w:val="0"/>
                <w:color w:val="000000"/>
                <w:sz w:val="18"/>
              </w:rPr>
              <w:t>[definition and transformation]</w:t>
            </w:r>
          </w:p>
        </w:tc>
        <w:tc>
          <w:tcPr>
            <w:tcW w:type="dxa" w:w="1100"/>
          </w:tcPr>
          <w:p>
            <w:pPr>
              <w:spacing w:after="0"/>
            </w:pPr>
            <w:r/>
            <w:r>
              <w:rPr>
                <w:rFonts w:ascii="Arial" w:hAnsi="Arial" w:eastAsia="Arial"/>
                <w:b w:val="0"/>
                <w:i w:val="0"/>
                <w:color w:val="000000"/>
                <w:sz w:val="18"/>
              </w:rPr>
              <w:t>[owner]</w:t>
            </w:r>
          </w:p>
        </w:tc>
        <w:tc>
          <w:tcPr>
            <w:tcW w:type="dxa" w:w="1500"/>
          </w:tcPr>
          <w:p>
            <w:pPr>
              <w:spacing w:after="0"/>
            </w:pPr>
            <w:r/>
            <w:r>
              <w:rPr>
                <w:rFonts w:ascii="Arial" w:hAnsi="Arial" w:eastAsia="Arial"/>
                <w:b w:val="0"/>
                <w:i w:val="0"/>
                <w:color w:val="000000"/>
                <w:sz w:val="18"/>
              </w:rPr>
              <w:t>[effective / refresh]</w:t>
            </w:r>
          </w:p>
        </w:tc>
        <w:tc>
          <w:tcPr>
            <w:tcW w:type="dxa" w:w="2010"/>
          </w:tcPr>
          <w:p>
            <w:pPr>
              <w:spacing w:after="0"/>
            </w:pPr>
            <w:r/>
            <w:r>
              <w:rPr>
                <w:rFonts w:ascii="Arial" w:hAnsi="Arial" w:eastAsia="Arial"/>
                <w:b w:val="0"/>
                <w:i w:val="0"/>
                <w:color w:val="000000"/>
                <w:sz w:val="18"/>
              </w:rPr>
              <w:t>[quality, sensitivity, rule version]</w:t>
            </w:r>
          </w:p>
        </w:tc>
      </w:tr>
    </w:tbl>
    <w:p>
      <w:pPr>
        <w:spacing w:after="80" w:before="0" w:line="259" w:lineRule="auto"/>
      </w:pPr>
      <w:r>
        <w:rPr>
          <w:rFonts w:ascii="Arial" w:hAnsi="Arial" w:eastAsia="Arial"/>
          <w:b w:val="0"/>
          <w:i w:val="0"/>
          <w:color w:val="000000"/>
          <w:sz w:val="6"/>
        </w:rPr>
      </w:r>
    </w:p>
    <w:p>
      <w:pPr>
        <w:spacing w:before="160" w:after="140" w:line="140" w:lineRule="exact"/>
        <w:shd w:fill="000000"/>
      </w:pPr>
      <w:r>
        <w:rPr>
          <w:rFonts w:ascii="Arial" w:hAnsi="Arial" w:eastAsia="Arial"/>
          <w:b w:val="0"/>
          <w:i w:val="0"/>
          <w:color w:val="000000"/>
          <w:sz w:val="4"/>
        </w:rPr>
        <w:t xml:space="preserve"> </w:t>
      </w:r>
    </w:p>
    <w:p>
      <w:pPr>
        <w:spacing w:after="140" w:before="0" w:line="259" w:lineRule="auto"/>
        <w:keepNext/>
      </w:pPr>
      <w:r>
        <w:rPr>
          <w:rFonts w:ascii="Arial" w:hAnsi="Arial" w:eastAsia="Arial"/>
          <w:b/>
          <w:i w:val="0"/>
          <w:color w:val="000000"/>
          <w:sz w:val="38"/>
        </w:rPr>
        <w:t>Appendix B. Code, Configuration and Figure Register</w:t>
      </w:r>
    </w:p>
    <w:p>
      <w:pPr>
        <w:spacing w:after="120" w:before="0" w:line="259" w:lineRule="auto"/>
      </w:pPr>
      <w:r>
        <w:rPr>
          <w:rFonts w:ascii="Arial" w:hAnsi="Arial" w:eastAsia="Arial"/>
          <w:b w:val="0"/>
          <w:i/>
          <w:color w:val="666666"/>
          <w:sz w:val="19"/>
        </w:rPr>
        <w:t>Use this register to make inserted diagrams, screenshots and code references easy to find during review.</w:t>
      </w:r>
    </w:p>
    <w:tbl>
      <w:tblPr>
        <w:tblStyle w:val="TableGrid"/>
        <w:tblW w:type="dxa" w:w="9360"/>
        <w:jc w:val="left"/>
        <w:tblLayout w:type="fixed"/>
        <w:tblLook w:firstColumn="1" w:firstRow="1" w:lastColumn="0" w:lastRow="0" w:noHBand="0" w:noVBand="1" w:val="04A0"/>
        <w:tblInd w:w="120" w:type="dxa"/>
      </w:tblPr>
      <w:tblGrid>
        <w:gridCol w:w="1500"/>
        <w:gridCol w:w="2550"/>
        <w:gridCol w:w="3500"/>
        <w:gridCol w:w="1810"/>
      </w:tblGrid>
      <w:tr>
        <w:tc>
          <w:tcPr>
            <w:tcW w:type="dxa" w:w="1500"/>
            <w:tcMar>
              <w:top w:w="90" w:type="dxa"/>
              <w:start w:w="120" w:type="dxa"/>
              <w:bottom w:w="90" w:type="dxa"/>
              <w:end w:w="120" w:type="dxa"/>
            </w:tcMar>
            <w:vAlign w:val="center"/>
            <w:shd w:fill="000000"/>
          </w:tcPr>
          <w:p>
            <w:pPr>
              <w:spacing w:after="0"/>
            </w:pPr>
            <w:r/>
            <w:r>
              <w:rPr>
                <w:rFonts w:ascii="Arial" w:hAnsi="Arial" w:eastAsia="Arial"/>
                <w:b/>
                <w:i w:val="0"/>
                <w:color w:val="FFFFFF"/>
                <w:sz w:val="19"/>
              </w:rPr>
              <w:t>Reference</w:t>
            </w:r>
          </w:p>
        </w:tc>
        <w:tc>
          <w:tcPr>
            <w:tcW w:type="dxa" w:w="2550"/>
            <w:tcMar>
              <w:top w:w="90" w:type="dxa"/>
              <w:start w:w="120" w:type="dxa"/>
              <w:bottom w:w="90" w:type="dxa"/>
              <w:end w:w="120" w:type="dxa"/>
            </w:tcMar>
            <w:vAlign w:val="center"/>
            <w:shd w:fill="000000"/>
          </w:tcPr>
          <w:p>
            <w:pPr>
              <w:spacing w:after="0"/>
            </w:pPr>
            <w:r/>
            <w:r>
              <w:rPr>
                <w:rFonts w:ascii="Arial" w:hAnsi="Arial" w:eastAsia="Arial"/>
                <w:b/>
                <w:i w:val="0"/>
                <w:color w:val="FFFFFF"/>
                <w:sz w:val="19"/>
              </w:rPr>
              <w:t>Purpose</w:t>
            </w:r>
          </w:p>
        </w:tc>
        <w:tc>
          <w:tcPr>
            <w:tcW w:type="dxa" w:w="3500"/>
            <w:tcMar>
              <w:top w:w="90" w:type="dxa"/>
              <w:start w:w="120" w:type="dxa"/>
              <w:bottom w:w="90" w:type="dxa"/>
              <w:end w:w="120" w:type="dxa"/>
            </w:tcMar>
            <w:vAlign w:val="center"/>
            <w:shd w:fill="000000"/>
          </w:tcPr>
          <w:p>
            <w:pPr>
              <w:spacing w:after="0"/>
            </w:pPr>
            <w:r/>
            <w:r>
              <w:rPr>
                <w:rFonts w:ascii="Arial" w:hAnsi="Arial" w:eastAsia="Arial"/>
                <w:b/>
                <w:i w:val="0"/>
                <w:color w:val="FFFFFF"/>
                <w:sz w:val="19"/>
              </w:rPr>
              <w:t>Location / version</w:t>
            </w:r>
          </w:p>
        </w:tc>
        <w:tc>
          <w:tcPr>
            <w:tcW w:type="dxa" w:w="1810"/>
            <w:tcMar>
              <w:top w:w="90" w:type="dxa"/>
              <w:start w:w="120" w:type="dxa"/>
              <w:bottom w:w="90" w:type="dxa"/>
              <w:end w:w="120" w:type="dxa"/>
            </w:tcMar>
            <w:vAlign w:val="center"/>
            <w:shd w:fill="000000"/>
          </w:tcPr>
          <w:p>
            <w:pPr>
              <w:spacing w:after="0"/>
            </w:pPr>
            <w:r/>
            <w:r>
              <w:rPr>
                <w:rFonts w:ascii="Arial" w:hAnsi="Arial" w:eastAsia="Arial"/>
                <w:b/>
                <w:i w:val="0"/>
                <w:color w:val="FFFFFF"/>
                <w:sz w:val="19"/>
              </w:rPr>
              <w:t>Reviewer</w:t>
            </w:r>
          </w:p>
        </w:tc>
      </w:tr>
      <w:tr>
        <w:tc>
          <w:tcPr>
            <w:tcW w:type="dxa" w:w="1500"/>
          </w:tcPr>
          <w:p>
            <w:pPr>
              <w:spacing w:after="0"/>
            </w:pPr>
            <w:r/>
            <w:r>
              <w:rPr>
                <w:rFonts w:ascii="Arial" w:hAnsi="Arial" w:eastAsia="Arial"/>
                <w:b/>
                <w:i w:val="0"/>
                <w:color w:val="000000"/>
                <w:sz w:val="18"/>
              </w:rPr>
              <w:t>Figure 1</w:t>
            </w:r>
          </w:p>
        </w:tc>
        <w:tc>
          <w:tcPr>
            <w:tcW w:type="dxa" w:w="2550"/>
          </w:tcPr>
          <w:p>
            <w:pPr>
              <w:spacing w:after="0"/>
            </w:pPr>
            <w:r/>
            <w:r>
              <w:rPr>
                <w:rFonts w:ascii="Arial" w:hAnsi="Arial" w:eastAsia="Arial"/>
                <w:b w:val="0"/>
                <w:i w:val="0"/>
                <w:color w:val="000000"/>
                <w:sz w:val="18"/>
              </w:rPr>
              <w:t>[Lineage / wireframe / architecture]</w:t>
            </w:r>
          </w:p>
        </w:tc>
        <w:tc>
          <w:tcPr>
            <w:tcW w:type="dxa" w:w="3500"/>
          </w:tcPr>
          <w:p>
            <w:pPr>
              <w:spacing w:after="0"/>
            </w:pPr>
            <w:r/>
            <w:r>
              <w:rPr>
                <w:rFonts w:ascii="Arial" w:hAnsi="Arial" w:eastAsia="Arial"/>
                <w:b w:val="0"/>
                <w:i w:val="0"/>
                <w:color w:val="000000"/>
                <w:sz w:val="18"/>
              </w:rPr>
              <w:t>[SharePoint link or repository path]</w:t>
            </w:r>
          </w:p>
        </w:tc>
        <w:tc>
          <w:tcPr>
            <w:tcW w:type="dxa" w:w="1810"/>
          </w:tcPr>
          <w:p>
            <w:pPr>
              <w:spacing w:after="0"/>
            </w:pPr>
            <w:r/>
            <w:r>
              <w:rPr>
                <w:rFonts w:ascii="Arial" w:hAnsi="Arial" w:eastAsia="Arial"/>
                <w:b w:val="0"/>
                <w:i w:val="0"/>
                <w:color w:val="000000"/>
                <w:sz w:val="18"/>
              </w:rPr>
              <w:t>[Name]</w:t>
            </w:r>
          </w:p>
        </w:tc>
      </w:tr>
      <w:tr>
        <w:tc>
          <w:tcPr>
            <w:tcW w:type="dxa" w:w="1500"/>
          </w:tcPr>
          <w:p>
            <w:pPr>
              <w:spacing w:after="0"/>
            </w:pPr>
            <w:r/>
            <w:r>
              <w:rPr>
                <w:rFonts w:ascii="Arial" w:hAnsi="Arial" w:eastAsia="Arial"/>
                <w:b/>
                <w:i w:val="0"/>
                <w:color w:val="000000"/>
                <w:sz w:val="18"/>
              </w:rPr>
              <w:t>Code 1</w:t>
            </w:r>
          </w:p>
        </w:tc>
        <w:tc>
          <w:tcPr>
            <w:tcW w:type="dxa" w:w="2550"/>
          </w:tcPr>
          <w:p>
            <w:pPr>
              <w:spacing w:after="0"/>
            </w:pPr>
            <w:r/>
            <w:r>
              <w:rPr>
                <w:rFonts w:ascii="Arial" w:hAnsi="Arial" w:eastAsia="Arial"/>
                <w:b w:val="0"/>
                <w:i w:val="0"/>
                <w:color w:val="000000"/>
                <w:sz w:val="18"/>
              </w:rPr>
              <w:t>[SQL / DAX / configuration]</w:t>
            </w:r>
          </w:p>
        </w:tc>
        <w:tc>
          <w:tcPr>
            <w:tcW w:type="dxa" w:w="3500"/>
          </w:tcPr>
          <w:p>
            <w:pPr>
              <w:spacing w:after="0"/>
            </w:pPr>
            <w:r/>
            <w:r>
              <w:rPr>
                <w:rFonts w:ascii="Arial" w:hAnsi="Arial" w:eastAsia="Arial"/>
                <w:b w:val="0"/>
                <w:i w:val="0"/>
                <w:color w:val="000000"/>
                <w:sz w:val="18"/>
              </w:rPr>
              <w:t>[Repository link and commit / release]</w:t>
            </w:r>
          </w:p>
        </w:tc>
        <w:tc>
          <w:tcPr>
            <w:tcW w:type="dxa" w:w="1810"/>
          </w:tcPr>
          <w:p>
            <w:pPr>
              <w:spacing w:after="0"/>
            </w:pPr>
            <w:r/>
            <w:r>
              <w:rPr>
                <w:rFonts w:ascii="Arial" w:hAnsi="Arial" w:eastAsia="Arial"/>
                <w:b w:val="0"/>
                <w:i w:val="0"/>
                <w:color w:val="000000"/>
                <w:sz w:val="18"/>
              </w:rPr>
              <w:t>[Name]</w:t>
            </w:r>
          </w:p>
        </w:tc>
      </w:tr>
    </w:tbl>
    <w:p>
      <w:pPr>
        <w:spacing w:after="80" w:before="0" w:line="259" w:lineRule="auto"/>
      </w:pPr>
      <w:r>
        <w:rPr>
          <w:rFonts w:ascii="Arial" w:hAnsi="Arial" w:eastAsia="Arial"/>
          <w:b w:val="0"/>
          <w:i w:val="0"/>
          <w:color w:val="000000"/>
          <w:sz w:val="6"/>
        </w:rPr>
      </w:r>
    </w:p>
    <w:sectPr w:rsidR="00FC693F" w:rsidRPr="0006063C" w:rsidSect="00034616">
      <w:headerReference w:type="default" r:id="rId9"/>
      <w:footerReference w:type="default" r:id="rId10"/>
      <w:pgSz w:w="12240" w:h="15840"/>
      <w:pgMar w:top="720" w:right="864" w:bottom="792" w:left="86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666666"/>
        <w:sz w:val="17"/>
      </w:rPr>
      <w:t xml:space="preserve">Controlled working document  |  Page </w:t>
    </w:r>
    <w:r>
      <w:rPr>
        <w:rFonts w:ascii="Arial" w:hAnsi="Arial" w:eastAsia="Arial"/>
        <w:b w:val="0"/>
        <w:i w:val="0"/>
        <w:color w:val="666666"/>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w:b w:val="0"/>
        <w:i w:val="0"/>
        <w:color w:val="666666"/>
        <w:sz w:val="17"/>
      </w:rPr>
      <w:t>SW DATA MART  |  DRIVE INTEGRATED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Data Mart Integrated Technical Design Specification</dc:title>
  <dc:subject>Governed consumption design for Global EDI Gold View</dc:subject>
  <dc:creator>APAC Data &amp;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