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before="0" w:line="259" w:lineRule="auto"/>
      </w:pPr>
      <w:r>
        <w:rPr>
          <w:rFonts w:ascii="Arial" w:hAnsi="Arial"/>
          <w:b/>
          <w:i w:val="0"/>
          <w:color w:val="0000FF"/>
          <w:sz w:val="18"/>
        </w:rPr>
        <w:t>SW DATA MART  |  APAC DATA &amp; ANALYTICS</w:t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DA-100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DATA ARCHITECTURE DESIGN</w:t>
      </w:r>
    </w:p>
    <w:p>
      <w:pPr>
        <w:spacing w:after="100" w:before="0" w:line="259" w:lineRule="auto"/>
      </w:pPr>
      <w:r>
        <w:rPr>
          <w:rFonts w:ascii="Arial" w:hAnsi="Arial"/>
          <w:b w:val="0"/>
          <w:i w:val="0"/>
          <w:color w:val="0000FF"/>
          <w:sz w:val="44"/>
        </w:rPr>
        <w:t>[Business Requirement Title]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FF"/>
          <w:sz w:val="34"/>
        </w:rPr>
        <w:t>DA-100-[Subject Area]-[Sequence]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Author: </w:t>
      </w:r>
      <w:r>
        <w:rPr>
          <w:rFonts w:ascii="Arial" w:hAnsi="Arial"/>
          <w:b w:val="0"/>
          <w:i w:val="0"/>
          <w:color w:val="0000FF"/>
          <w:sz w:val="20"/>
        </w:rPr>
        <w:t>[Name]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Creation date: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Last updated: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Document reference: </w:t>
      </w:r>
      <w:r>
        <w:rPr>
          <w:rFonts w:ascii="Arial" w:hAnsi="Arial"/>
          <w:b w:val="0"/>
          <w:i w:val="0"/>
          <w:color w:val="0000FF"/>
          <w:sz w:val="20"/>
        </w:rPr>
        <w:t>[SharePoint / repository link]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Version: </w:t>
      </w:r>
      <w:r>
        <w:rPr>
          <w:rFonts w:ascii="Arial" w:hAnsi="Arial"/>
          <w:b w:val="0"/>
          <w:i w:val="0"/>
          <w:color w:val="0000FF"/>
          <w:sz w:val="20"/>
        </w:rPr>
        <w:t>[0.x]</w:t>
      </w:r>
    </w:p>
    <w:p>
      <w:pPr>
        <w:spacing w:after="1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after="160" w:before="0" w:line="259" w:lineRule="auto"/>
      </w:pPr>
      <w:r>
        <w:rPr>
          <w:rFonts w:ascii="Arial" w:hAnsi="Arial"/>
          <w:b/>
          <w:i w:val="0"/>
          <w:color w:val="000000"/>
          <w:sz w:val="22"/>
        </w:rPr>
        <w:t>Approvals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End User acceptance: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PMO Manager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Technical Analyst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ERP Consultant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Document Control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24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design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[Next]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[Describe approved change]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Review and distribution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focus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End User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Outcome, usability and UAT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PMO Manager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Priority, scope and coordination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Analyst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Build, controls and support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Consultant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process and source semantics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1. Source and Scope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Document the exact Global EDI Gold View dependencies. Global EDI owns the Medallion data warehouse and upstream ETL; this document covers the APAC consumption work only.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 object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Gold View schema / version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Refresh / dependency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[Gold View object]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[Schema / version]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Global EDI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[Schedule / SLA]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Source tables and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 table / view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fields / required columns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[Object name]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[Business purpose]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[Keys and fields]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[Object name]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[Business purpose]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[Keys and fields]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2. Data Manipulation Process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Describe how the Global EDI Gold View data is cleaned, integrated and prepared. Name the program, recipe, SQL, notebook or job that performs each step.</w:t>
      </w:r>
    </w:p>
    <w:p>
      <w:pPr>
        <w:spacing w:after="40" w:before="0" w:line="259" w:lineRule="auto"/>
        <w:shd w:fill="F2F4F7"/>
        <w:pBdr>
          <w:top w:val="single" w:sz="8" w:space="1" w:color="A6A6A6"/>
          <w:left w:val="single" w:sz="8" w:space="1" w:color="A6A6A6"/>
          <w:bottom w:val="single" w:sz="8" w:space="1" w:color="A6A6A6"/>
          <w:right w:val="single" w:sz="8" w:space="1" w:color="A6A6A6"/>
        </w:pBdr>
      </w:pPr>
      <w:r>
        <w:t>FIGURE / SCREENSHOT PLACEHOLDER</w:t>
        <w:br/>
        <w:t>Gold View → Refined Coat (RC) → Sealer Coat (SC)</w:t>
        <w:br/>
        <w:t>Show inputs, processing assets, tables/views and control checks. This DA document ends at Sealer Coat; Top Coat consumer requirements are captured in the associated DA-200 Data Analytics Delivery Design.</w:t>
      </w:r>
    </w:p>
    <w:p>
      <w:pPr>
        <w:spacing w:after="140" w:before="0" w:line="259" w:lineRule="auto"/>
      </w:pPr>
      <w:r>
        <w:rPr>
          <w:rFonts w:ascii="Arial" w:hAnsi="Arial"/>
          <w:b w:val="0"/>
          <w:i/>
          <w:color w:val="666666"/>
          <w:sz w:val="17"/>
        </w:rPr>
        <w:t>Figure [#]. [Replace with a concise caption.]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Processing assets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Process step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Program / tool / asset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Logic summary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Refined Coat (RC)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[Dataiku / SQL / notebook / job]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[Ingest, join, standardise and retain source keys]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Sealer Coat (SC)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[Dataiku / SQL / notebook / job]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[Documented local cleansing, mapping or enrichment]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Reviewed transformation code or configuration</w:t>
      </w:r>
    </w:p>
    <w:p>
      <w:pPr>
        <w:spacing w:after="160" w:before="0" w:line="259" w:lineRule="auto"/>
        <w:shd w:fill="1F2937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Consolas" w:hAnsi="Consolas"/>
          <w:b w:val="0"/>
          <w:i w:val="0"/>
          <w:color w:val="F9FAFB"/>
          <w:sz w:val="17"/>
        </w:rPr>
        <w:t>[PASTE REVIEWED SQL / DAX / PYTHON / CONFIGURATION HERE]</w:t>
        <w:br/>
        <w:t># Identify the repository or release version.</w:t>
        <w:br/>
        <w:t># Explain the expected result and validation check.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3. RC and SC Data Objects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Coat</w:t>
            </w:r>
          </w:p>
        </w:tc>
        <w:tc>
          <w:tcPr>
            <w:tcW w:type="dxa" w:w="2102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Table / view name</w:t>
            </w:r>
          </w:p>
        </w:tc>
        <w:tc>
          <w:tcPr>
            <w:tcW w:type="dxa" w:w="2102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102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Primary key / grain</w:t>
            </w:r>
          </w:p>
        </w:tc>
        <w:tc>
          <w:tcPr>
            <w:tcW w:type="dxa" w:w="2102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Refresh / retention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Refined Coat (RC)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[RC object]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[Integrated source-ready object]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[Key / grain]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[Schedule / retention]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Sealer Coat (SC)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 object]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[Local cleansing / harmonisation object]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[Key / grain]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[Schedule / retention]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Source-to-target and data-quality controls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 field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RC / SC target field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Transformation / rule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[Gold View field]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[Target field]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[Rule / default / null handling]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[Completeness / reconciliation]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[Gold View field]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[Target field]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[Rule / default / null handling]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[Completeness / reconciliation]</w:t>
            </w:r>
          </w:p>
        </w:tc>
      </w:tr>
    </w:tbl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Validation and Handover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 / expected result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Business validation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[End User confirms the business outcome and representative result.]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End User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Delivery coordination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[Scope, status and dependencies are recorded.]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PMO Manager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validation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[DQ, reconciliation, security and performance checks pass.]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semantics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[Source fields, process status and exceptions are confirmed.]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Consultant</w:t>
            </w:r>
          </w:p>
        </w:tc>
      </w:tr>
    </w:tbl>
    <w:p>
      <w:pPr>
        <w:spacing w:after="160" w:before="0" w:line="259" w:lineRule="auto"/>
        <w:shd w:fill="EAF3FB"/>
        <w:pBdr>
          <w:left w:val="single" w:sz="20" w:space="1" w:color="0000FF"/>
        </w:pBdr>
      </w:pPr>
      <w:r>
        <w:t>Handover rule.  Link the approved document, evidence and release location to the DRIVE enhancement ID and the related DA-200 design before production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6666"/>
        <w:sz w:val="17"/>
      </w:rPr>
      <w:t>Controlled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i w:val="0"/>
        <w:color w:val="666666"/>
        <w:sz w:val="17"/>
      </w:rPr>
      <w:t>SW DATA MART  |  CONTROLLED DELIVERY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