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8"/>
        </w:rPr>
        <w:t>DA-001 — Data Architecture Blueprint</w:t>
      </w:r>
    </w:p>
    <w:p>
      <w:pPr>
        <w:spacing w:after="320"/>
      </w:pPr>
      <w:r>
        <w:rPr>
          <w:color w:val="475569"/>
          <w:sz w:val="22"/>
        </w:rPr>
        <w:t>Operating standard for the DA Refinery, semantic layer and warehouse contract.</w:t>
      </w:r>
    </w:p>
    <w:p>
      <w:pPr>
        <w:pStyle w:val="Heading1"/>
      </w:pPr>
      <w:r>
        <w:t>1. Purpose and scope</w:t>
      </w:r>
    </w:p>
    <w:p>
      <w:r>
        <w:t>The DA Refinery gives APAC Data &amp; Analytics control of business logic and downstream schema stability without duplicating Global EDI work. Its sole upstream contract is the EDI Gold View; Oracle EBS and boundary-system data reach the refinery only through that curated entry point or a formally approved additional source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2545"/>
              </w:rPr>
              <w:t xml:space="preserve">Design principle  </w:t>
            </w:r>
            <w:r>
              <w:t>Use a star schema for consumption: one metric-centric fact at a declared grain, surrounded by business-friendly reference dimensions. Normalize only where it materially simplifies upstream maintenance.</w:t>
            </w:r>
          </w:p>
        </w:tc>
      </w:tr>
    </w:tbl>
    <w:p>
      <w:pPr>
        <w:spacing w:after="40"/>
      </w:pPr>
    </w:p>
    <w:p>
      <w:pPr>
        <w:pStyle w:val="Heading1"/>
      </w:pPr>
      <w:r>
        <w:t>2. Target architecture and data lineage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Physical form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Primary purpose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Output contract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EDI Gold View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Upstream view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Global curated source; APAC reads but does not own upstream ETL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Source-level change notification and data availability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Refined Coat (RC)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Physical tables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Ingest and integrate related source objects; retain auditable source keys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Stable integrated records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Sealer Coat (SC)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Tables or views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Apply local cleansing, mapping, overrides and enrichment only where justified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Corrected APAC business logic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Top Coat (TC)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Views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Publish final semantic/star-model objects for BI, reports and extensions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Backward-compatible consumption interface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Consumption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Power BI, Tableau, reports, extensions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 TC only; do not query RC/SC directly in end-user outputs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Governed KPI and security experience</w:t>
            </w:r>
          </w:p>
        </w:tc>
      </w:tr>
    </w:tbl>
    <w:p>
      <w:pPr>
        <w:spacing w:after="40"/>
      </w:pPr>
    </w:p>
    <w:p>
      <w:pPr>
        <w:pStyle w:val="Heading1"/>
      </w:pPr>
      <w:r>
        <w:t>3. Semantic model and data-model rules</w:t>
      </w:r>
    </w:p>
    <w:p>
      <w:pPr>
        <w:pStyle w:val="ListBullet"/>
        <w:spacing w:after="60"/>
      </w:pPr>
      <w:r>
        <w:t>Declare grain before building a Metric table: for example, one sales-order line, one inventory item-location-day, or one production operation event.</w:t>
      </w:r>
    </w:p>
    <w:p>
      <w:pPr>
        <w:pStyle w:val="ListBullet"/>
        <w:spacing w:after="60"/>
      </w:pPr>
      <w:r>
        <w:t>Use conformed Reference objects (Date, Product, Customer, Organization, Legal Entity, Currency, Geography) across subject areas whenever the definition is shared.</w:t>
      </w:r>
    </w:p>
    <w:p>
      <w:pPr>
        <w:pStyle w:val="ListBullet"/>
        <w:spacing w:after="60"/>
      </w:pPr>
      <w:r>
        <w:t>Use Link objects only for genuine many-to-many relationships; never hide a many-to-many relationship inside a concatenated string or ambiguous filter path.</w:t>
      </w:r>
    </w:p>
    <w:p>
      <w:pPr>
        <w:pStyle w:val="ListBullet"/>
        <w:spacing w:after="60"/>
      </w:pPr>
      <w:r>
        <w:t>Use Rollup objects only for declared performance or snapshot needs; retain the lower-grain Metric as the reconciliation baseline.</w:t>
      </w:r>
    </w:p>
    <w:p>
      <w:pPr>
        <w:pStyle w:val="ListBullet"/>
        <w:spacing w:after="60"/>
      </w:pPr>
      <w:r>
        <w:t>Model Type 2 history when an attribute must be reported as-of a business event; use Type 1 only for corrections where history is not meaningful.</w:t>
      </w:r>
    </w:p>
    <w:p>
      <w:pPr>
        <w:pStyle w:val="Heading1"/>
      </w:pPr>
      <w:r>
        <w:t>4. Object taxonomy, naming and mandatory metadata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Object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TC suffix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business grain / relationship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Reference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Descriptive, slowly changing business context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REF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One row per business entity/version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Metric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Measurable events or periodic/cumulative snapshots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One row per declared business event/snapshot grain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Link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Many-to-many association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LNK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One row per association; both parent keys mandatory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Rollup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Pre-aggregated reusable result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RUP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One row per declared aggregation grain and refresh period</w:t>
            </w:r>
          </w:p>
        </w:tc>
      </w:tr>
    </w:tbl>
    <w:p>
      <w:pPr>
        <w:spacing w:after="40"/>
      </w:pPr>
    </w:p>
    <w:p>
      <w:r>
        <w:t>Name pattern: SW_APAC_&lt;RC|SC|TC&gt;_&lt;SUBJECT&gt;_&lt;OBJECT&gt;_&lt;REF|MET|LNK|RUP&gt;. Example: SW_APAC_TC_ORDER_LINE_MET. Object IDs are DA-### for architecture deliverables; all objects link to their approved DA record.</w:t>
      </w:r>
    </w:p>
    <w:p>
      <w:pPr>
        <w:pStyle w:val="Heading1"/>
      </w:pPr>
      <w:r>
        <w:t>5. Data dictionary — required columns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Field group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Recommended columns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Why it is required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Identity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&lt;object&gt;_SK, &lt;business&gt;_NK, SOURCE_SYSTEM, RECORD_HASH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Surrogate joins, source traceability and change detection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CREATED_BY, UPDATED_BY, OWNER_ORG, DATA_STEWARD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Auditability and accountable ownership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WHEN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EFFECTIVE_FROM_TS, EFFECTIVE_TO_TS, SOURCE_EXTRACT_TS, LOAD_TS, LAST_MODIFIED_TS, AS_OF_DATE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SCD handling, refresh traceability and as-of reporting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Control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IS_CURRENT, IS_DELETED, DATA_QUALITY_STATUS, DQ_EXCEPTION_CODE, BATCH_ID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Lifecycle and validation control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SECURITY_GROUP, LEGAL_ENTITY_CODE, REGION_CODE, SENSITIVITY_CLASS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RLS and privacy enforcement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Object type</w:t>
            </w:r>
          </w:p>
        </w:tc>
        <w:tc>
          <w:tcPr>
            <w:tcW w:type="dxa" w:w="76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Additional recommended columns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Reference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&lt;entity&gt;_SK, &lt;entity&gt;_CODE, &lt;entity&gt;_NAME, parent_SK, effective dates, current flag, source attributes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Metric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&lt;event&gt;_SK, all dimension SKs, EVENT_TS / SNAPSHOT_DATE, TRANSACTION_ID, quantity/amount measures, CURRENCY_CODE, source document fields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Link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left_SK, right_SK, relationship_type, allocation_pct, effective dates, source association ID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Rollup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aggregation keys, PERIOD_START_DATE, PERIOD_END_DATE, AS_OF_DATE, aggregate measures, REFRESH_TS, aggregation_rule_version</w:t>
            </w:r>
          </w:p>
        </w:tc>
      </w:tr>
    </w:tbl>
    <w:p>
      <w:pPr>
        <w:spacing w:after="40"/>
      </w:pPr>
    </w:p>
    <w:p>
      <w:pPr>
        <w:pStyle w:val="Heading1"/>
      </w:pPr>
      <w:r>
        <w:t>6. Build 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What must be completed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contract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Subject area, business question, owner, consumers, refresh SLA and retention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Source-to-target mapping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Source field, transformation, TC target field, data type, default/null rule and test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Lineage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EDI Gold View → RC object → optional SC object → TC object → semantic model → consumer IDs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Model diagram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Metric grain, references, link paths, filter direction, conformed dimensions and SCD method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dictionary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Every output column with definition, type, unit, domain, derivation and data owner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Validation plan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Row counts, key completeness, control totals, duplicate checks, late-arrival handling and acceptance criteria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Deployment / support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Dependencies, run order, access role, alerts, rollback, support owner and review date</w:t>
            </w:r>
          </w:p>
        </w:tc>
      </w:tr>
    </w:tbl>
    <w:p>
      <w:pPr>
        <w:spacing w:after="40"/>
      </w:pPr>
    </w:p>
    <w:p>
      <w:pPr>
        <w:pStyle w:val="Heading1"/>
      </w:pPr>
      <w:r>
        <w:t>Common delivery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evidence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Accountable role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definition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purpose, grain, KPI definitions and exclusion rules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owner / ERP functional lead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Lineage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Source object → Refined/Sealer/Top Coat → semantic model → output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engineer / analytics engineer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Reconciliation, freshness, completeness and schema-change tests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owner / validator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RLS/access design, sensitivity classification and approver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steward / platform owner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Release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Version, test evidence, deployment date, rollback and support owner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Delivery owner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2545"/>
              </w:rPr>
              <w:t xml:space="preserve">Minimum gate  </w:t>
            </w:r>
            <w:r>
              <w:t>No output is promoted until the business owner accepts definitions and the data owner records reconciliation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 to complete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Object ID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DA-### (example: DA-001)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 / status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Draft | Review | Approved | Retired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owner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Named manager accountable for decisions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Technical owner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Named builder accountable for support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Review cadence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 least quarterly, and after upstream/schema change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Related objects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Upstream views, semantic model, dashboard/report/extension IDs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7"/>
      </w:rPr>
      <w:t>Internal working standard  •  Owner: APAC Data &amp; Analytics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7"/>
      </w:rPr>
      <w:t>SW Data Mart  |  DA-001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