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20"/>
        </w:rPr>
        <w:t>DRIVE-001</w:t>
      </w:r>
    </w:p>
    <w:p>
      <w:pPr>
        <w:spacing w:after="60"/>
      </w:pPr>
      <w:r>
        <w:rPr>
          <w:rFonts w:ascii="Calibri" w:hAnsi="Calibri"/>
          <w:b/>
          <w:color w:val="0B2545"/>
          <w:sz w:val="46"/>
        </w:rPr>
        <w:t>Delivery Governance &amp; Development Requirements</w:t>
      </w:r>
    </w:p>
    <w:p>
      <w:pPr>
        <w:spacing w:after="240"/>
      </w:pPr>
      <w:r>
        <w:rPr>
          <w:rFonts w:ascii="Calibri" w:hAnsi="Calibri"/>
          <w:color w:val="5B6575"/>
          <w:sz w:val="22"/>
        </w:rPr>
        <w:t>The working contract that connects business intent, development logic, validation and delivery evidence.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448"/>
            <w:shd w:fill="E8EEF5"/>
            <w:tcMar>
              <w:top w:w="80" w:type="dxa"/>
              <w:start w:w="120" w:type="dxa"/>
              <w:bottom w:w="80" w:type="dxa"/>
              <w:end w:w="120" w:type="dxa"/>
            </w:tcMar>
          </w:tcPr>
          <w:p>
            <w:r>
              <w:rPr>
                <w:rFonts w:ascii="Calibri" w:hAnsi="Calibri"/>
                <w:b/>
                <w:color w:val="0B2545"/>
                <w:sz w:val="17"/>
              </w:rPr>
              <w:t>Document owner</w:t>
            </w:r>
          </w:p>
        </w:tc>
        <w:tc>
          <w:tcPr>
            <w:tcW w:type="dxa" w:w="3816"/>
            <w:shd w:fill="E8EEF5"/>
            <w:tcMar>
              <w:top w:w="80" w:type="dxa"/>
              <w:start w:w="120" w:type="dxa"/>
              <w:bottom w:w="80" w:type="dxa"/>
              <w:end w:w="120" w:type="dxa"/>
            </w:tcMar>
          </w:tcPr>
          <w:p>
            <w:r>
              <w:rPr>
                <w:rFonts w:ascii="Calibri" w:hAnsi="Calibri"/>
                <w:b/>
                <w:color w:val="0B2545"/>
                <w:sz w:val="17"/>
              </w:rPr>
              <w:t>Audience</w:t>
            </w:r>
          </w:p>
        </w:tc>
        <w:tc>
          <w:tcPr>
            <w:tcW w:type="dxa" w:w="3096"/>
            <w:shd w:fill="E8EEF5"/>
            <w:tcMar>
              <w:top w:w="80" w:type="dxa"/>
              <w:start w:w="120" w:type="dxa"/>
              <w:bottom w:w="80" w:type="dxa"/>
              <w:end w:w="120" w:type="dxa"/>
            </w:tcMar>
          </w:tcPr>
          <w:p>
            <w:r>
              <w:rPr>
                <w:rFonts w:ascii="Calibri" w:hAnsi="Calibri"/>
                <w:b/>
                <w:color w:val="0B2545"/>
                <w:sz w:val="17"/>
              </w:rPr>
              <w:t>Status / review cadence</w:t>
            </w:r>
          </w:p>
        </w:tc>
      </w:tr>
      <w:tr>
        <w:tc>
          <w:tcPr>
            <w:tcW w:type="dxa" w:w="3312"/>
            <w:tcMar>
              <w:top w:w="80" w:type="dxa"/>
              <w:start w:w="120" w:type="dxa"/>
              <w:bottom w:w="80" w:type="dxa"/>
              <w:end w:w="120" w:type="dxa"/>
            </w:tcMar>
            <w:vAlign w:val="center"/>
          </w:tcPr>
          <w:p>
            <w:pPr>
              <w:spacing w:after="0"/>
            </w:pPr>
            <w:r>
              <w:rPr>
                <w:rFonts w:ascii="Calibri" w:hAnsi="Calibri"/>
                <w:b/>
                <w:color w:val="0B2545"/>
                <w:sz w:val="17"/>
              </w:rPr>
              <w:t>APAC Data &amp; Analytics</w:t>
            </w:r>
          </w:p>
        </w:tc>
        <w:tc>
          <w:tcPr>
            <w:tcW w:type="dxa" w:w="3312"/>
            <w:tcMar>
              <w:top w:w="80" w:type="dxa"/>
              <w:start w:w="120" w:type="dxa"/>
              <w:bottom w:w="80" w:type="dxa"/>
              <w:end w:w="120" w:type="dxa"/>
            </w:tcMar>
            <w:vAlign w:val="center"/>
          </w:tcPr>
          <w:p>
            <w:pPr>
              <w:spacing w:after="0"/>
            </w:pPr>
            <w:r>
              <w:rPr>
                <w:rFonts w:ascii="Calibri" w:hAnsi="Calibri"/>
                <w:b w:val="0"/>
                <w:sz w:val="17"/>
              </w:rPr>
              <w:t>Managers &amp; Directors; ERP functional consultants; delivery team</w:t>
            </w:r>
          </w:p>
        </w:tc>
        <w:tc>
          <w:tcPr>
            <w:tcW w:type="dxa" w:w="3312"/>
            <w:tcMar>
              <w:top w:w="80" w:type="dxa"/>
              <w:start w:w="120" w:type="dxa"/>
              <w:bottom w:w="80" w:type="dxa"/>
              <w:end w:w="120" w:type="dxa"/>
            </w:tcMar>
            <w:vAlign w:val="center"/>
          </w:tcPr>
          <w:p>
            <w:pPr>
              <w:spacing w:after="0"/>
            </w:pPr>
            <w:r>
              <w:rPr>
                <w:rFonts w:ascii="Calibri" w:hAnsi="Calibri"/>
                <w:b w:val="0"/>
                <w:sz w:val="17"/>
              </w:rPr>
              <w:t>Working standard • review quarterly and after material upstream change</w:t>
            </w:r>
          </w:p>
        </w:tc>
      </w:tr>
    </w:tbl>
    <w:p>
      <w:pPr>
        <w:spacing w:after="20"/>
      </w:pPr>
    </w:p>
    <w:tbl>
      <w:tblPr>
        <w:tblStyle w:val="TableGrid"/>
        <w:tblW w:type="auto" w:w="0"/>
        <w:jc w:val="center"/>
        <w:tblLayout w:type="fixed"/>
        <w:tblLook w:firstColumn="1" w:firstRow="1" w:lastColumn="0" w:lastRow="0" w:noHBand="0" w:noVBand="1" w:val="04A0"/>
      </w:tblPr>
      <w:tblGrid>
        <w:gridCol w:w="9936"/>
      </w:tblGrid>
      <w:tr>
        <w:tc>
          <w:tcPr>
            <w:tcW w:type="dxa" w:w="9360"/>
            <w:shd w:fill="F2F4F7"/>
            <w:tcMar>
              <w:top w:w="120" w:type="dxa"/>
              <w:start w:w="150" w:type="dxa"/>
              <w:bottom w:w="120" w:type="dxa"/>
              <w:end w:w="150" w:type="dxa"/>
            </w:tcMar>
          </w:tcPr>
          <w:p>
            <w:r>
              <w:rPr>
                <w:rFonts w:ascii="Calibri" w:hAnsi="Calibri"/>
                <w:b/>
                <w:color w:val="0B2545"/>
                <w:sz w:val="20"/>
              </w:rPr>
              <w:t xml:space="preserve">Core rule  </w:t>
            </w:r>
            <w:r>
              <w:rPr>
                <w:rFonts w:ascii="Calibri" w:hAnsi="Calibri"/>
                <w:color w:val="0B2545"/>
                <w:sz w:val="20"/>
              </w:rPr>
              <w:t>Every planned or changed output must have one DRIVE record. The record connects a business decision and business logic to its DA / VI / RP / EX development requirements, validation evidence and accountable owners.</w:t>
            </w:r>
          </w:p>
        </w:tc>
      </w:tr>
    </w:tbl>
    <w:p>
      <w:pPr>
        <w:spacing w:after="20"/>
      </w:pPr>
    </w:p>
    <w:p>
      <w:pPr>
        <w:pStyle w:val="Heading1"/>
      </w:pPr>
      <w:r>
        <w:t>1. Purpose and operating scope</w:t>
      </w:r>
    </w:p>
    <w:p>
      <w:pPr>
        <w:spacing w:after="120" w:line="264" w:lineRule="auto"/>
      </w:pPr>
      <w:r>
        <w:rPr>
          <w:rFonts w:ascii="Calibri" w:hAnsi="Calibri"/>
          <w:color w:val="0B2545"/>
          <w:sz w:val="21"/>
        </w:rPr>
        <w:t>DRIVE provides an ERP-style catalogue and control structure for the SW Data Mart. It prevents a dashboard, report, data object or technical extension from being developed as an isolated request. Instead, each item has a business contract, a technical design, an explicit data lineage, documented validation, and a release/support owner.</w:t>
      </w:r>
    </w:p>
    <w:p>
      <w:pPr>
        <w:spacing w:after="120" w:line="264" w:lineRule="auto"/>
      </w:pPr>
      <w:r>
        <w:rPr>
          <w:rFonts w:ascii="Calibri" w:hAnsi="Calibri"/>
          <w:color w:val="0B2545"/>
          <w:sz w:val="21"/>
        </w:rPr>
        <w:t>The DA Refinery remains the data foundation: EDI Gold View → Refined Coat (RC) → optional Sealer Coat (SC) → Top Coat (TC). Standard consumption by dashboards, reports and extensions is through Top Coat objects or the approved semantic model only.</w:t>
      </w:r>
    </w:p>
    <w:p>
      <w:pPr>
        <w:pStyle w:val="Heading1"/>
      </w:pPr>
      <w:r>
        <w:t>2. DRIVE classification and delivery catalogue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656"/>
            <w:shd w:fill="E8EEF5"/>
            <w:tcMar>
              <w:top w:w="80" w:type="dxa"/>
              <w:start w:w="120" w:type="dxa"/>
              <w:bottom w:w="80" w:type="dxa"/>
              <w:end w:w="120" w:type="dxa"/>
            </w:tcMar>
          </w:tcPr>
          <w:p>
            <w:r>
              <w:rPr>
                <w:rFonts w:ascii="Calibri" w:hAnsi="Calibri"/>
                <w:b/>
                <w:color w:val="0B2545"/>
                <w:sz w:val="17"/>
              </w:rPr>
              <w:t>DRIVE element</w:t>
            </w:r>
          </w:p>
        </w:tc>
        <w:tc>
          <w:tcPr>
            <w:tcW w:type="dxa" w:w="1224"/>
            <w:shd w:fill="E8EEF5"/>
            <w:tcMar>
              <w:top w:w="80" w:type="dxa"/>
              <w:start w:w="120" w:type="dxa"/>
              <w:bottom w:w="80" w:type="dxa"/>
              <w:end w:w="120" w:type="dxa"/>
            </w:tcMar>
          </w:tcPr>
          <w:p>
            <w:r>
              <w:rPr>
                <w:rFonts w:ascii="Calibri" w:hAnsi="Calibri"/>
                <w:b/>
                <w:color w:val="0B2545"/>
                <w:sz w:val="17"/>
              </w:rPr>
              <w:t>Working delivery code</w:t>
            </w:r>
          </w:p>
        </w:tc>
        <w:tc>
          <w:tcPr>
            <w:tcW w:type="dxa" w:w="3312"/>
            <w:shd w:fill="E8EEF5"/>
            <w:tcMar>
              <w:top w:w="80" w:type="dxa"/>
              <w:start w:w="120" w:type="dxa"/>
              <w:bottom w:w="80" w:type="dxa"/>
              <w:end w:w="120" w:type="dxa"/>
            </w:tcMar>
          </w:tcPr>
          <w:p>
            <w:r>
              <w:rPr>
                <w:rFonts w:ascii="Calibri" w:hAnsi="Calibri"/>
                <w:b/>
                <w:color w:val="0B2545"/>
                <w:sz w:val="17"/>
              </w:rPr>
              <w:t>Required development artefact</w:t>
            </w:r>
          </w:p>
        </w:tc>
        <w:tc>
          <w:tcPr>
            <w:tcW w:type="dxa" w:w="3168"/>
            <w:shd w:fill="E8EEF5"/>
            <w:tcMar>
              <w:top w:w="80" w:type="dxa"/>
              <w:start w:w="120" w:type="dxa"/>
              <w:bottom w:w="80" w:type="dxa"/>
              <w:end w:w="120" w:type="dxa"/>
            </w:tcMar>
          </w:tcPr>
          <w:p>
            <w:r>
              <w:rPr>
                <w:rFonts w:ascii="Calibri" w:hAnsi="Calibri"/>
                <w:b/>
                <w:color w:val="0B2545"/>
                <w:sz w:val="17"/>
              </w:rPr>
              <w:t>Primary question answered</w:t>
            </w:r>
          </w:p>
        </w:tc>
      </w:tr>
      <w:tr>
        <w:tc>
          <w:tcPr>
            <w:tcW w:type="dxa" w:w="2484"/>
            <w:tcMar>
              <w:top w:w="80" w:type="dxa"/>
              <w:start w:w="120" w:type="dxa"/>
              <w:bottom w:w="80" w:type="dxa"/>
              <w:end w:w="120" w:type="dxa"/>
            </w:tcMar>
            <w:vAlign w:val="center"/>
          </w:tcPr>
          <w:p>
            <w:pPr>
              <w:spacing w:after="0"/>
            </w:pPr>
            <w:r>
              <w:rPr>
                <w:rFonts w:ascii="Calibri" w:hAnsi="Calibri"/>
                <w:b/>
                <w:color w:val="0B2545"/>
                <w:sz w:val="17"/>
              </w:rPr>
              <w:t>D — Data</w:t>
            </w:r>
          </w:p>
        </w:tc>
        <w:tc>
          <w:tcPr>
            <w:tcW w:type="dxa" w:w="2484"/>
            <w:tcMar>
              <w:top w:w="80" w:type="dxa"/>
              <w:start w:w="120" w:type="dxa"/>
              <w:bottom w:w="80" w:type="dxa"/>
              <w:end w:w="120" w:type="dxa"/>
            </w:tcMar>
            <w:vAlign w:val="center"/>
          </w:tcPr>
          <w:p>
            <w:pPr>
              <w:spacing w:after="0"/>
            </w:pPr>
            <w:r>
              <w:rPr>
                <w:rFonts w:ascii="Calibri" w:hAnsi="Calibri"/>
                <w:b w:val="0"/>
                <w:sz w:val="17"/>
              </w:rPr>
              <w:t>DA</w:t>
            </w:r>
          </w:p>
        </w:tc>
        <w:tc>
          <w:tcPr>
            <w:tcW w:type="dxa" w:w="2484"/>
            <w:tcMar>
              <w:top w:w="80" w:type="dxa"/>
              <w:start w:w="120" w:type="dxa"/>
              <w:bottom w:w="80" w:type="dxa"/>
              <w:end w:w="120" w:type="dxa"/>
            </w:tcMar>
            <w:vAlign w:val="center"/>
          </w:tcPr>
          <w:p>
            <w:pPr>
              <w:spacing w:after="0"/>
            </w:pPr>
            <w:r>
              <w:rPr>
                <w:rFonts w:ascii="Calibri" w:hAnsi="Calibri"/>
                <w:b w:val="0"/>
                <w:sz w:val="17"/>
              </w:rPr>
              <w:t>DA-001 Data Architecture Blueprint</w:t>
            </w:r>
          </w:p>
        </w:tc>
        <w:tc>
          <w:tcPr>
            <w:tcW w:type="dxa" w:w="2484"/>
            <w:tcMar>
              <w:top w:w="80" w:type="dxa"/>
              <w:start w:w="120" w:type="dxa"/>
              <w:bottom w:w="80" w:type="dxa"/>
              <w:end w:w="120" w:type="dxa"/>
            </w:tcMar>
            <w:vAlign w:val="center"/>
          </w:tcPr>
          <w:p>
            <w:pPr>
              <w:spacing w:after="0"/>
            </w:pPr>
            <w:r>
              <w:rPr>
                <w:rFonts w:ascii="Calibri" w:hAnsi="Calibri"/>
                <w:b w:val="0"/>
                <w:sz w:val="17"/>
              </w:rPr>
              <w:t>What data model, lineage and dictionary make the requirement reliable?</w:t>
            </w:r>
          </w:p>
        </w:tc>
      </w:tr>
      <w:tr>
        <w:tc>
          <w:tcPr>
            <w:tcW w:type="dxa" w:w="2484"/>
            <w:tcMar>
              <w:top w:w="80" w:type="dxa"/>
              <w:start w:w="120" w:type="dxa"/>
              <w:bottom w:w="80" w:type="dxa"/>
              <w:end w:w="120" w:type="dxa"/>
            </w:tcMar>
            <w:vAlign w:val="center"/>
            <w:shd w:fill="FAFBFC"/>
          </w:tcPr>
          <w:p>
            <w:pPr>
              <w:spacing w:after="0"/>
            </w:pPr>
            <w:r>
              <w:rPr>
                <w:rFonts w:ascii="Calibri" w:hAnsi="Calibri"/>
                <w:b/>
                <w:color w:val="0B2545"/>
                <w:sz w:val="17"/>
              </w:rPr>
              <w:t>R — Report</w:t>
            </w:r>
          </w:p>
        </w:tc>
        <w:tc>
          <w:tcPr>
            <w:tcW w:type="dxa" w:w="2484"/>
            <w:tcMar>
              <w:top w:w="80" w:type="dxa"/>
              <w:start w:w="120" w:type="dxa"/>
              <w:bottom w:w="80" w:type="dxa"/>
              <w:end w:w="120" w:type="dxa"/>
            </w:tcMar>
            <w:vAlign w:val="center"/>
            <w:shd w:fill="FAFBFC"/>
          </w:tcPr>
          <w:p>
            <w:pPr>
              <w:spacing w:after="0"/>
            </w:pPr>
            <w:r>
              <w:rPr>
                <w:rFonts w:ascii="Calibri" w:hAnsi="Calibri"/>
                <w:b w:val="0"/>
                <w:sz w:val="17"/>
              </w:rPr>
              <w:t>RP</w:t>
            </w:r>
          </w:p>
        </w:tc>
        <w:tc>
          <w:tcPr>
            <w:tcW w:type="dxa" w:w="2484"/>
            <w:tcMar>
              <w:top w:w="80" w:type="dxa"/>
              <w:start w:w="120" w:type="dxa"/>
              <w:bottom w:w="80" w:type="dxa"/>
              <w:end w:w="120" w:type="dxa"/>
            </w:tcMar>
            <w:vAlign w:val="center"/>
            <w:shd w:fill="FAFBFC"/>
          </w:tcPr>
          <w:p>
            <w:pPr>
              <w:spacing w:after="0"/>
            </w:pPr>
            <w:r>
              <w:rPr>
                <w:rFonts w:ascii="Calibri" w:hAnsi="Calibri"/>
                <w:b w:val="0"/>
                <w:sz w:val="17"/>
              </w:rPr>
              <w:t>RP-001 Structured Report Design Standard</w:t>
            </w:r>
          </w:p>
        </w:tc>
        <w:tc>
          <w:tcPr>
            <w:tcW w:type="dxa" w:w="2484"/>
            <w:tcMar>
              <w:top w:w="80" w:type="dxa"/>
              <w:start w:w="120" w:type="dxa"/>
              <w:bottom w:w="80" w:type="dxa"/>
              <w:end w:w="120" w:type="dxa"/>
            </w:tcMar>
            <w:vAlign w:val="center"/>
            <w:shd w:fill="FAFBFC"/>
          </w:tcPr>
          <w:p>
            <w:pPr>
              <w:spacing w:after="0"/>
            </w:pPr>
            <w:r>
              <w:rPr>
                <w:rFonts w:ascii="Calibri" w:hAnsi="Calibri"/>
                <w:b w:val="0"/>
                <w:sz w:val="17"/>
              </w:rPr>
              <w:t>What repeatable, traceable report or historical output is required?</w:t>
            </w:r>
          </w:p>
        </w:tc>
      </w:tr>
      <w:tr>
        <w:tc>
          <w:tcPr>
            <w:tcW w:type="dxa" w:w="2484"/>
            <w:tcMar>
              <w:top w:w="80" w:type="dxa"/>
              <w:start w:w="120" w:type="dxa"/>
              <w:bottom w:w="80" w:type="dxa"/>
              <w:end w:w="120" w:type="dxa"/>
            </w:tcMar>
            <w:vAlign w:val="center"/>
          </w:tcPr>
          <w:p>
            <w:pPr>
              <w:spacing w:after="0"/>
            </w:pPr>
            <w:r>
              <w:rPr>
                <w:rFonts w:ascii="Calibri" w:hAnsi="Calibri"/>
                <w:b/>
                <w:color w:val="0B2545"/>
                <w:sz w:val="17"/>
              </w:rPr>
              <w:t>I — Insight</w:t>
            </w:r>
          </w:p>
        </w:tc>
        <w:tc>
          <w:tcPr>
            <w:tcW w:type="dxa" w:w="2484"/>
            <w:tcMar>
              <w:top w:w="80" w:type="dxa"/>
              <w:start w:w="120" w:type="dxa"/>
              <w:bottom w:w="80" w:type="dxa"/>
              <w:end w:w="120" w:type="dxa"/>
            </w:tcMar>
            <w:vAlign w:val="center"/>
          </w:tcPr>
          <w:p>
            <w:pPr>
              <w:spacing w:after="0"/>
            </w:pPr>
            <w:r>
              <w:rPr>
                <w:rFonts w:ascii="Calibri" w:hAnsi="Calibri"/>
                <w:b w:val="0"/>
                <w:sz w:val="17"/>
              </w:rPr>
              <w:t>VI</w:t>
            </w:r>
          </w:p>
        </w:tc>
        <w:tc>
          <w:tcPr>
            <w:tcW w:type="dxa" w:w="2484"/>
            <w:tcMar>
              <w:top w:w="80" w:type="dxa"/>
              <w:start w:w="120" w:type="dxa"/>
              <w:bottom w:w="80" w:type="dxa"/>
              <w:end w:w="120" w:type="dxa"/>
            </w:tcMar>
            <w:vAlign w:val="center"/>
          </w:tcPr>
          <w:p>
            <w:pPr>
              <w:spacing w:after="0"/>
            </w:pPr>
            <w:r>
              <w:rPr>
                <w:rFonts w:ascii="Calibri" w:hAnsi="Calibri"/>
                <w:b w:val="0"/>
                <w:sz w:val="17"/>
              </w:rPr>
              <w:t>VI-001 Dashboard Design Standard</w:t>
            </w:r>
          </w:p>
        </w:tc>
        <w:tc>
          <w:tcPr>
            <w:tcW w:type="dxa" w:w="2484"/>
            <w:tcMar>
              <w:top w:w="80" w:type="dxa"/>
              <w:start w:w="120" w:type="dxa"/>
              <w:bottom w:w="80" w:type="dxa"/>
              <w:end w:w="120" w:type="dxa"/>
            </w:tcMar>
            <w:vAlign w:val="center"/>
          </w:tcPr>
          <w:p>
            <w:pPr>
              <w:spacing w:after="0"/>
            </w:pPr>
            <w:r>
              <w:rPr>
                <w:rFonts w:ascii="Calibri" w:hAnsi="Calibri"/>
                <w:b w:val="0"/>
                <w:sz w:val="17"/>
              </w:rPr>
              <w:t>What interactive dashboard supports a recurring decision?</w:t>
            </w:r>
          </w:p>
        </w:tc>
      </w:tr>
      <w:tr>
        <w:tc>
          <w:tcPr>
            <w:tcW w:type="dxa" w:w="2484"/>
            <w:tcMar>
              <w:top w:w="80" w:type="dxa"/>
              <w:start w:w="120" w:type="dxa"/>
              <w:bottom w:w="80" w:type="dxa"/>
              <w:end w:w="120" w:type="dxa"/>
            </w:tcMar>
            <w:vAlign w:val="center"/>
            <w:shd w:fill="FAFBFC"/>
          </w:tcPr>
          <w:p>
            <w:pPr>
              <w:spacing w:after="0"/>
            </w:pPr>
            <w:r>
              <w:rPr>
                <w:rFonts w:ascii="Calibri" w:hAnsi="Calibri"/>
                <w:b/>
                <w:color w:val="0B2545"/>
                <w:sz w:val="17"/>
              </w:rPr>
              <w:t>V — Validation</w:t>
            </w:r>
          </w:p>
        </w:tc>
        <w:tc>
          <w:tcPr>
            <w:tcW w:type="dxa" w:w="2484"/>
            <w:tcMar>
              <w:top w:w="80" w:type="dxa"/>
              <w:start w:w="120" w:type="dxa"/>
              <w:bottom w:w="80" w:type="dxa"/>
              <w:end w:w="120" w:type="dxa"/>
            </w:tcMar>
            <w:vAlign w:val="center"/>
            <w:shd w:fill="FAFBFC"/>
          </w:tcPr>
          <w:p>
            <w:pPr>
              <w:spacing w:after="0"/>
            </w:pPr>
            <w:r>
              <w:rPr>
                <w:rFonts w:ascii="Calibri" w:hAnsi="Calibri"/>
                <w:b w:val="0"/>
                <w:sz w:val="17"/>
              </w:rPr>
              <w:t>Cross-cutting control</w:t>
            </w:r>
          </w:p>
        </w:tc>
        <w:tc>
          <w:tcPr>
            <w:tcW w:type="dxa" w:w="2484"/>
            <w:tcMar>
              <w:top w:w="80" w:type="dxa"/>
              <w:start w:w="120" w:type="dxa"/>
              <w:bottom w:w="80" w:type="dxa"/>
              <w:end w:w="120" w:type="dxa"/>
            </w:tcMar>
            <w:vAlign w:val="center"/>
            <w:shd w:fill="FAFBFC"/>
          </w:tcPr>
          <w:p>
            <w:pPr>
              <w:spacing w:after="0"/>
            </w:pPr>
            <w:r>
              <w:rPr>
                <w:rFonts w:ascii="Calibri" w:hAnsi="Calibri"/>
                <w:b w:val="0"/>
                <w:sz w:val="17"/>
              </w:rPr>
              <w:t>Validation section within every DA / VI / RP / EX record</w:t>
            </w:r>
          </w:p>
        </w:tc>
        <w:tc>
          <w:tcPr>
            <w:tcW w:type="dxa" w:w="2484"/>
            <w:tcMar>
              <w:top w:w="80" w:type="dxa"/>
              <w:start w:w="120" w:type="dxa"/>
              <w:bottom w:w="80" w:type="dxa"/>
              <w:end w:w="120" w:type="dxa"/>
            </w:tcMar>
            <w:vAlign w:val="center"/>
            <w:shd w:fill="FAFBFC"/>
          </w:tcPr>
          <w:p>
            <w:pPr>
              <w:spacing w:after="0"/>
            </w:pPr>
            <w:r>
              <w:rPr>
                <w:rFonts w:ascii="Calibri" w:hAnsi="Calibri"/>
                <w:b w:val="0"/>
                <w:sz w:val="17"/>
              </w:rPr>
              <w:t>How do we prove correctness, completeness, security and release readiness?</w:t>
            </w:r>
          </w:p>
        </w:tc>
      </w:tr>
      <w:tr>
        <w:tc>
          <w:tcPr>
            <w:tcW w:type="dxa" w:w="2484"/>
            <w:tcMar>
              <w:top w:w="80" w:type="dxa"/>
              <w:start w:w="120" w:type="dxa"/>
              <w:bottom w:w="80" w:type="dxa"/>
              <w:end w:w="120" w:type="dxa"/>
            </w:tcMar>
            <w:vAlign w:val="center"/>
          </w:tcPr>
          <w:p>
            <w:pPr>
              <w:spacing w:after="0"/>
            </w:pPr>
            <w:r>
              <w:rPr>
                <w:rFonts w:ascii="Calibri" w:hAnsi="Calibri"/>
                <w:b/>
                <w:color w:val="0B2545"/>
                <w:sz w:val="17"/>
              </w:rPr>
              <w:t>E — Extension</w:t>
            </w:r>
          </w:p>
        </w:tc>
        <w:tc>
          <w:tcPr>
            <w:tcW w:type="dxa" w:w="2484"/>
            <w:tcMar>
              <w:top w:w="80" w:type="dxa"/>
              <w:start w:w="120" w:type="dxa"/>
              <w:bottom w:w="80" w:type="dxa"/>
              <w:end w:w="120" w:type="dxa"/>
            </w:tcMar>
            <w:vAlign w:val="center"/>
          </w:tcPr>
          <w:p>
            <w:pPr>
              <w:spacing w:after="0"/>
            </w:pPr>
            <w:r>
              <w:rPr>
                <w:rFonts w:ascii="Calibri" w:hAnsi="Calibri"/>
                <w:b w:val="0"/>
                <w:sz w:val="17"/>
              </w:rPr>
              <w:t>EX</w:t>
            </w:r>
          </w:p>
        </w:tc>
        <w:tc>
          <w:tcPr>
            <w:tcW w:type="dxa" w:w="2484"/>
            <w:tcMar>
              <w:top w:w="80" w:type="dxa"/>
              <w:start w:w="120" w:type="dxa"/>
              <w:bottom w:w="80" w:type="dxa"/>
              <w:end w:w="120" w:type="dxa"/>
            </w:tcMar>
            <w:vAlign w:val="center"/>
          </w:tcPr>
          <w:p>
            <w:pPr>
              <w:spacing w:after="0"/>
            </w:pPr>
            <w:r>
              <w:rPr>
                <w:rFonts w:ascii="Calibri" w:hAnsi="Calibri"/>
                <w:b w:val="0"/>
                <w:sz w:val="17"/>
              </w:rPr>
              <w:t>EX-001 Extension Design Standard</w:t>
            </w:r>
          </w:p>
        </w:tc>
        <w:tc>
          <w:tcPr>
            <w:tcW w:type="dxa" w:w="2484"/>
            <w:tcMar>
              <w:top w:w="80" w:type="dxa"/>
              <w:start w:w="120" w:type="dxa"/>
              <w:bottom w:w="80" w:type="dxa"/>
              <w:end w:w="120" w:type="dxa"/>
            </w:tcMar>
            <w:vAlign w:val="center"/>
          </w:tcPr>
          <w:p>
            <w:pPr>
              <w:spacing w:after="0"/>
            </w:pPr>
            <w:r>
              <w:rPr>
                <w:rFonts w:ascii="Calibri" w:hAnsi="Calibri"/>
                <w:b w:val="0"/>
                <w:sz w:val="17"/>
              </w:rPr>
              <w:t>What governed technical capability enables the business outcome?</w:t>
            </w:r>
          </w:p>
        </w:tc>
      </w:tr>
    </w:tbl>
    <w:p>
      <w:pPr>
        <w:spacing w:after="20"/>
      </w:pPr>
    </w:p>
    <w:p>
      <w:pPr>
        <w:spacing w:after="120" w:line="264" w:lineRule="auto"/>
      </w:pPr>
      <w:r>
        <w:rPr>
          <w:rFonts w:ascii="Calibri" w:hAnsi="Calibri"/>
          <w:color w:val="0B2545"/>
          <w:sz w:val="21"/>
        </w:rPr>
        <w:t>Working IDs use DA / VI / RP / EX so that teams can immediately identify the output class. DRIVE remains the overarching lifecycle and portfolio language. A single business initiative can contain several linked delivery records, for example DA-004 + VI-012 + RP-003 + EX-005.</w:t>
      </w:r>
    </w:p>
    <w:p>
      <w:pPr>
        <w:pStyle w:val="Heading1"/>
      </w:pPr>
      <w:r>
        <w:t>3. The mandatory DRIVE record</w:t>
      </w:r>
    </w:p>
    <w:p>
      <w:pPr>
        <w:spacing w:after="120" w:line="264" w:lineRule="auto"/>
      </w:pPr>
      <w:r>
        <w:rPr>
          <w:rFonts w:ascii="Calibri" w:hAnsi="Calibri"/>
          <w:color w:val="0B2545"/>
          <w:sz w:val="21"/>
        </w:rPr>
        <w:t>Create the DRIVE record before detailed development begins. It is the front page of a delivery requirement and remains the change-control reference after release.</w:t>
      </w:r>
    </w:p>
    <w:tbl>
      <w:tblPr>
        <w:tblStyle w:val="TableGrid"/>
        <w:tblW w:type="auto" w:w="0"/>
        <w:jc w:val="center"/>
        <w:tblLayout w:type="fixed"/>
        <w:tblLook w:firstColumn="1" w:firstRow="1" w:lastColumn="0" w:lastRow="0" w:noHBand="0" w:noVBand="1" w:val="04A0"/>
      </w:tblPr>
      <w:tblGrid>
        <w:gridCol w:w="4968"/>
        <w:gridCol w:w="4968"/>
      </w:tblGrid>
      <w:tr>
        <w:tc>
          <w:tcPr>
            <w:tcW w:type="dxa" w:w="1944"/>
            <w:shd w:fill="E8EEF5"/>
            <w:tcMar>
              <w:top w:w="80" w:type="dxa"/>
              <w:start w:w="120" w:type="dxa"/>
              <w:bottom w:w="80" w:type="dxa"/>
              <w:end w:w="120" w:type="dxa"/>
            </w:tcMar>
          </w:tcPr>
          <w:p>
            <w:r>
              <w:rPr>
                <w:rFonts w:ascii="Calibri" w:hAnsi="Calibri"/>
                <w:b/>
                <w:color w:val="0B2545"/>
                <w:sz w:val="17"/>
              </w:rPr>
              <w:t>Field group</w:t>
            </w:r>
          </w:p>
        </w:tc>
        <w:tc>
          <w:tcPr>
            <w:tcW w:type="dxa" w:w="7416"/>
            <w:shd w:fill="E8EEF5"/>
            <w:tcMar>
              <w:top w:w="80" w:type="dxa"/>
              <w:start w:w="120" w:type="dxa"/>
              <w:bottom w:w="80" w:type="dxa"/>
              <w:end w:w="120" w:type="dxa"/>
            </w:tcMar>
          </w:tcPr>
          <w:p>
            <w:r>
              <w:rPr>
                <w:rFonts w:ascii="Calibri" w:hAnsi="Calibri"/>
                <w:b/>
                <w:color w:val="0B2545"/>
                <w:sz w:val="17"/>
              </w:rPr>
              <w:t>Mandatory fields</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Identity</w:t>
            </w:r>
          </w:p>
        </w:tc>
        <w:tc>
          <w:tcPr>
            <w:tcW w:type="dxa" w:w="4968"/>
            <w:tcMar>
              <w:top w:w="80" w:type="dxa"/>
              <w:start w:w="120" w:type="dxa"/>
              <w:bottom w:w="80" w:type="dxa"/>
              <w:end w:w="120" w:type="dxa"/>
            </w:tcMar>
            <w:vAlign w:val="center"/>
          </w:tcPr>
          <w:p>
            <w:pPr>
              <w:spacing w:after="0"/>
            </w:pPr>
            <w:r>
              <w:rPr>
                <w:rFonts w:ascii="Calibri" w:hAnsi="Calibri"/>
                <w:b w:val="0"/>
                <w:sz w:val="17"/>
              </w:rPr>
              <w:t>DRIVE ID; linked DA / VI / RP / EX IDs; title; subject area; status; version; request date; target release.</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Business ownership</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Sponsor; business owner; process owner; Finance approver when applicable; ERP functional lead.</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Decision and value</w:t>
            </w:r>
          </w:p>
        </w:tc>
        <w:tc>
          <w:tcPr>
            <w:tcW w:type="dxa" w:w="4968"/>
            <w:tcMar>
              <w:top w:w="80" w:type="dxa"/>
              <w:start w:w="120" w:type="dxa"/>
              <w:bottom w:w="80" w:type="dxa"/>
              <w:end w:w="120" w:type="dxa"/>
            </w:tcMar>
            <w:vAlign w:val="center"/>
          </w:tcPr>
          <w:p>
            <w:pPr>
              <w:spacing w:after="0"/>
            </w:pPr>
            <w:r>
              <w:rPr>
                <w:rFonts w:ascii="Calibri" w:hAnsi="Calibri"/>
                <w:b w:val="0"/>
                <w:sz w:val="17"/>
              </w:rPr>
              <w:t>Business question; user/persona; process pain point; expected decision/action; frequency; success measure.</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Business logic</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Grain; process/module; scope; inclusion/exclusion; calculation; hierarchy; date/currency treatment; exceptions/overrides.</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Development logic</w:t>
            </w:r>
          </w:p>
        </w:tc>
        <w:tc>
          <w:tcPr>
            <w:tcW w:type="dxa" w:w="4968"/>
            <w:tcMar>
              <w:top w:w="80" w:type="dxa"/>
              <w:start w:w="120" w:type="dxa"/>
              <w:bottom w:w="80" w:type="dxa"/>
              <w:end w:w="120" w:type="dxa"/>
            </w:tcMar>
            <w:vAlign w:val="center"/>
          </w:tcPr>
          <w:p>
            <w:pPr>
              <w:spacing w:after="0"/>
            </w:pPr>
            <w:r>
              <w:rPr>
                <w:rFonts w:ascii="Calibri" w:hAnsi="Calibri"/>
                <w:b w:val="0"/>
                <w:sz w:val="17"/>
              </w:rPr>
              <w:t>Upstream source; RC/SC/TC objects; transformations; semantic model; fields; security; schedule; interfaces.</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Control and release</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DQ tests; reconciliation baseline; RLS tests; UAT scenario; acceptance owner; deployment/rollback; support owner.</w:t>
            </w:r>
          </w:p>
        </w:tc>
      </w:tr>
    </w:tbl>
    <w:p>
      <w:pPr>
        <w:spacing w:after="20"/>
      </w:pPr>
    </w:p>
    <w:p>
      <w:pPr>
        <w:pStyle w:val="Heading1"/>
      </w:pPr>
      <w:r>
        <w:t>4. Business logic requirements</w:t>
      </w:r>
    </w:p>
    <w:p>
      <w:pPr>
        <w:spacing w:after="120" w:line="264" w:lineRule="auto"/>
      </w:pPr>
      <w:r>
        <w:rPr>
          <w:rFonts w:ascii="Calibri" w:hAnsi="Calibri"/>
          <w:color w:val="0B2545"/>
          <w:sz w:val="21"/>
        </w:rPr>
        <w:t>Business logic describes the agreed operational meaning before it is translated into SQL, Dataiku, Snowflake views, DAX, Tableau calculations or automation. The business owner and ERP functional consultant are accountable for validating this section.</w:t>
      </w:r>
    </w:p>
    <w:p>
      <w:pPr>
        <w:pStyle w:val="Heading2"/>
      </w:pPr>
      <w:r>
        <w:t>4.1 Required business-logic statements</w:t>
      </w:r>
    </w:p>
    <w:p>
      <w:pPr>
        <w:pStyle w:val="ListBullet"/>
        <w:spacing w:after="60" w:line="276" w:lineRule="auto"/>
      </w:pPr>
      <w:r>
        <w:rPr>
          <w:rFonts w:ascii="Calibri" w:hAnsi="Calibri"/>
          <w:color w:val="0B2545"/>
          <w:sz w:val="21"/>
        </w:rPr>
        <w:t>Decision statement — state the decision or action this deliverable must enable, not only the requested visual or file.</w:t>
      </w:r>
    </w:p>
    <w:p>
      <w:pPr>
        <w:pStyle w:val="ListBullet"/>
        <w:spacing w:after="60" w:line="276" w:lineRule="auto"/>
      </w:pPr>
      <w:r>
        <w:rPr>
          <w:rFonts w:ascii="Calibri" w:hAnsi="Calibri"/>
          <w:color w:val="0B2545"/>
          <w:sz w:val="21"/>
        </w:rPr>
        <w:t>Business grain — state exactly what one row or one metric instance represents (for example, one sales-order line, one inventory item-location-day, or one legal-entity fiscal-month).</w:t>
      </w:r>
    </w:p>
    <w:p>
      <w:pPr>
        <w:pStyle w:val="ListBullet"/>
        <w:spacing w:after="60" w:line="276" w:lineRule="auto"/>
      </w:pPr>
      <w:r>
        <w:rPr>
          <w:rFonts w:ascii="Calibri" w:hAnsi="Calibri"/>
          <w:color w:val="0B2545"/>
          <w:sz w:val="21"/>
        </w:rPr>
        <w:t>Process context — identify Oracle EBS module(s), source document, process status, organisation/legal entity and relevant master-data hierarchy.</w:t>
      </w:r>
    </w:p>
    <w:p>
      <w:pPr>
        <w:pStyle w:val="ListBullet"/>
        <w:spacing w:after="60" w:line="276" w:lineRule="auto"/>
      </w:pPr>
      <w:r>
        <w:rPr>
          <w:rFonts w:ascii="Calibri" w:hAnsi="Calibri"/>
          <w:color w:val="0B2545"/>
          <w:sz w:val="21"/>
        </w:rPr>
        <w:t>Measure or result definition — specify formula, numerator/denominator, unit, currency, date basis, target/threshold and additive/non-additive behaviour.</w:t>
      </w:r>
    </w:p>
    <w:p>
      <w:pPr>
        <w:pStyle w:val="ListBullet"/>
        <w:spacing w:after="60" w:line="276" w:lineRule="auto"/>
      </w:pPr>
      <w:r>
        <w:rPr>
          <w:rFonts w:ascii="Calibri" w:hAnsi="Calibri"/>
          <w:color w:val="0B2545"/>
          <w:sz w:val="21"/>
        </w:rPr>
        <w:t>Scope rules — record inclusion, exclusion, cancellation/return handling, intercompany policy, late-arriving records and default filters.</w:t>
      </w:r>
    </w:p>
    <w:p>
      <w:pPr>
        <w:pStyle w:val="ListBullet"/>
        <w:spacing w:after="60" w:line="276" w:lineRule="auto"/>
      </w:pPr>
      <w:r>
        <w:rPr>
          <w:rFonts w:ascii="Calibri" w:hAnsi="Calibri"/>
          <w:color w:val="0B2545"/>
          <w:sz w:val="21"/>
        </w:rPr>
        <w:t>Exception rules — record Finance override, manual adjustment, mapping exception or business-unit variation with authority, effective period and audit requirement.</w:t>
      </w:r>
    </w:p>
    <w:p>
      <w:pPr>
        <w:pStyle w:val="ListBullet"/>
        <w:spacing w:after="60" w:line="276" w:lineRule="auto"/>
      </w:pPr>
      <w:r>
        <w:rPr>
          <w:rFonts w:ascii="Calibri" w:hAnsi="Calibri"/>
          <w:color w:val="0B2545"/>
          <w:sz w:val="21"/>
        </w:rPr>
        <w:t>Acceptance baseline — name the person, report, source control total or Finance reconciliation used to approve the result.</w:t>
      </w:r>
    </w:p>
    <w:tbl>
      <w:tblPr>
        <w:tblStyle w:val="TableGrid"/>
        <w:tblW w:type="auto" w:w="0"/>
        <w:jc w:val="center"/>
        <w:tblLayout w:type="fixed"/>
        <w:tblLook w:firstColumn="1" w:firstRow="1" w:lastColumn="0" w:lastRow="0" w:noHBand="0" w:noVBand="1" w:val="04A0"/>
      </w:tblPr>
      <w:tblGrid>
        <w:gridCol w:w="9936"/>
      </w:tblGrid>
      <w:tr>
        <w:tc>
          <w:tcPr>
            <w:tcW w:type="dxa" w:w="9360"/>
            <w:shd w:fill="F2F4F7"/>
            <w:tcMar>
              <w:top w:w="120" w:type="dxa"/>
              <w:start w:w="150" w:type="dxa"/>
              <w:bottom w:w="120" w:type="dxa"/>
              <w:end w:w="150" w:type="dxa"/>
            </w:tcMar>
          </w:tcPr>
          <w:p>
            <w:r>
              <w:rPr>
                <w:rFonts w:ascii="Calibri" w:hAnsi="Calibri"/>
                <w:b/>
                <w:color w:val="0B2545"/>
                <w:sz w:val="20"/>
              </w:rPr>
              <w:t xml:space="preserve">Finance override rule  </w:t>
            </w:r>
            <w:r>
              <w:rPr>
                <w:rFonts w:ascii="Calibri" w:hAnsi="Calibri"/>
                <w:color w:val="0B2545"/>
                <w:sz w:val="20"/>
              </w:rPr>
              <w:t>Keep Base Amount, Approved Override and Final Presented Amount as separate, traceable values. Do not overwrite the base operational metric in a report, dashboard or extension.</w:t>
            </w:r>
          </w:p>
        </w:tc>
      </w:tr>
    </w:tbl>
    <w:p>
      <w:pPr>
        <w:spacing w:after="20"/>
      </w:pPr>
    </w:p>
    <w:p>
      <w:pPr>
        <w:pStyle w:val="Heading1"/>
      </w:pPr>
      <w:r>
        <w:t>5. Development logic requirements</w:t>
      </w:r>
    </w:p>
    <w:p>
      <w:pPr>
        <w:spacing w:after="120" w:line="264" w:lineRule="auto"/>
      </w:pPr>
      <w:r>
        <w:rPr>
          <w:rFonts w:ascii="Calibri" w:hAnsi="Calibri"/>
          <w:color w:val="0B2545"/>
          <w:sz w:val="21"/>
        </w:rPr>
        <w:t>Development logic implements the approved business logic using the DA Refinery and governed consumption layers. The technical owner is accountable for a design that is supportable, testable and secure.</w:t>
      </w:r>
    </w:p>
    <w:tbl>
      <w:tblPr>
        <w:tblStyle w:val="TableGrid"/>
        <w:tblW w:type="auto" w:w="0"/>
        <w:jc w:val="center"/>
        <w:tblLayout w:type="fixed"/>
        <w:tblLook w:firstColumn="1" w:firstRow="1" w:lastColumn="0" w:lastRow="0" w:noHBand="0" w:noVBand="1" w:val="04A0"/>
      </w:tblPr>
      <w:tblGrid>
        <w:gridCol w:w="4968"/>
        <w:gridCol w:w="4968"/>
      </w:tblGrid>
      <w:tr>
        <w:tc>
          <w:tcPr>
            <w:tcW w:type="dxa" w:w="1872"/>
            <w:shd w:fill="E8EEF5"/>
            <w:tcMar>
              <w:top w:w="80" w:type="dxa"/>
              <w:start w:w="120" w:type="dxa"/>
              <w:bottom w:w="80" w:type="dxa"/>
              <w:end w:w="120" w:type="dxa"/>
            </w:tcMar>
          </w:tcPr>
          <w:p>
            <w:r>
              <w:rPr>
                <w:rFonts w:ascii="Calibri" w:hAnsi="Calibri"/>
                <w:b/>
                <w:color w:val="0B2545"/>
                <w:sz w:val="17"/>
              </w:rPr>
              <w:t>Design area</w:t>
            </w:r>
          </w:p>
        </w:tc>
        <w:tc>
          <w:tcPr>
            <w:tcW w:type="dxa" w:w="7488"/>
            <w:shd w:fill="E8EEF5"/>
            <w:tcMar>
              <w:top w:w="80" w:type="dxa"/>
              <w:start w:w="120" w:type="dxa"/>
              <w:bottom w:w="80" w:type="dxa"/>
              <w:end w:w="120" w:type="dxa"/>
            </w:tcMar>
          </w:tcPr>
          <w:p>
            <w:r>
              <w:rPr>
                <w:rFonts w:ascii="Calibri" w:hAnsi="Calibri"/>
                <w:b/>
                <w:color w:val="0B2545"/>
                <w:sz w:val="17"/>
              </w:rPr>
              <w:t>Required development logic</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Source and lineage</w:t>
            </w:r>
          </w:p>
        </w:tc>
        <w:tc>
          <w:tcPr>
            <w:tcW w:type="dxa" w:w="4968"/>
            <w:tcMar>
              <w:top w:w="80" w:type="dxa"/>
              <w:start w:w="120" w:type="dxa"/>
              <w:bottom w:w="80" w:type="dxa"/>
              <w:end w:w="120" w:type="dxa"/>
            </w:tcMar>
            <w:vAlign w:val="center"/>
          </w:tcPr>
          <w:p>
            <w:pPr>
              <w:spacing w:after="0"/>
            </w:pPr>
            <w:r>
              <w:rPr>
                <w:rFonts w:ascii="Calibri" w:hAnsi="Calibri"/>
                <w:b w:val="0"/>
                <w:sz w:val="17"/>
              </w:rPr>
              <w:t>EDI Gold View source; source fields; source-to-target mapping; RC/SC/TC transformation; rule version; load/refresh timestamp.</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Data model</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Metric grain; Reference objects; Link relationships; Rollup needs; conformed dimensions; SCD type; filter direction.</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Top Coat contract</w:t>
            </w:r>
          </w:p>
        </w:tc>
        <w:tc>
          <w:tcPr>
            <w:tcW w:type="dxa" w:w="4968"/>
            <w:tcMar>
              <w:top w:w="80" w:type="dxa"/>
              <w:start w:w="120" w:type="dxa"/>
              <w:bottom w:w="80" w:type="dxa"/>
              <w:end w:w="120" w:type="dxa"/>
            </w:tcMar>
            <w:vAlign w:val="center"/>
          </w:tcPr>
          <w:p>
            <w:pPr>
              <w:spacing w:after="0"/>
            </w:pPr>
            <w:r>
              <w:rPr>
                <w:rFonts w:ascii="Calibri" w:hAnsi="Calibri"/>
                <w:b w:val="0"/>
                <w:sz w:val="17"/>
              </w:rPr>
              <w:t>Object name using SW_APAC_&lt;RC|SC|TC&gt;_&lt;SUBJECT&gt;_&lt;OBJECT&gt;_&lt;REF|MET|LNK|RUP&gt;; backward-compatibility impact; published fields.</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Semantic logic</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Measure/calc name; DAX/Tableau/SQL logic; date role; fiscal calendar; currency conversion; display format; drill path.</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Security and privacy</w:t>
            </w:r>
          </w:p>
        </w:tc>
        <w:tc>
          <w:tcPr>
            <w:tcW w:type="dxa" w:w="4968"/>
            <w:tcMar>
              <w:top w:w="80" w:type="dxa"/>
              <w:start w:w="120" w:type="dxa"/>
              <w:bottom w:w="80" w:type="dxa"/>
              <w:end w:w="120" w:type="dxa"/>
            </w:tcMar>
            <w:vAlign w:val="center"/>
          </w:tcPr>
          <w:p>
            <w:pPr>
              <w:spacing w:after="0"/>
            </w:pPr>
            <w:r>
              <w:rPr>
                <w:rFonts w:ascii="Calibri" w:hAnsi="Calibri"/>
                <w:b w:val="0"/>
                <w:sz w:val="17"/>
              </w:rPr>
              <w:t>Sensitivity class; RLS/entitlement Reference; legal entity/region access; export restriction; named approver.</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Operations</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Refresh schedule; incremental watermark; dependency; alert; retry; runbook; support owner; rollback steps.</w:t>
            </w:r>
          </w:p>
        </w:tc>
      </w:tr>
    </w:tbl>
    <w:p>
      <w:pPr>
        <w:spacing w:after="20"/>
      </w:pPr>
    </w:p>
    <w:p>
      <w:pPr>
        <w:pStyle w:val="Heading2"/>
      </w:pPr>
      <w:r>
        <w:t>5.1 Required dictionary fields</w:t>
      </w:r>
    </w:p>
    <w:tbl>
      <w:tblPr>
        <w:tblStyle w:val="TableGrid"/>
        <w:tblW w:type="auto" w:w="0"/>
        <w:jc w:val="center"/>
        <w:tblLayout w:type="fixed"/>
        <w:tblLook w:firstColumn="1" w:firstRow="1" w:lastColumn="0" w:lastRow="0" w:noHBand="0" w:noVBand="1" w:val="04A0"/>
      </w:tblPr>
      <w:tblGrid>
        <w:gridCol w:w="4968"/>
        <w:gridCol w:w="4968"/>
      </w:tblGrid>
      <w:tr>
        <w:tc>
          <w:tcPr>
            <w:tcW w:type="dxa" w:w="1872"/>
            <w:shd w:fill="E8EEF5"/>
            <w:tcMar>
              <w:top w:w="80" w:type="dxa"/>
              <w:start w:w="120" w:type="dxa"/>
              <w:bottom w:w="80" w:type="dxa"/>
              <w:end w:w="120" w:type="dxa"/>
            </w:tcMar>
          </w:tcPr>
          <w:p>
            <w:r>
              <w:rPr>
                <w:rFonts w:ascii="Calibri" w:hAnsi="Calibri"/>
                <w:b/>
                <w:color w:val="0B2545"/>
                <w:sz w:val="17"/>
              </w:rPr>
              <w:t>Category</w:t>
            </w:r>
          </w:p>
        </w:tc>
        <w:tc>
          <w:tcPr>
            <w:tcW w:type="dxa" w:w="7488"/>
            <w:shd w:fill="E8EEF5"/>
            <w:tcMar>
              <w:top w:w="80" w:type="dxa"/>
              <w:start w:w="120" w:type="dxa"/>
              <w:bottom w:w="80" w:type="dxa"/>
              <w:end w:w="120" w:type="dxa"/>
            </w:tcMar>
          </w:tcPr>
          <w:p>
            <w:r>
              <w:rPr>
                <w:rFonts w:ascii="Calibri" w:hAnsi="Calibri"/>
                <w:b/>
                <w:color w:val="0B2545"/>
                <w:sz w:val="17"/>
              </w:rPr>
              <w:t>Minimum fields</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Identity</w:t>
            </w:r>
          </w:p>
        </w:tc>
        <w:tc>
          <w:tcPr>
            <w:tcW w:type="dxa" w:w="4968"/>
            <w:tcMar>
              <w:top w:w="80" w:type="dxa"/>
              <w:start w:w="120" w:type="dxa"/>
              <w:bottom w:w="80" w:type="dxa"/>
              <w:end w:w="120" w:type="dxa"/>
            </w:tcMar>
            <w:vAlign w:val="center"/>
          </w:tcPr>
          <w:p>
            <w:pPr>
              <w:spacing w:after="0"/>
            </w:pPr>
            <w:r>
              <w:rPr>
                <w:rFonts w:ascii="Calibri" w:hAnsi="Calibri"/>
                <w:b w:val="0"/>
                <w:sz w:val="17"/>
              </w:rPr>
              <w:t>Surrogate key, natural/business key, source system, source record identifier, record hash.</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WHO</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Created by, updated by, owner organisation, data steward, approved by where relevant.</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WHEN</w:t>
            </w:r>
          </w:p>
        </w:tc>
        <w:tc>
          <w:tcPr>
            <w:tcW w:type="dxa" w:w="4968"/>
            <w:tcMar>
              <w:top w:w="80" w:type="dxa"/>
              <w:start w:w="120" w:type="dxa"/>
              <w:bottom w:w="80" w:type="dxa"/>
              <w:end w:w="120" w:type="dxa"/>
            </w:tcMar>
            <w:vAlign w:val="center"/>
          </w:tcPr>
          <w:p>
            <w:pPr>
              <w:spacing w:after="0"/>
            </w:pPr>
            <w:r>
              <w:rPr>
                <w:rFonts w:ascii="Calibri" w:hAnsi="Calibri"/>
                <w:b w:val="0"/>
                <w:sz w:val="17"/>
              </w:rPr>
              <w:t>Effective from/to, source extract timestamp, load timestamp, last modified timestamp, as-of date, refresh timestamp.</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Control</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Current/deleted indicator, data-quality status, exception code, batch ID, rule version.</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Security</w:t>
            </w:r>
          </w:p>
        </w:tc>
        <w:tc>
          <w:tcPr>
            <w:tcW w:type="dxa" w:w="4968"/>
            <w:tcMar>
              <w:top w:w="80" w:type="dxa"/>
              <w:start w:w="120" w:type="dxa"/>
              <w:bottom w:w="80" w:type="dxa"/>
              <w:end w:w="120" w:type="dxa"/>
            </w:tcMar>
            <w:vAlign w:val="center"/>
          </w:tcPr>
          <w:p>
            <w:pPr>
              <w:spacing w:after="0"/>
            </w:pPr>
            <w:r>
              <w:rPr>
                <w:rFonts w:ascii="Calibri" w:hAnsi="Calibri"/>
                <w:b w:val="0"/>
                <w:sz w:val="17"/>
              </w:rPr>
              <w:t>Legal entity, region, security group, sensitivity class, entitlement effective period.</w:t>
            </w:r>
          </w:p>
        </w:tc>
      </w:tr>
    </w:tbl>
    <w:p>
      <w:pPr>
        <w:spacing w:after="20"/>
      </w:pPr>
    </w:p>
    <w:p>
      <w:pPr>
        <w:pStyle w:val="Heading1"/>
      </w:pPr>
      <w:r>
        <w:t>6. Required linked document set</w:t>
      </w:r>
    </w:p>
    <w:p>
      <w:pPr>
        <w:spacing w:after="120" w:line="264" w:lineRule="auto"/>
      </w:pPr>
      <w:r>
        <w:rPr>
          <w:rFonts w:ascii="Calibri" w:hAnsi="Calibri"/>
          <w:color w:val="0B2545"/>
          <w:sz w:val="21"/>
        </w:rPr>
        <w:t>A DRIVE record does not replace the detailed standards below. It selects and links the documents that must be completed for the requirement. A change is not ready for release until the relevant linked documents are approved.</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376"/>
            <w:shd w:fill="E8EEF5"/>
            <w:tcMar>
              <w:top w:w="80" w:type="dxa"/>
              <w:start w:w="120" w:type="dxa"/>
              <w:bottom w:w="80" w:type="dxa"/>
              <w:end w:w="120" w:type="dxa"/>
            </w:tcMar>
          </w:tcPr>
          <w:p>
            <w:r>
              <w:rPr>
                <w:rFonts w:ascii="Calibri" w:hAnsi="Calibri"/>
                <w:b/>
                <w:color w:val="0B2545"/>
                <w:sz w:val="17"/>
              </w:rPr>
              <w:t>If the requirement includes…</w:t>
            </w:r>
          </w:p>
        </w:tc>
        <w:tc>
          <w:tcPr>
            <w:tcW w:type="dxa" w:w="3096"/>
            <w:shd w:fill="E8EEF5"/>
            <w:tcMar>
              <w:top w:w="80" w:type="dxa"/>
              <w:start w:w="120" w:type="dxa"/>
              <w:bottom w:w="80" w:type="dxa"/>
              <w:end w:w="120" w:type="dxa"/>
            </w:tcMar>
          </w:tcPr>
          <w:p>
            <w:r>
              <w:rPr>
                <w:rFonts w:ascii="Calibri" w:hAnsi="Calibri"/>
                <w:b/>
                <w:color w:val="0B2545"/>
                <w:sz w:val="17"/>
              </w:rPr>
              <w:t>Complete / link…</w:t>
            </w:r>
          </w:p>
        </w:tc>
        <w:tc>
          <w:tcPr>
            <w:tcW w:type="dxa" w:w="3888"/>
            <w:shd w:fill="E8EEF5"/>
            <w:tcMar>
              <w:top w:w="80" w:type="dxa"/>
              <w:start w:w="120" w:type="dxa"/>
              <w:bottom w:w="80" w:type="dxa"/>
              <w:end w:w="120" w:type="dxa"/>
            </w:tcMar>
          </w:tcPr>
          <w:p>
            <w:r>
              <w:rPr>
                <w:rFonts w:ascii="Calibri" w:hAnsi="Calibri"/>
                <w:b/>
                <w:color w:val="0B2545"/>
                <w:sz w:val="17"/>
              </w:rPr>
              <w:t>Minimum content to review</w:t>
            </w:r>
          </w:p>
        </w:tc>
      </w:tr>
      <w:tr>
        <w:tc>
          <w:tcPr>
            <w:tcW w:type="dxa" w:w="3312"/>
            <w:tcMar>
              <w:top w:w="80" w:type="dxa"/>
              <w:start w:w="120" w:type="dxa"/>
              <w:bottom w:w="80" w:type="dxa"/>
              <w:end w:w="120" w:type="dxa"/>
            </w:tcMar>
            <w:vAlign w:val="center"/>
          </w:tcPr>
          <w:p>
            <w:pPr>
              <w:spacing w:after="0"/>
            </w:pPr>
            <w:r>
              <w:rPr>
                <w:rFonts w:ascii="Calibri" w:hAnsi="Calibri"/>
                <w:b/>
                <w:color w:val="0B2545"/>
                <w:sz w:val="17"/>
              </w:rPr>
              <w:t>New or changed source-to-semantic data</w:t>
            </w:r>
          </w:p>
        </w:tc>
        <w:tc>
          <w:tcPr>
            <w:tcW w:type="dxa" w:w="3312"/>
            <w:tcMar>
              <w:top w:w="80" w:type="dxa"/>
              <w:start w:w="120" w:type="dxa"/>
              <w:bottom w:w="80" w:type="dxa"/>
              <w:end w:w="120" w:type="dxa"/>
            </w:tcMar>
            <w:vAlign w:val="center"/>
          </w:tcPr>
          <w:p>
            <w:pPr>
              <w:spacing w:after="0"/>
            </w:pPr>
            <w:r>
              <w:rPr>
                <w:rFonts w:ascii="Calibri" w:hAnsi="Calibri"/>
                <w:b w:val="0"/>
                <w:sz w:val="17"/>
              </w:rPr>
              <w:t>DA-001 Data Architecture Blueprint</w:t>
            </w:r>
          </w:p>
        </w:tc>
        <w:tc>
          <w:tcPr>
            <w:tcW w:type="dxa" w:w="3312"/>
            <w:tcMar>
              <w:top w:w="80" w:type="dxa"/>
              <w:start w:w="120" w:type="dxa"/>
              <w:bottom w:w="80" w:type="dxa"/>
              <w:end w:w="120" w:type="dxa"/>
            </w:tcMar>
            <w:vAlign w:val="center"/>
          </w:tcPr>
          <w:p>
            <w:pPr>
              <w:spacing w:after="0"/>
            </w:pPr>
            <w:r>
              <w:rPr>
                <w:rFonts w:ascii="Calibri" w:hAnsi="Calibri"/>
                <w:b w:val="0"/>
                <w:sz w:val="17"/>
              </w:rPr>
              <w:t>Lineage, mapping, grain, REF/MET/LNK/RUP model, dictionary, DQ tests.</w:t>
            </w:r>
          </w:p>
        </w:tc>
      </w:tr>
      <w:tr>
        <w:tc>
          <w:tcPr>
            <w:tcW w:type="dxa" w:w="3312"/>
            <w:tcMar>
              <w:top w:w="80" w:type="dxa"/>
              <w:start w:w="120" w:type="dxa"/>
              <w:bottom w:w="80" w:type="dxa"/>
              <w:end w:w="120" w:type="dxa"/>
            </w:tcMar>
            <w:vAlign w:val="center"/>
            <w:shd w:fill="FAFBFC"/>
          </w:tcPr>
          <w:p>
            <w:pPr>
              <w:spacing w:after="0"/>
            </w:pPr>
            <w:r>
              <w:rPr>
                <w:rFonts w:ascii="Calibri" w:hAnsi="Calibri"/>
                <w:b/>
                <w:color w:val="0B2545"/>
                <w:sz w:val="17"/>
              </w:rPr>
              <w:t>Power BI or Tableau experience</w:t>
            </w:r>
          </w:p>
        </w:tc>
        <w:tc>
          <w:tcPr>
            <w:tcW w:type="dxa" w:w="3312"/>
            <w:tcMar>
              <w:top w:w="80" w:type="dxa"/>
              <w:start w:w="120" w:type="dxa"/>
              <w:bottom w:w="80" w:type="dxa"/>
              <w:end w:w="120" w:type="dxa"/>
            </w:tcMar>
            <w:vAlign w:val="center"/>
            <w:shd w:fill="FAFBFC"/>
          </w:tcPr>
          <w:p>
            <w:pPr>
              <w:spacing w:after="0"/>
            </w:pPr>
            <w:r>
              <w:rPr>
                <w:rFonts w:ascii="Calibri" w:hAnsi="Calibri"/>
                <w:b w:val="0"/>
                <w:sz w:val="17"/>
              </w:rPr>
              <w:t>VI-001 Dashboard Design Standard</w:t>
            </w:r>
          </w:p>
        </w:tc>
        <w:tc>
          <w:tcPr>
            <w:tcW w:type="dxa" w:w="3312"/>
            <w:tcMar>
              <w:top w:w="80" w:type="dxa"/>
              <w:start w:w="120" w:type="dxa"/>
              <w:bottom w:w="80" w:type="dxa"/>
              <w:end w:w="120" w:type="dxa"/>
            </w:tcMar>
            <w:vAlign w:val="center"/>
            <w:shd w:fill="FAFBFC"/>
          </w:tcPr>
          <w:p>
            <w:pPr>
              <w:spacing w:after="0"/>
            </w:pPr>
            <w:r>
              <w:rPr>
                <w:rFonts w:ascii="Calibri" w:hAnsi="Calibri"/>
                <w:b w:val="0"/>
                <w:sz w:val="17"/>
              </w:rPr>
              <w:t>Decision questions, KPI catalogue, semantic model, page design, RLS, UAT.</w:t>
            </w:r>
          </w:p>
        </w:tc>
      </w:tr>
      <w:tr>
        <w:tc>
          <w:tcPr>
            <w:tcW w:type="dxa" w:w="3312"/>
            <w:tcMar>
              <w:top w:w="80" w:type="dxa"/>
              <w:start w:w="120" w:type="dxa"/>
              <w:bottom w:w="80" w:type="dxa"/>
              <w:end w:w="120" w:type="dxa"/>
            </w:tcMar>
            <w:vAlign w:val="center"/>
          </w:tcPr>
          <w:p>
            <w:pPr>
              <w:spacing w:after="0"/>
            </w:pPr>
            <w:r>
              <w:rPr>
                <w:rFonts w:ascii="Calibri" w:hAnsi="Calibri"/>
                <w:b/>
                <w:color w:val="0B2545"/>
                <w:sz w:val="17"/>
              </w:rPr>
              <w:t>Scheduled, historical or Finance-controlled report</w:t>
            </w:r>
          </w:p>
        </w:tc>
        <w:tc>
          <w:tcPr>
            <w:tcW w:type="dxa" w:w="3312"/>
            <w:tcMar>
              <w:top w:w="80" w:type="dxa"/>
              <w:start w:w="120" w:type="dxa"/>
              <w:bottom w:w="80" w:type="dxa"/>
              <w:end w:w="120" w:type="dxa"/>
            </w:tcMar>
            <w:vAlign w:val="center"/>
          </w:tcPr>
          <w:p>
            <w:pPr>
              <w:spacing w:after="0"/>
            </w:pPr>
            <w:r>
              <w:rPr>
                <w:rFonts w:ascii="Calibri" w:hAnsi="Calibri"/>
                <w:b w:val="0"/>
                <w:sz w:val="17"/>
              </w:rPr>
              <w:t>RP-001 Structured Report Design Standard</w:t>
            </w:r>
          </w:p>
        </w:tc>
        <w:tc>
          <w:tcPr>
            <w:tcW w:type="dxa" w:w="3312"/>
            <w:tcMar>
              <w:top w:w="80" w:type="dxa"/>
              <w:start w:w="120" w:type="dxa"/>
              <w:bottom w:w="80" w:type="dxa"/>
              <w:end w:w="120" w:type="dxa"/>
            </w:tcMar>
            <w:vAlign w:val="center"/>
          </w:tcPr>
          <w:p>
            <w:pPr>
              <w:spacing w:after="0"/>
            </w:pPr>
            <w:r>
              <w:rPr>
                <w:rFonts w:ascii="Calibri" w:hAnsi="Calibri"/>
                <w:b w:val="0"/>
                <w:sz w:val="17"/>
              </w:rPr>
              <w:t>Report grain, snapshot/restatement policy, override contract, reconciliation, archive.</w:t>
            </w:r>
          </w:p>
        </w:tc>
      </w:tr>
      <w:tr>
        <w:tc>
          <w:tcPr>
            <w:tcW w:type="dxa" w:w="3312"/>
            <w:tcMar>
              <w:top w:w="80" w:type="dxa"/>
              <w:start w:w="120" w:type="dxa"/>
              <w:bottom w:w="80" w:type="dxa"/>
              <w:end w:w="120" w:type="dxa"/>
            </w:tcMar>
            <w:vAlign w:val="center"/>
            <w:shd w:fill="FAFBFC"/>
          </w:tcPr>
          <w:p>
            <w:pPr>
              <w:spacing w:after="0"/>
            </w:pPr>
            <w:r>
              <w:rPr>
                <w:rFonts w:ascii="Calibri" w:hAnsi="Calibri"/>
                <w:b/>
                <w:color w:val="0B2545"/>
                <w:sz w:val="17"/>
              </w:rPr>
              <w:t>Excel output, RLS, DAX library, sync or automation</w:t>
            </w:r>
          </w:p>
        </w:tc>
        <w:tc>
          <w:tcPr>
            <w:tcW w:type="dxa" w:w="3312"/>
            <w:tcMar>
              <w:top w:w="80" w:type="dxa"/>
              <w:start w:w="120" w:type="dxa"/>
              <w:bottom w:w="80" w:type="dxa"/>
              <w:end w:w="120" w:type="dxa"/>
            </w:tcMar>
            <w:vAlign w:val="center"/>
            <w:shd w:fill="FAFBFC"/>
          </w:tcPr>
          <w:p>
            <w:pPr>
              <w:spacing w:after="0"/>
            </w:pPr>
            <w:r>
              <w:rPr>
                <w:rFonts w:ascii="Calibri" w:hAnsi="Calibri"/>
                <w:b w:val="0"/>
                <w:sz w:val="17"/>
              </w:rPr>
              <w:t>EX-001 Extension Design Standard</w:t>
            </w:r>
          </w:p>
        </w:tc>
        <w:tc>
          <w:tcPr>
            <w:tcW w:type="dxa" w:w="3312"/>
            <w:tcMar>
              <w:top w:w="80" w:type="dxa"/>
              <w:start w:w="120" w:type="dxa"/>
              <w:bottom w:w="80" w:type="dxa"/>
              <w:end w:w="120" w:type="dxa"/>
            </w:tcMar>
            <w:vAlign w:val="center"/>
            <w:shd w:fill="FAFBFC"/>
          </w:tcPr>
          <w:p>
            <w:pPr>
              <w:spacing w:after="0"/>
            </w:pPr>
            <w:r>
              <w:rPr>
                <w:rFonts w:ascii="Calibri" w:hAnsi="Calibri"/>
                <w:b w:val="0"/>
                <w:sz w:val="17"/>
              </w:rPr>
              <w:t>Interface/data contract, security, operations, recovery and lifecycle.</w:t>
            </w:r>
          </w:p>
        </w:tc>
      </w:tr>
    </w:tbl>
    <w:p>
      <w:pPr>
        <w:spacing w:after="20"/>
      </w:pPr>
    </w:p>
    <w:p>
      <w:pPr>
        <w:pStyle w:val="Heading1"/>
      </w:pPr>
      <w:r>
        <w:t>7. Delivery lifecycle and validation gates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512"/>
            <w:shd w:fill="E8EEF5"/>
            <w:tcMar>
              <w:top w:w="80" w:type="dxa"/>
              <w:start w:w="120" w:type="dxa"/>
              <w:bottom w:w="80" w:type="dxa"/>
              <w:end w:w="120" w:type="dxa"/>
            </w:tcMar>
          </w:tcPr>
          <w:p>
            <w:r>
              <w:rPr>
                <w:rFonts w:ascii="Calibri" w:hAnsi="Calibri"/>
                <w:b/>
                <w:color w:val="0B2545"/>
                <w:sz w:val="17"/>
              </w:rPr>
              <w:t>Gate</w:t>
            </w:r>
          </w:p>
        </w:tc>
        <w:tc>
          <w:tcPr>
            <w:tcW w:type="dxa" w:w="2448"/>
            <w:shd w:fill="E8EEF5"/>
            <w:tcMar>
              <w:top w:w="80" w:type="dxa"/>
              <w:start w:w="120" w:type="dxa"/>
              <w:bottom w:w="80" w:type="dxa"/>
              <w:end w:w="120" w:type="dxa"/>
            </w:tcMar>
          </w:tcPr>
          <w:p>
            <w:r>
              <w:rPr>
                <w:rFonts w:ascii="Calibri" w:hAnsi="Calibri"/>
                <w:b/>
                <w:color w:val="0B2545"/>
                <w:sz w:val="17"/>
              </w:rPr>
              <w:t>Owner</w:t>
            </w:r>
          </w:p>
        </w:tc>
        <w:tc>
          <w:tcPr>
            <w:tcW w:type="dxa" w:w="5400"/>
            <w:shd w:fill="E8EEF5"/>
            <w:tcMar>
              <w:top w:w="80" w:type="dxa"/>
              <w:start w:w="120" w:type="dxa"/>
              <w:bottom w:w="80" w:type="dxa"/>
              <w:end w:w="120" w:type="dxa"/>
            </w:tcMar>
          </w:tcPr>
          <w:p>
            <w:r>
              <w:rPr>
                <w:rFonts w:ascii="Calibri" w:hAnsi="Calibri"/>
                <w:b/>
                <w:color w:val="0B2545"/>
                <w:sz w:val="17"/>
              </w:rPr>
              <w:t>Exit evidence</w:t>
            </w:r>
          </w:p>
        </w:tc>
      </w:tr>
      <w:tr>
        <w:tc>
          <w:tcPr>
            <w:tcW w:type="dxa" w:w="3312"/>
            <w:tcMar>
              <w:top w:w="80" w:type="dxa"/>
              <w:start w:w="120" w:type="dxa"/>
              <w:bottom w:w="80" w:type="dxa"/>
              <w:end w:w="120" w:type="dxa"/>
            </w:tcMar>
            <w:vAlign w:val="center"/>
          </w:tcPr>
          <w:p>
            <w:pPr>
              <w:spacing w:after="0"/>
            </w:pPr>
            <w:r>
              <w:rPr>
                <w:rFonts w:ascii="Calibri" w:hAnsi="Calibri"/>
                <w:b/>
                <w:color w:val="0B2545"/>
                <w:sz w:val="17"/>
              </w:rPr>
              <w:t>1. Register</w:t>
            </w:r>
          </w:p>
        </w:tc>
        <w:tc>
          <w:tcPr>
            <w:tcW w:type="dxa" w:w="3312"/>
            <w:tcMar>
              <w:top w:w="80" w:type="dxa"/>
              <w:start w:w="120" w:type="dxa"/>
              <w:bottom w:w="80" w:type="dxa"/>
              <w:end w:w="120" w:type="dxa"/>
            </w:tcMar>
            <w:vAlign w:val="center"/>
          </w:tcPr>
          <w:p>
            <w:pPr>
              <w:spacing w:after="0"/>
            </w:pPr>
            <w:r>
              <w:rPr>
                <w:rFonts w:ascii="Calibri" w:hAnsi="Calibri"/>
                <w:b w:val="0"/>
                <w:sz w:val="17"/>
              </w:rPr>
              <w:t>Business owner</w:t>
            </w:r>
          </w:p>
        </w:tc>
        <w:tc>
          <w:tcPr>
            <w:tcW w:type="dxa" w:w="3312"/>
            <w:tcMar>
              <w:top w:w="80" w:type="dxa"/>
              <w:start w:w="120" w:type="dxa"/>
              <w:bottom w:w="80" w:type="dxa"/>
              <w:end w:w="120" w:type="dxa"/>
            </w:tcMar>
            <w:vAlign w:val="center"/>
          </w:tcPr>
          <w:p>
            <w:pPr>
              <w:spacing w:after="0"/>
            </w:pPr>
            <w:r>
              <w:rPr>
                <w:rFonts w:ascii="Calibri" w:hAnsi="Calibri"/>
                <w:b w:val="0"/>
                <w:sz w:val="17"/>
              </w:rPr>
              <w:t>DRIVE ID, problem statement, affected process, target audience and priority.</w:t>
            </w:r>
          </w:p>
        </w:tc>
      </w:tr>
      <w:tr>
        <w:tc>
          <w:tcPr>
            <w:tcW w:type="dxa" w:w="3312"/>
            <w:tcMar>
              <w:top w:w="80" w:type="dxa"/>
              <w:start w:w="120" w:type="dxa"/>
              <w:bottom w:w="80" w:type="dxa"/>
              <w:end w:w="120" w:type="dxa"/>
            </w:tcMar>
            <w:vAlign w:val="center"/>
            <w:shd w:fill="FAFBFC"/>
          </w:tcPr>
          <w:p>
            <w:pPr>
              <w:spacing w:after="0"/>
            </w:pPr>
            <w:r>
              <w:rPr>
                <w:rFonts w:ascii="Calibri" w:hAnsi="Calibri"/>
                <w:b/>
                <w:color w:val="0B2545"/>
                <w:sz w:val="17"/>
              </w:rPr>
              <w:t>2. Define</w:t>
            </w:r>
          </w:p>
        </w:tc>
        <w:tc>
          <w:tcPr>
            <w:tcW w:type="dxa" w:w="3312"/>
            <w:tcMar>
              <w:top w:w="80" w:type="dxa"/>
              <w:start w:w="120" w:type="dxa"/>
              <w:bottom w:w="80" w:type="dxa"/>
              <w:end w:w="120" w:type="dxa"/>
            </w:tcMar>
            <w:vAlign w:val="center"/>
            <w:shd w:fill="FAFBFC"/>
          </w:tcPr>
          <w:p>
            <w:pPr>
              <w:spacing w:after="0"/>
            </w:pPr>
            <w:r>
              <w:rPr>
                <w:rFonts w:ascii="Calibri" w:hAnsi="Calibri"/>
                <w:b w:val="0"/>
                <w:sz w:val="17"/>
              </w:rPr>
              <w:t>Business owner + ERP functional lead</w:t>
            </w:r>
          </w:p>
        </w:tc>
        <w:tc>
          <w:tcPr>
            <w:tcW w:type="dxa" w:w="3312"/>
            <w:tcMar>
              <w:top w:w="80" w:type="dxa"/>
              <w:start w:w="120" w:type="dxa"/>
              <w:bottom w:w="80" w:type="dxa"/>
              <w:end w:w="120" w:type="dxa"/>
            </w:tcMar>
            <w:vAlign w:val="center"/>
            <w:shd w:fill="FAFBFC"/>
          </w:tcPr>
          <w:p>
            <w:pPr>
              <w:spacing w:after="0"/>
            </w:pPr>
            <w:r>
              <w:rPr>
                <w:rFonts w:ascii="Calibri" w:hAnsi="Calibri"/>
                <w:b w:val="0"/>
                <w:sz w:val="17"/>
              </w:rPr>
              <w:t>Approved business logic, grain, scope, exceptions and reconciliation baseline.</w:t>
            </w:r>
          </w:p>
        </w:tc>
      </w:tr>
      <w:tr>
        <w:tc>
          <w:tcPr>
            <w:tcW w:type="dxa" w:w="3312"/>
            <w:tcMar>
              <w:top w:w="80" w:type="dxa"/>
              <w:start w:w="120" w:type="dxa"/>
              <w:bottom w:w="80" w:type="dxa"/>
              <w:end w:w="120" w:type="dxa"/>
            </w:tcMar>
            <w:vAlign w:val="center"/>
          </w:tcPr>
          <w:p>
            <w:pPr>
              <w:spacing w:after="0"/>
            </w:pPr>
            <w:r>
              <w:rPr>
                <w:rFonts w:ascii="Calibri" w:hAnsi="Calibri"/>
                <w:b/>
                <w:color w:val="0B2545"/>
                <w:sz w:val="17"/>
              </w:rPr>
              <w:t>3. Design</w:t>
            </w:r>
          </w:p>
        </w:tc>
        <w:tc>
          <w:tcPr>
            <w:tcW w:type="dxa" w:w="3312"/>
            <w:tcMar>
              <w:top w:w="80" w:type="dxa"/>
              <w:start w:w="120" w:type="dxa"/>
              <w:bottom w:w="80" w:type="dxa"/>
              <w:end w:w="120" w:type="dxa"/>
            </w:tcMar>
            <w:vAlign w:val="center"/>
          </w:tcPr>
          <w:p>
            <w:pPr>
              <w:spacing w:after="0"/>
            </w:pPr>
            <w:r>
              <w:rPr>
                <w:rFonts w:ascii="Calibri" w:hAnsi="Calibri"/>
                <w:b w:val="0"/>
                <w:sz w:val="17"/>
              </w:rPr>
              <w:t>Technical owner</w:t>
            </w:r>
          </w:p>
        </w:tc>
        <w:tc>
          <w:tcPr>
            <w:tcW w:type="dxa" w:w="3312"/>
            <w:tcMar>
              <w:top w:w="80" w:type="dxa"/>
              <w:start w:w="120" w:type="dxa"/>
              <w:bottom w:w="80" w:type="dxa"/>
              <w:end w:w="120" w:type="dxa"/>
            </w:tcMar>
            <w:vAlign w:val="center"/>
          </w:tcPr>
          <w:p>
            <w:pPr>
              <w:spacing w:after="0"/>
            </w:pPr>
            <w:r>
              <w:rPr>
                <w:rFonts w:ascii="Calibri" w:hAnsi="Calibri"/>
                <w:b w:val="0"/>
                <w:sz w:val="17"/>
              </w:rPr>
              <w:t>Linked DA/VI/RP/EX design, lineage, data contract, security and test plan.</w:t>
            </w:r>
          </w:p>
        </w:tc>
      </w:tr>
      <w:tr>
        <w:tc>
          <w:tcPr>
            <w:tcW w:type="dxa" w:w="3312"/>
            <w:tcMar>
              <w:top w:w="80" w:type="dxa"/>
              <w:start w:w="120" w:type="dxa"/>
              <w:bottom w:w="80" w:type="dxa"/>
              <w:end w:w="120" w:type="dxa"/>
            </w:tcMar>
            <w:vAlign w:val="center"/>
            <w:shd w:fill="FAFBFC"/>
          </w:tcPr>
          <w:p>
            <w:pPr>
              <w:spacing w:after="0"/>
            </w:pPr>
            <w:r>
              <w:rPr>
                <w:rFonts w:ascii="Calibri" w:hAnsi="Calibri"/>
                <w:b/>
                <w:color w:val="0B2545"/>
                <w:sz w:val="17"/>
              </w:rPr>
              <w:t>4. Build</w:t>
            </w:r>
          </w:p>
        </w:tc>
        <w:tc>
          <w:tcPr>
            <w:tcW w:type="dxa" w:w="3312"/>
            <w:tcMar>
              <w:top w:w="80" w:type="dxa"/>
              <w:start w:w="120" w:type="dxa"/>
              <w:bottom w:w="80" w:type="dxa"/>
              <w:end w:w="120" w:type="dxa"/>
            </w:tcMar>
            <w:vAlign w:val="center"/>
            <w:shd w:fill="FAFBFC"/>
          </w:tcPr>
          <w:p>
            <w:pPr>
              <w:spacing w:after="0"/>
            </w:pPr>
            <w:r>
              <w:rPr>
                <w:rFonts w:ascii="Calibri" w:hAnsi="Calibri"/>
                <w:b w:val="0"/>
                <w:sz w:val="17"/>
              </w:rPr>
              <w:t>Delivery team</w:t>
            </w:r>
          </w:p>
        </w:tc>
        <w:tc>
          <w:tcPr>
            <w:tcW w:type="dxa" w:w="3312"/>
            <w:tcMar>
              <w:top w:w="80" w:type="dxa"/>
              <w:start w:w="120" w:type="dxa"/>
              <w:bottom w:w="80" w:type="dxa"/>
              <w:end w:w="120" w:type="dxa"/>
            </w:tcMar>
            <w:vAlign w:val="center"/>
            <w:shd w:fill="FAFBFC"/>
          </w:tcPr>
          <w:p>
            <w:pPr>
              <w:spacing w:after="0"/>
            </w:pPr>
            <w:r>
              <w:rPr>
                <w:rFonts w:ascii="Calibri" w:hAnsi="Calibri"/>
                <w:b w:val="0"/>
                <w:sz w:val="17"/>
              </w:rPr>
              <w:t>Versioned build assets, peer review, DQ implementation and operational setup.</w:t>
            </w:r>
          </w:p>
        </w:tc>
      </w:tr>
      <w:tr>
        <w:tc>
          <w:tcPr>
            <w:tcW w:type="dxa" w:w="3312"/>
            <w:tcMar>
              <w:top w:w="80" w:type="dxa"/>
              <w:start w:w="120" w:type="dxa"/>
              <w:bottom w:w="80" w:type="dxa"/>
              <w:end w:w="120" w:type="dxa"/>
            </w:tcMar>
            <w:vAlign w:val="center"/>
          </w:tcPr>
          <w:p>
            <w:pPr>
              <w:spacing w:after="0"/>
            </w:pPr>
            <w:r>
              <w:rPr>
                <w:rFonts w:ascii="Calibri" w:hAnsi="Calibri"/>
                <w:b/>
                <w:color w:val="0B2545"/>
                <w:sz w:val="17"/>
              </w:rPr>
              <w:t>5. Validate</w:t>
            </w:r>
          </w:p>
        </w:tc>
        <w:tc>
          <w:tcPr>
            <w:tcW w:type="dxa" w:w="3312"/>
            <w:tcMar>
              <w:top w:w="80" w:type="dxa"/>
              <w:start w:w="120" w:type="dxa"/>
              <w:bottom w:w="80" w:type="dxa"/>
              <w:end w:w="120" w:type="dxa"/>
            </w:tcMar>
            <w:vAlign w:val="center"/>
          </w:tcPr>
          <w:p>
            <w:pPr>
              <w:spacing w:after="0"/>
            </w:pPr>
            <w:r>
              <w:rPr>
                <w:rFonts w:ascii="Calibri" w:hAnsi="Calibri"/>
                <w:b w:val="0"/>
                <w:sz w:val="17"/>
              </w:rPr>
              <w:t>Business + data owner</w:t>
            </w:r>
          </w:p>
        </w:tc>
        <w:tc>
          <w:tcPr>
            <w:tcW w:type="dxa" w:w="3312"/>
            <w:tcMar>
              <w:top w:w="80" w:type="dxa"/>
              <w:start w:w="120" w:type="dxa"/>
              <w:bottom w:w="80" w:type="dxa"/>
              <w:end w:w="120" w:type="dxa"/>
            </w:tcMar>
            <w:vAlign w:val="center"/>
          </w:tcPr>
          <w:p>
            <w:pPr>
              <w:spacing w:after="0"/>
            </w:pPr>
            <w:r>
              <w:rPr>
                <w:rFonts w:ascii="Calibri" w:hAnsi="Calibri"/>
                <w:b w:val="0"/>
                <w:sz w:val="17"/>
              </w:rPr>
              <w:t>Control totals, completeness, data freshness, RLS, performance and UAT evidence.</w:t>
            </w:r>
          </w:p>
        </w:tc>
      </w:tr>
      <w:tr>
        <w:tc>
          <w:tcPr>
            <w:tcW w:type="dxa" w:w="3312"/>
            <w:tcMar>
              <w:top w:w="80" w:type="dxa"/>
              <w:start w:w="120" w:type="dxa"/>
              <w:bottom w:w="80" w:type="dxa"/>
              <w:end w:w="120" w:type="dxa"/>
            </w:tcMar>
            <w:vAlign w:val="center"/>
            <w:shd w:fill="FAFBFC"/>
          </w:tcPr>
          <w:p>
            <w:pPr>
              <w:spacing w:after="0"/>
            </w:pPr>
            <w:r>
              <w:rPr>
                <w:rFonts w:ascii="Calibri" w:hAnsi="Calibri"/>
                <w:b/>
                <w:color w:val="0B2545"/>
                <w:sz w:val="17"/>
              </w:rPr>
              <w:t>6. Release</w:t>
            </w:r>
          </w:p>
        </w:tc>
        <w:tc>
          <w:tcPr>
            <w:tcW w:type="dxa" w:w="3312"/>
            <w:tcMar>
              <w:top w:w="80" w:type="dxa"/>
              <w:start w:w="120" w:type="dxa"/>
              <w:bottom w:w="80" w:type="dxa"/>
              <w:end w:w="120" w:type="dxa"/>
            </w:tcMar>
            <w:vAlign w:val="center"/>
            <w:shd w:fill="FAFBFC"/>
          </w:tcPr>
          <w:p>
            <w:pPr>
              <w:spacing w:after="0"/>
            </w:pPr>
            <w:r>
              <w:rPr>
                <w:rFonts w:ascii="Calibri" w:hAnsi="Calibri"/>
                <w:b w:val="0"/>
                <w:sz w:val="17"/>
              </w:rPr>
              <w:t>Release owner</w:t>
            </w:r>
          </w:p>
        </w:tc>
        <w:tc>
          <w:tcPr>
            <w:tcW w:type="dxa" w:w="3312"/>
            <w:tcMar>
              <w:top w:w="80" w:type="dxa"/>
              <w:start w:w="120" w:type="dxa"/>
              <w:bottom w:w="80" w:type="dxa"/>
              <w:end w:w="120" w:type="dxa"/>
            </w:tcMar>
            <w:vAlign w:val="center"/>
            <w:shd w:fill="FAFBFC"/>
          </w:tcPr>
          <w:p>
            <w:pPr>
              <w:spacing w:after="0"/>
            </w:pPr>
            <w:r>
              <w:rPr>
                <w:rFonts w:ascii="Calibri" w:hAnsi="Calibri"/>
                <w:b w:val="0"/>
                <w:sz w:val="17"/>
              </w:rPr>
              <w:t>Approval, release notes, rollback plan, production link and support handover.</w:t>
            </w:r>
          </w:p>
        </w:tc>
      </w:tr>
      <w:tr>
        <w:tc>
          <w:tcPr>
            <w:tcW w:type="dxa" w:w="3312"/>
            <w:tcMar>
              <w:top w:w="80" w:type="dxa"/>
              <w:start w:w="120" w:type="dxa"/>
              <w:bottom w:w="80" w:type="dxa"/>
              <w:end w:w="120" w:type="dxa"/>
            </w:tcMar>
            <w:vAlign w:val="center"/>
          </w:tcPr>
          <w:p>
            <w:pPr>
              <w:spacing w:after="0"/>
            </w:pPr>
            <w:r>
              <w:rPr>
                <w:rFonts w:ascii="Calibri" w:hAnsi="Calibri"/>
                <w:b/>
                <w:color w:val="0B2545"/>
                <w:sz w:val="17"/>
              </w:rPr>
              <w:t>7. Operate</w:t>
            </w:r>
          </w:p>
        </w:tc>
        <w:tc>
          <w:tcPr>
            <w:tcW w:type="dxa" w:w="3312"/>
            <w:tcMar>
              <w:top w:w="80" w:type="dxa"/>
              <w:start w:w="120" w:type="dxa"/>
              <w:bottom w:w="80" w:type="dxa"/>
              <w:end w:w="120" w:type="dxa"/>
            </w:tcMar>
            <w:vAlign w:val="center"/>
          </w:tcPr>
          <w:p>
            <w:pPr>
              <w:spacing w:after="0"/>
            </w:pPr>
            <w:r>
              <w:rPr>
                <w:rFonts w:ascii="Calibri" w:hAnsi="Calibri"/>
                <w:b w:val="0"/>
                <w:sz w:val="17"/>
              </w:rPr>
              <w:t>Business + technical owners</w:t>
            </w:r>
          </w:p>
        </w:tc>
        <w:tc>
          <w:tcPr>
            <w:tcW w:type="dxa" w:w="3312"/>
            <w:tcMar>
              <w:top w:w="80" w:type="dxa"/>
              <w:start w:w="120" w:type="dxa"/>
              <w:bottom w:w="80" w:type="dxa"/>
              <w:end w:w="120" w:type="dxa"/>
            </w:tcMar>
            <w:vAlign w:val="center"/>
          </w:tcPr>
          <w:p>
            <w:pPr>
              <w:spacing w:after="0"/>
            </w:pPr>
            <w:r>
              <w:rPr>
                <w:rFonts w:ascii="Calibri" w:hAnsi="Calibri"/>
                <w:b w:val="0"/>
                <w:sz w:val="17"/>
              </w:rPr>
              <w:t>Adoption review, data-quality monitoring, change log and quarterly review.</w:t>
            </w:r>
          </w:p>
        </w:tc>
      </w:tr>
    </w:tbl>
    <w:p>
      <w:pPr>
        <w:spacing w:after="20"/>
      </w:pPr>
    </w:p>
    <w:tbl>
      <w:tblPr>
        <w:tblStyle w:val="TableGrid"/>
        <w:tblW w:type="auto" w:w="0"/>
        <w:jc w:val="center"/>
        <w:tblLayout w:type="fixed"/>
        <w:tblLook w:firstColumn="1" w:firstRow="1" w:lastColumn="0" w:lastRow="0" w:noHBand="0" w:noVBand="1" w:val="04A0"/>
      </w:tblPr>
      <w:tblGrid>
        <w:gridCol w:w="9936"/>
      </w:tblGrid>
      <w:tr>
        <w:tc>
          <w:tcPr>
            <w:tcW w:type="dxa" w:w="9360"/>
            <w:shd w:fill="F2F4F7"/>
            <w:tcMar>
              <w:top w:w="120" w:type="dxa"/>
              <w:start w:w="150" w:type="dxa"/>
              <w:bottom w:w="120" w:type="dxa"/>
              <w:end w:w="150" w:type="dxa"/>
            </w:tcMar>
          </w:tcPr>
          <w:p>
            <w:r>
              <w:rPr>
                <w:rFonts w:ascii="Calibri" w:hAnsi="Calibri"/>
                <w:b/>
                <w:color w:val="0B2545"/>
                <w:sz w:val="20"/>
              </w:rPr>
              <w:t xml:space="preserve">Validation is not a final-only activity  </w:t>
            </w:r>
            <w:r>
              <w:rPr>
                <w:rFonts w:ascii="Calibri" w:hAnsi="Calibri"/>
                <w:color w:val="0B2545"/>
                <w:sz w:val="20"/>
              </w:rPr>
              <w:t>Run data-quality and semantic tests from the first build. Re-run the relevant checks whenever EDI Gold View schema, local business logic, security entitlement or Finance override rules change.</w:t>
            </w:r>
          </w:p>
        </w:tc>
      </w:tr>
    </w:tbl>
    <w:p>
      <w:pPr>
        <w:spacing w:after="20"/>
      </w:pPr>
    </w:p>
    <w:p>
      <w:pPr>
        <w:pStyle w:val="Heading1"/>
      </w:pPr>
      <w:r>
        <w:t>8. Roles and decision rights</w:t>
      </w:r>
    </w:p>
    <w:tbl>
      <w:tblPr>
        <w:tblStyle w:val="TableGrid"/>
        <w:tblW w:type="auto" w:w="0"/>
        <w:jc w:val="center"/>
        <w:tblLayout w:type="fixed"/>
        <w:tblLook w:firstColumn="1" w:firstRow="1" w:lastColumn="0" w:lastRow="0" w:noHBand="0" w:noVBand="1" w:val="04A0"/>
      </w:tblPr>
      <w:tblGrid>
        <w:gridCol w:w="4968"/>
        <w:gridCol w:w="4968"/>
      </w:tblGrid>
      <w:tr>
        <w:tc>
          <w:tcPr>
            <w:tcW w:type="dxa" w:w="2376"/>
            <w:shd w:fill="E8EEF5"/>
            <w:tcMar>
              <w:top w:w="80" w:type="dxa"/>
              <w:start w:w="120" w:type="dxa"/>
              <w:bottom w:w="80" w:type="dxa"/>
              <w:end w:w="120" w:type="dxa"/>
            </w:tcMar>
          </w:tcPr>
          <w:p>
            <w:r>
              <w:rPr>
                <w:rFonts w:ascii="Calibri" w:hAnsi="Calibri"/>
                <w:b/>
                <w:color w:val="0B2545"/>
                <w:sz w:val="17"/>
              </w:rPr>
              <w:t>Role</w:t>
            </w:r>
          </w:p>
        </w:tc>
        <w:tc>
          <w:tcPr>
            <w:tcW w:type="dxa" w:w="6984"/>
            <w:shd w:fill="E8EEF5"/>
            <w:tcMar>
              <w:top w:w="80" w:type="dxa"/>
              <w:start w:w="120" w:type="dxa"/>
              <w:bottom w:w="80" w:type="dxa"/>
              <w:end w:w="120" w:type="dxa"/>
            </w:tcMar>
          </w:tcPr>
          <w:p>
            <w:r>
              <w:rPr>
                <w:rFonts w:ascii="Calibri" w:hAnsi="Calibri"/>
                <w:b/>
                <w:color w:val="0B2545"/>
                <w:sz w:val="17"/>
              </w:rPr>
              <w:t>Decision right / accountability</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Manager / Director</w:t>
            </w:r>
          </w:p>
        </w:tc>
        <w:tc>
          <w:tcPr>
            <w:tcW w:type="dxa" w:w="4968"/>
            <w:tcMar>
              <w:top w:w="80" w:type="dxa"/>
              <w:start w:w="120" w:type="dxa"/>
              <w:bottom w:w="80" w:type="dxa"/>
              <w:end w:w="120" w:type="dxa"/>
            </w:tcMar>
            <w:vAlign w:val="center"/>
          </w:tcPr>
          <w:p>
            <w:pPr>
              <w:spacing w:after="0"/>
            </w:pPr>
            <w:r>
              <w:rPr>
                <w:rFonts w:ascii="Calibri" w:hAnsi="Calibri"/>
                <w:b w:val="0"/>
                <w:sz w:val="17"/>
              </w:rPr>
              <w:t>Prioritises the portfolio, assigns owners and resolves cross-team trade-offs.</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Business process owner</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Approves decision purpose, definitions, scope and expected result.</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ERP functional consultant</w:t>
            </w:r>
          </w:p>
        </w:tc>
        <w:tc>
          <w:tcPr>
            <w:tcW w:type="dxa" w:w="4968"/>
            <w:tcMar>
              <w:top w:w="80" w:type="dxa"/>
              <w:start w:w="120" w:type="dxa"/>
              <w:bottom w:w="80" w:type="dxa"/>
              <w:end w:w="120" w:type="dxa"/>
            </w:tcMar>
            <w:vAlign w:val="center"/>
          </w:tcPr>
          <w:p>
            <w:pPr>
              <w:spacing w:after="0"/>
            </w:pPr>
            <w:r>
              <w:rPr>
                <w:rFonts w:ascii="Calibri" w:hAnsi="Calibri"/>
                <w:b w:val="0"/>
                <w:sz w:val="17"/>
              </w:rPr>
              <w:t>Confirms EBS process meaning, field interpretation, exception handling and acceptance scenarios.</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Finance approver</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Approves financial definitions, override logic, close-period policy and reconciliation baseline.</w:t>
            </w:r>
          </w:p>
        </w:tc>
      </w:tr>
      <w:tr>
        <w:tc>
          <w:tcPr>
            <w:tcW w:type="dxa" w:w="4968"/>
            <w:tcMar>
              <w:top w:w="80" w:type="dxa"/>
              <w:start w:w="120" w:type="dxa"/>
              <w:bottom w:w="80" w:type="dxa"/>
              <w:end w:w="120" w:type="dxa"/>
            </w:tcMar>
            <w:vAlign w:val="center"/>
          </w:tcPr>
          <w:p>
            <w:pPr>
              <w:spacing w:after="0"/>
            </w:pPr>
            <w:r>
              <w:rPr>
                <w:rFonts w:ascii="Calibri" w:hAnsi="Calibri"/>
                <w:b/>
                <w:color w:val="0B2545"/>
                <w:sz w:val="17"/>
              </w:rPr>
              <w:t>Data / analytics engineer</w:t>
            </w:r>
          </w:p>
        </w:tc>
        <w:tc>
          <w:tcPr>
            <w:tcW w:type="dxa" w:w="4968"/>
            <w:tcMar>
              <w:top w:w="80" w:type="dxa"/>
              <w:start w:w="120" w:type="dxa"/>
              <w:bottom w:w="80" w:type="dxa"/>
              <w:end w:w="120" w:type="dxa"/>
            </w:tcMar>
            <w:vAlign w:val="center"/>
          </w:tcPr>
          <w:p>
            <w:pPr>
              <w:spacing w:after="0"/>
            </w:pPr>
            <w:r>
              <w:rPr>
                <w:rFonts w:ascii="Calibri" w:hAnsi="Calibri"/>
                <w:b w:val="0"/>
                <w:sz w:val="17"/>
              </w:rPr>
              <w:t>Owns RC/SC/TC design, lineage, transformations, testing, release and technical support.</w:t>
            </w:r>
          </w:p>
        </w:tc>
      </w:tr>
      <w:tr>
        <w:tc>
          <w:tcPr>
            <w:tcW w:type="dxa" w:w="4968"/>
            <w:tcMar>
              <w:top w:w="80" w:type="dxa"/>
              <w:start w:w="120" w:type="dxa"/>
              <w:bottom w:w="80" w:type="dxa"/>
              <w:end w:w="120" w:type="dxa"/>
            </w:tcMar>
            <w:vAlign w:val="center"/>
            <w:shd w:fill="FAFBFC"/>
          </w:tcPr>
          <w:p>
            <w:pPr>
              <w:spacing w:after="0"/>
            </w:pPr>
            <w:r>
              <w:rPr>
                <w:rFonts w:ascii="Calibri" w:hAnsi="Calibri"/>
                <w:b/>
                <w:color w:val="0B2545"/>
                <w:sz w:val="17"/>
              </w:rPr>
              <w:t>BI / report / extension owner</w:t>
            </w:r>
          </w:p>
        </w:tc>
        <w:tc>
          <w:tcPr>
            <w:tcW w:type="dxa" w:w="4968"/>
            <w:tcMar>
              <w:top w:w="80" w:type="dxa"/>
              <w:start w:w="120" w:type="dxa"/>
              <w:bottom w:w="80" w:type="dxa"/>
              <w:end w:w="120" w:type="dxa"/>
            </w:tcMar>
            <w:vAlign w:val="center"/>
            <w:shd w:fill="FAFBFC"/>
          </w:tcPr>
          <w:p>
            <w:pPr>
              <w:spacing w:after="0"/>
            </w:pPr>
            <w:r>
              <w:rPr>
                <w:rFonts w:ascii="Calibri" w:hAnsi="Calibri"/>
                <w:b w:val="0"/>
                <w:sz w:val="17"/>
              </w:rPr>
              <w:t>Owns consumer experience, semantic calculations, security design, UAT and documentation maintenance.</w:t>
            </w:r>
          </w:p>
        </w:tc>
      </w:tr>
    </w:tbl>
    <w:p>
      <w:pPr>
        <w:spacing w:after="20"/>
      </w:pPr>
    </w:p>
    <w:p>
      <w:pPr>
        <w:pStyle w:val="Heading1"/>
      </w:pPr>
      <w:r>
        <w:t>9. Reusable requirement template</w:t>
      </w:r>
    </w:p>
    <w:p>
      <w:pPr>
        <w:spacing w:after="120" w:line="264" w:lineRule="auto"/>
      </w:pPr>
      <w:r>
        <w:rPr>
          <w:rFonts w:ascii="Calibri" w:hAnsi="Calibri"/>
          <w:color w:val="0B2545"/>
          <w:sz w:val="21"/>
        </w:rPr>
        <w:t>Use the following structure for each new DRIVE item. Copy it into the delivery ticket or controlled requirements document; link the detailed DA / VI / RP / EX documents rather than duplicating their technical sections.</w:t>
      </w:r>
    </w:p>
    <w:p>
      <w:pPr>
        <w:spacing w:after="80"/>
      </w:pPr>
      <w:r>
        <w:rPr>
          <w:rFonts w:ascii="Calibri" w:hAnsi="Calibri"/>
          <w:b/>
          <w:color w:val="0B2545"/>
          <w:sz w:val="21"/>
        </w:rPr>
        <w:t xml:space="preserve">A. Identity and ownership — </w:t>
      </w:r>
      <w:r>
        <w:rPr>
          <w:rFonts w:ascii="Calibri" w:hAnsi="Calibri"/>
          <w:color w:val="0B2545"/>
          <w:sz w:val="21"/>
        </w:rPr>
        <w:t>DRIVE ID; title; linked class IDs; status; sponsor; business/technical owners; target date.</w:t>
      </w:r>
    </w:p>
    <w:p>
      <w:pPr>
        <w:spacing w:after="80"/>
      </w:pPr>
      <w:r>
        <w:rPr>
          <w:rFonts w:ascii="Calibri" w:hAnsi="Calibri"/>
          <w:b/>
          <w:color w:val="0B2545"/>
          <w:sz w:val="21"/>
        </w:rPr>
        <w:t xml:space="preserve">B. Business outcome — </w:t>
      </w:r>
      <w:r>
        <w:rPr>
          <w:rFonts w:ascii="Calibri" w:hAnsi="Calibri"/>
          <w:color w:val="0B2545"/>
          <w:sz w:val="21"/>
        </w:rPr>
        <w:t>Decision/action; users; process/module; current pain point; success measure; frequency.</w:t>
      </w:r>
    </w:p>
    <w:p>
      <w:pPr>
        <w:spacing w:after="80"/>
      </w:pPr>
      <w:r>
        <w:rPr>
          <w:rFonts w:ascii="Calibri" w:hAnsi="Calibri"/>
          <w:b/>
          <w:color w:val="0B2545"/>
          <w:sz w:val="21"/>
        </w:rPr>
        <w:t xml:space="preserve">C. Business logic — </w:t>
      </w:r>
      <w:r>
        <w:rPr>
          <w:rFonts w:ascii="Calibri" w:hAnsi="Calibri"/>
          <w:color w:val="0B2545"/>
          <w:sz w:val="21"/>
        </w:rPr>
        <w:t>Grain; scope; definitions; formula; time/currency; hierarchy; filters; exceptions; Finance override; acceptance baseline.</w:t>
      </w:r>
    </w:p>
    <w:p>
      <w:pPr>
        <w:spacing w:after="80"/>
      </w:pPr>
      <w:r>
        <w:rPr>
          <w:rFonts w:ascii="Calibri" w:hAnsi="Calibri"/>
          <w:b/>
          <w:color w:val="0B2545"/>
          <w:sz w:val="21"/>
        </w:rPr>
        <w:t xml:space="preserve">D. Development logic — </w:t>
      </w:r>
      <w:r>
        <w:rPr>
          <w:rFonts w:ascii="Calibri" w:hAnsi="Calibri"/>
          <w:color w:val="0B2545"/>
          <w:sz w:val="21"/>
        </w:rPr>
        <w:t>Sources; RC/SC/TC; model; data dictionary; semantic calculations; security; integrations; schedule; operational support.</w:t>
      </w:r>
    </w:p>
    <w:p>
      <w:pPr>
        <w:spacing w:after="80"/>
      </w:pPr>
      <w:r>
        <w:rPr>
          <w:rFonts w:ascii="Calibri" w:hAnsi="Calibri"/>
          <w:b/>
          <w:color w:val="0B2545"/>
          <w:sz w:val="21"/>
        </w:rPr>
        <w:t xml:space="preserve">E. Validation and release — </w:t>
      </w:r>
      <w:r>
        <w:rPr>
          <w:rFonts w:ascii="Calibri" w:hAnsi="Calibri"/>
          <w:color w:val="0B2545"/>
          <w:sz w:val="21"/>
        </w:rPr>
        <w:t>Tests; reconciliation; RLS; performance; UAT; approval; deployment; rollback; known limitations.</w:t>
      </w:r>
    </w:p>
    <w:p>
      <w:pPr>
        <w:spacing w:after="80"/>
      </w:pPr>
      <w:r>
        <w:rPr>
          <w:rFonts w:ascii="Calibri" w:hAnsi="Calibri"/>
          <w:b/>
          <w:color w:val="0B2545"/>
          <w:sz w:val="21"/>
        </w:rPr>
        <w:t xml:space="preserve">F. Linked artefacts — </w:t>
      </w:r>
      <w:r>
        <w:rPr>
          <w:rFonts w:ascii="Calibri" w:hAnsi="Calibri"/>
          <w:color w:val="0B2545"/>
          <w:sz w:val="21"/>
        </w:rPr>
        <w:t>DA-001 / VI-001 / RP-001 / EX-001 record IDs, design links, change log and runbook.</w:t>
      </w:r>
    </w:p>
    <w:p>
      <w:pPr>
        <w:pStyle w:val="Heading1"/>
      </w:pPr>
      <w:r>
        <w:t>10. First-use checklist</w:t>
      </w:r>
    </w:p>
    <w:p>
      <w:pPr>
        <w:pStyle w:val="ListBullet"/>
        <w:spacing w:after="60" w:line="276" w:lineRule="auto"/>
      </w:pPr>
      <w:r>
        <w:rPr>
          <w:rFonts w:ascii="Calibri" w:hAnsi="Calibri"/>
          <w:color w:val="0B2545"/>
          <w:sz w:val="21"/>
        </w:rPr>
        <w:t>Create the DRIVE record for the first priority subject area and nominate its business and technical owners.</w:t>
      </w:r>
    </w:p>
    <w:p>
      <w:pPr>
        <w:pStyle w:val="ListBullet"/>
        <w:spacing w:after="60" w:line="276" w:lineRule="auto"/>
      </w:pPr>
      <w:r>
        <w:rPr>
          <w:rFonts w:ascii="Calibri" w:hAnsi="Calibri"/>
          <w:color w:val="0B2545"/>
          <w:sz w:val="21"/>
        </w:rPr>
        <w:t>Confirm the EDI Gold View source contract and establish the first Top Coat REF/MET objects with a dictionary.</w:t>
      </w:r>
    </w:p>
    <w:p>
      <w:pPr>
        <w:pStyle w:val="ListBullet"/>
        <w:spacing w:after="60" w:line="276" w:lineRule="auto"/>
      </w:pPr>
      <w:r>
        <w:rPr>
          <w:rFonts w:ascii="Calibri" w:hAnsi="Calibri"/>
          <w:color w:val="0B2545"/>
          <w:sz w:val="21"/>
        </w:rPr>
        <w:t>Choose one controlled dashboard, one structured report and one extension as pilot outputs; link each to the shared DA foundation.</w:t>
      </w:r>
    </w:p>
    <w:p>
      <w:pPr>
        <w:pStyle w:val="ListBullet"/>
        <w:spacing w:after="60" w:line="276" w:lineRule="auto"/>
      </w:pPr>
      <w:r>
        <w:rPr>
          <w:rFonts w:ascii="Calibri" w:hAnsi="Calibri"/>
          <w:color w:val="0B2545"/>
          <w:sz w:val="21"/>
        </w:rPr>
        <w:t>Record reconciliation and security evidence before production release, then review changes and adoption quarterly.</w:t>
      </w:r>
    </w:p>
    <w:sectPr w:rsidR="00FC693F" w:rsidRPr="0006063C" w:rsidSect="00034616">
      <w:headerReference w:type="default" r:id="rId9"/>
      <w:footerReference w:type="default" r:id="rId10"/>
      <w:pgSz w:w="12240" w:h="15840"/>
      <w:pgMar w:top="1123"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5"/>
        <w:sz w:val="17"/>
      </w:rPr>
      <w:t>Internal working standard  •  APAC Data &amp; Analytics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B6575"/>
        <w:sz w:val="17"/>
      </w:rPr>
      <w:t>SW Data Mart  |  DRIVE-001 Delivery Governance &amp; Development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