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8"/>
        </w:rPr>
        <w:t>RP-001 — Structured Report Design Standard</w:t>
      </w:r>
    </w:p>
    <w:p>
      <w:pPr>
        <w:spacing w:after="320"/>
      </w:pPr>
      <w:r>
        <w:rPr>
          <w:color w:val="475569"/>
          <w:sz w:val="22"/>
        </w:rPr>
        <w:t>Control standard for periodic reports, historical outputs and Finance override logic.</w:t>
      </w:r>
    </w:p>
    <w:p>
      <w:pPr>
        <w:pStyle w:val="Heading1"/>
      </w:pPr>
      <w:r>
        <w:t>1. Purpose and scope</w:t>
      </w:r>
    </w:p>
    <w:p>
      <w:r>
        <w:t>Use this standard for repeatable, structured reports distributed on a schedule or retained as historical business records. It covers Finance-approved override logic for business units such as SEA WOOD and CHINA WOOD, without blending unapproved manual adjustments into base operational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2545"/>
              </w:rPr>
              <w:t xml:space="preserve">Reporting principle  </w:t>
            </w:r>
            <w:r>
              <w:t>Preserve the reported base result, the approved override, and the final presented result as separately traceable values. Never overwrite the base metric in a report-only adjustment.</w:t>
            </w:r>
          </w:p>
        </w:tc>
      </w:tr>
    </w:tbl>
    <w:p>
      <w:pPr>
        <w:spacing w:after="40"/>
      </w:pPr>
    </w:p>
    <w:p>
      <w:pPr>
        <w:pStyle w:val="Heading1"/>
      </w:pPr>
      <w:r>
        <w:t>2. Required report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contents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Report identity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RP-###, title, owner, purpose, distribution list, frequency, period close calendar and retention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Report grain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One explicit row grain, e.g. legal entity × product × fiscal month; include period-as-of rule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Lineage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TC source views, semantic measures, report dataset, override source and output channel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Layout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Executive page, detailed sections, sorting, groups, subtotals, footnotes, page breaks and exports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Historical handling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Snapshot date, version, restatement policy, comparative-period logic and archive location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Finance override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Authority, override key, base value, override value, reason, approver, effective period and audit timestamps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Validation and sign-off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Control totals, Finance reconciliation, distribution test and release approver</w:t>
            </w:r>
          </w:p>
        </w:tc>
      </w:tr>
    </w:tbl>
    <w:p>
      <w:pPr>
        <w:spacing w:after="40"/>
      </w:pPr>
    </w:p>
    <w:p>
      <w:pPr>
        <w:pStyle w:val="Heading1"/>
      </w:pPr>
      <w:r>
        <w:t>3. Override data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OVERRIDE_ID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Immutable unique identifier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SCOPE_KEY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key matching report grain: e.g. legal entity, account, period, product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BASE_AMOUNT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TC-calculated value before adjustment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OVERRIDE_AMOUNT / OVERRIDE_PCT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adjustment; one clearly defined method per rule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FINAL_AMOUNT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Base plus/minus override; calculated and retained for audit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REASON_CODE / COMMENT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Mandatory business rationale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EFFECTIVE_FROM / 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Period or date range where the rule applies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APPROVED_BY / APPROVED_TS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Finance authorization trail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CREATED_BY / CREATED_TS / UPDATED_BY / UPDATED_TS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WHO / WHEN audit columns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Draft, approved, expired, superseded or rejected</w:t>
            </w:r>
          </w:p>
        </w:tc>
      </w:tr>
    </w:tbl>
    <w:p>
      <w:pPr>
        <w:spacing w:after="40"/>
      </w:pPr>
    </w:p>
    <w:p>
      <w:pPr>
        <w:pStyle w:val="Heading1"/>
      </w:pPr>
      <w:r>
        <w:t>4. Report acceptance checklist</w:t>
      </w:r>
    </w:p>
    <w:p>
      <w:pPr>
        <w:pStyle w:val="ListBullet"/>
        <w:spacing w:after="60"/>
      </w:pPr>
      <w:r>
        <w:t>The report header shows reporting period, as-of timestamp, version and data refresh timestamp.</w:t>
      </w:r>
    </w:p>
    <w:p>
      <w:pPr>
        <w:pStyle w:val="ListBullet"/>
        <w:spacing w:after="60"/>
      </w:pPr>
      <w:r>
        <w:t>Comparative logic uses the same fiscal calendar and currency method as the approved semantic model.</w:t>
      </w:r>
    </w:p>
    <w:p>
      <w:pPr>
        <w:pStyle w:val="ListBullet"/>
        <w:spacing w:after="60"/>
      </w:pPr>
      <w:r>
        <w:t>Every Finance adjustment can be traced to an approved row and is separately visible in reconciliation.</w:t>
      </w:r>
    </w:p>
    <w:p>
      <w:pPr>
        <w:pStyle w:val="ListBullet"/>
        <w:spacing w:after="60"/>
      </w:pPr>
      <w:r>
        <w:t>Static PDF/Excel output preserves page/group/total behavior and follows security restrictions.</w:t>
      </w:r>
    </w:p>
    <w:p>
      <w:pPr>
        <w:pStyle w:val="ListBullet"/>
        <w:spacing w:after="60"/>
      </w:pPr>
      <w:r>
        <w:t>A controlled archive retains the published file or immutable snapshot reference.</w:t>
      </w:r>
    </w:p>
    <w:p>
      <w:pPr>
        <w:pStyle w:val="Heading1"/>
      </w:pPr>
      <w:r>
        <w:t>Common delivery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evidence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Accountable role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definition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purpose, grain, KPI definitions and exclusion rules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owner / ERP functional lead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Lineage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 object → Refined/Sealer/Top Coat → semantic model → output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engineer / analytics engineer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Reconciliation, freshness, completeness and schema-change tests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owner / validator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RLS/access design, sensitivity classification and approver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steward / platform owner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Release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Version, test evidence, deployment date, rollback and support owner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Delivery owner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2545"/>
              </w:rPr>
              <w:t xml:space="preserve">Minimum gate  </w:t>
            </w:r>
            <w:r>
              <w:t>No output is promoted until the business owner accepts definitions and the data owner records reconciliation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 to complete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Object ID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RP-### (example: RP-001)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 / status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Draft | Review | Approved | Retired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owner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manager accountable for decisions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Technical owner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builder accountable for support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Review cadence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 least quarterly, and after upstream/schema change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Related objects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Upstream views, semantic model, dashboard/report/extension IDs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7"/>
      </w:rPr>
      <w:t>Internal working standard  •  Owner: APAC Data &amp; Analytics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7"/>
      </w:rPr>
      <w:t>SW Data Mart  |  RP-001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