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VI-001 — Dashboard Design Standard</w:t>
      </w:r>
    </w:p>
    <w:p>
      <w:pPr>
        <w:spacing w:after="320"/>
      </w:pPr>
      <w:r>
        <w:rPr>
          <w:color w:val="475569"/>
          <w:sz w:val="22"/>
        </w:rPr>
        <w:t>Design, semantic contract and release template for Power BI and Tableau dashboards.</w:t>
      </w:r>
    </w:p>
    <w:p>
      <w:pPr>
        <w:pStyle w:val="Heading1"/>
      </w:pPr>
      <w:r>
        <w:t>1. Purpose and scope</w:t>
      </w:r>
    </w:p>
    <w:p>
      <w:r>
        <w:t>Use this standard for interactive Power BI and Tableau experiences. A dashboard answers a recurring decision question through governed Top Coat data and a documented semantic model. It is not a replacement for scheduled statutory or Finance-controlled reports.</w:t>
      </w:r>
    </w:p>
    <w:p>
      <w:pPr>
        <w:pStyle w:val="Heading1"/>
      </w:pPr>
      <w:r>
        <w:t>2. Dashboard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Design rule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 in the design record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Top Coat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Query TC views only; no direct RC/SC or personal-file dependency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upstream object IDs and refresh SLA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Semantic model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Star schema, single-direction filters by default, explicit role-playing dates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Model diagram and relationship inventory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Measures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Reusable named measures with definition, format, unit, numerator/denominator and exclusion logic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Measure catalogue / DAX or Tableau calculation library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Experience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primary decision per page; consistent filters; accessible titles and export behavior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Page wireframe and persona scenarios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 through approved entitlement/reference mapping; test with representative roles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 matrix and test evidence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Required dashboard document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contents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Executive summary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Decision supported, target audience, value hypothesis, owner and delivery ID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Personas and questions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Manager, ERP functional consultant and analyst questions; permitted actions; frequency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KPI catalogue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Name, business definition, formula, grain, target, thresholds, owner and drill path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semantics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TC objects, joins, filter directions, date logic, conformed dimensions and calculated measures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Page design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Page purpose, visual types, default filters, interactions, tooltips, exports and accessibility notes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 and governance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 roles, permitted entities, sensitivity, owner, change control and support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Test and release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Reconciliation to source/report, performance targets, UAT scenarios and release record</w:t>
            </w:r>
          </w:p>
        </w:tc>
      </w:tr>
    </w:tbl>
    <w:p>
      <w:pPr>
        <w:spacing w:after="40"/>
      </w:pPr>
    </w:p>
    <w:p>
      <w:pPr>
        <w:pStyle w:val="Heading1"/>
      </w:pPr>
      <w:r>
        <w:t>4. KPI definition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Example / expectation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KPI ID / name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KPI-OM-001 / Net booked sales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definition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Signed booked sales value at sales-order-line grain, excluding cancelled lines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Semantic calculation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SUM([NET_BOOKED_AMOUNT_LC]) subject to approved status and date logic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Time basis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Order booked date; fiscal calendar supplied by Date REF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Format / unit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Currency; local and reporting currency; display scale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Owner / approver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process owner / Finance approver where financial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Drill path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Region → legal entity → customer → order → line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Reconcile by period and legal entity to agreed source baseline</w:t>
            </w:r>
          </w:p>
        </w:tc>
      </w:tr>
    </w:tbl>
    <w:p>
      <w:pPr>
        <w:spacing w:after="40"/>
      </w:pPr>
    </w:p>
    <w:p>
      <w:pPr>
        <w:pStyle w:val="Heading1"/>
      </w:pPr>
      <w:r>
        <w:t>5. Dashboard quality gates</w:t>
      </w:r>
    </w:p>
    <w:p>
      <w:pPr>
        <w:pStyle w:val="ListBullet"/>
        <w:spacing w:after="60"/>
      </w:pPr>
      <w:r>
        <w:t>Every visual has a declared purpose, KPI owner and source of truth.</w:t>
      </w:r>
    </w:p>
    <w:p>
      <w:pPr>
        <w:pStyle w:val="ListBullet"/>
        <w:spacing w:after="60"/>
      </w:pPr>
      <w:r>
        <w:t>Default filters are safe and visible; non-additive measures declare aggregation limits.</w:t>
      </w:r>
    </w:p>
    <w:p>
      <w:pPr>
        <w:pStyle w:val="ListBullet"/>
        <w:spacing w:after="60"/>
      </w:pPr>
      <w:r>
        <w:t>Exported data respects RLS and fields marked restricted are excluded or masked.</w:t>
      </w:r>
    </w:p>
    <w:p>
      <w:pPr>
        <w:pStyle w:val="ListBullet"/>
        <w:spacing w:after="60"/>
      </w:pPr>
      <w:r>
        <w:t>Refresh status and as-of timestamp are visible to the consumer.</w:t>
      </w:r>
    </w:p>
    <w:p>
      <w:pPr>
        <w:pStyle w:val="ListBullet"/>
        <w:spacing w:after="60"/>
      </w:pPr>
      <w:r>
        <w:t>UAT verifies both figures and user decision flow using role-based scenarios.</w:t>
      </w:r>
    </w:p>
    <w:p>
      <w:pPr>
        <w:pStyle w:val="Heading1"/>
      </w:pPr>
      <w:r>
        <w:t>Common delivery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Accountable role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definition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purpose, grain, KPI definitions and exclusion 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 / ERP functional lead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 object → Refined/Sealer/Top Coat → semantic model → output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engineer / analytics engineer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Reconciliation, freshness, completeness and schema-change 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owner / validator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RLS/access design, sensitivity classification and approver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steward / platform owner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Release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Version, test evidence, deployment date, rollback and support owner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Delivery owner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Minimum gate  </w:t>
            </w:r>
            <w:r>
              <w:t>No output is promoted until the business owner accepts definitions and the data owner records reconciliation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 to complete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Object ID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VI-### (example: VI-001)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 / status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Draft | Review | Approved | Retired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manager accountable for decisions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Technical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builder accountable for support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 cadence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 least quarterly, and after upstream/schema change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Related objects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Upstream views, semantic model, dashboard/report/extension IDs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7"/>
      </w:rPr>
      <w:t>Internal working standard  •  Owner: APAC Data &amp;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SW Data Mart  |  VI-001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