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000000"/>
          <w:sz w:val="18"/>
        </w:rPr>
        <w:t xml:space="preserve">DRIVE.001  </w:t>
      </w:r>
      <w:r>
        <w:rPr>
          <w:rFonts w:ascii="Arial" w:hAnsi="Arial"/>
          <w:b/>
          <w:color w:val="000000"/>
          <w:sz w:val="18"/>
        </w:rPr>
        <w:t>INTEGRATED TECHNICAL DESIGN SPECIFICATION</w:t>
      </w:r>
    </w:p>
    <w:p>
      <w:pPr>
        <w:spacing w:before="20" w:after="160"/>
        <w:pBdr>
          <w:bottom w:val="single" w:sz="18" w:space="1" w:color="000000"/>
        </w:pBdr>
      </w:pPr>
    </w:p>
    <w:p>
      <w:pPr>
        <w:spacing w:after="40"/>
      </w:pPr>
      <w:r>
        <w:rPr>
          <w:rFonts w:ascii="Arial" w:hAnsi="Arial"/>
          <w:b/>
          <w:color w:val="2B65B1"/>
          <w:sz w:val="38"/>
        </w:rPr>
        <w:t>SW Data Mart — Integrated DRIVE Technical Design Specification</w:t>
      </w:r>
    </w:p>
    <w:p>
      <w:pPr>
        <w:spacing w:after="240"/>
      </w:pPr>
      <w:r>
        <w:rPr>
          <w:rFonts w:ascii="Arial" w:hAnsi="Arial"/>
          <w:color w:val="122B4A"/>
          <w:sz w:val="21"/>
        </w:rPr>
        <w:t>RICE-inspired implementation document that consolidates DA, VI, RP and EX requirements into one controlled development record.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52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Document field</w:t>
            </w:r>
          </w:p>
        </w:tc>
        <w:tc>
          <w:tcPr>
            <w:tcW w:type="dxa" w:w="828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DRIVE ID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DRIVE-001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Title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SW Data Mart Integrated Technical Design Specification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Subject area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APAC Data &amp; Analytics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Business owner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APAC process owner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Technical owner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Data &amp; Analytics delivery owner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Version / status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1.0 / Working standard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Linked delivery IDs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DA-### | VI-### | RP-### | EX-### as applicable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Document Control</w:t>
      </w:r>
    </w:p>
    <w:p>
      <w:pPr>
        <w:spacing w:before="20" w:after="160"/>
        <w:pBdr>
          <w:bottom w:val="single" w:sz="18" w:space="1" w:color="000000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108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144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232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Author / owner</w:t>
            </w:r>
          </w:p>
        </w:tc>
        <w:tc>
          <w:tcPr>
            <w:tcW w:type="dxa" w:w="446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Change summary</w:t>
            </w:r>
          </w:p>
        </w:tc>
        <w:tc>
          <w:tcPr>
            <w:tcW w:type="dxa" w:w="158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Approval</w:t>
            </w:r>
          </w:p>
        </w:tc>
      </w:tr>
      <w:tr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1.0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2026-08-02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APAC Data &amp; Analytics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Initial integrated DRIVE specification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Pending / Approved</w:t>
            </w:r>
          </w:p>
        </w:tc>
      </w:tr>
      <w:tr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[x.x]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[yyyy-mm-dd]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[Name]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[Describe change and impact]</w:t>
            </w:r>
          </w:p>
        </w:tc>
        <w:tc>
          <w:tcPr>
            <w:tcW w:type="dxa" w:w="216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[Approver / date]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02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Approver</w:t>
            </w:r>
          </w:p>
        </w:tc>
        <w:tc>
          <w:tcPr>
            <w:tcW w:type="dxa" w:w="324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453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Decision / date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Business process owner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Business logic owner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Approve definitions and scope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ERP functional consultant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Process and source-field authority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Confirm process meaning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Data &amp; Analytics owner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Technical and release owner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Approve implementation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Finance approver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Financial-definition authority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Approve override / close logic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Contents</w:t>
      </w:r>
    </w:p>
    <w:p>
      <w:pPr>
        <w:spacing w:before="20" w:after="160"/>
        <w:pBdr>
          <w:bottom w:val="single" w:sz="18" w:space="1" w:color="000000"/>
        </w:pBdr>
      </w:pP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1. Business and Technical Overview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2. Component Inventory and Delivery Classification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3. Business Logic and Acceptance Rules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4. Data Architecture, Lineage and Data Model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5. Semantic Model and Consumer Deliverables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6. Security, Validation and Test Evidence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7. Operations, Performance and Recovery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8. Deployment, Release and Support Handover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Appendix A — Data Dictionary and Mapping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Appendix B — DA / VI / RP / EX Completion Check</w:t>
      </w: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1. Business and Technical Overview</w:t>
      </w:r>
    </w:p>
    <w:p>
      <w:pPr>
        <w:spacing w:before="20" w:after="160"/>
        <w:pBdr>
          <w:bottom w:val="single" w:sz="18" w:space="1" w:color="000000"/>
        </w:pBdr>
      </w:pPr>
    </w:p>
    <w:p>
      <w:pPr>
        <w:spacing w:after="100" w:line="254" w:lineRule="auto"/>
      </w:pPr>
      <w:r>
        <w:rPr>
          <w:rFonts w:ascii="Arial" w:hAnsi="Arial"/>
          <w:color w:val="122B4A"/>
          <w:sz w:val="19"/>
        </w:rPr>
        <w:t>This specification is the canonical development requirement for the SW Data Mart. It translates a business decision into controlled DA, VI, RP and EX components, with validation embedded throughout the delivery lifecycle.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37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Requirement item</w:t>
            </w:r>
          </w:p>
        </w:tc>
        <w:tc>
          <w:tcPr>
            <w:tcW w:type="dxa" w:w="842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Definition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Business decision / action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Provide a governed APAC analytics foundation so managers, ERP functional consultants and delivery teams make decisions from a stable semantic contract.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Process and modules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Oracle EBS: OM, PO, MFG, ASCP, AR and Costing; plus approved boundary systems.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In scope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EDI Gold View consumption; APAC business logic; governed Top Coat consumption; dashboards, reports and extensions.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Out of scope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Rebuilding Global EDI upstream ETL or bypassing the curated EDI Gold View contract.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Success / acceptance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Approved definitions; reconciled results; role-safe access; documented release and ownership.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2. Component Inventory and Delivery Classification</w:t>
      </w:r>
    </w:p>
    <w:p>
      <w:pPr>
        <w:spacing w:before="20" w:after="160"/>
        <w:pBdr>
          <w:bottom w:val="single" w:sz="18" w:space="1" w:color="000000"/>
        </w:pBdr>
      </w:pPr>
    </w:p>
    <w:p>
      <w:pPr>
        <w:spacing w:after="100" w:line="254" w:lineRule="auto"/>
      </w:pPr>
      <w:r>
        <w:rPr>
          <w:rFonts w:ascii="Arial" w:hAnsi="Arial"/>
          <w:color w:val="122B4A"/>
          <w:sz w:val="19"/>
        </w:rPr>
        <w:t>Use this inventory in place of a legacy concurrent-program list. A single DRIVE requirement can contain one or more linked components; each component must have a named owner, lifecycle status and evidence link.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92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58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Component / ID</w:t>
            </w:r>
          </w:p>
        </w:tc>
        <w:tc>
          <w:tcPr>
            <w:tcW w:type="dxa" w:w="324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165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Business owner</w:t>
            </w:r>
          </w:p>
        </w:tc>
        <w:tc>
          <w:tcPr>
            <w:tcW w:type="dxa" w:w="165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Technical owner</w:t>
            </w:r>
          </w:p>
        </w:tc>
        <w:tc>
          <w:tcPr>
            <w:tcW w:type="dxa" w:w="108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DA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DA-###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Data lineage, model, dictionary and TC contract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Process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Data engineer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[Status]</w:t>
            </w:r>
          </w:p>
        </w:tc>
      </w:tr>
      <w:tr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VI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VI-###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Power BI / Tableau decision experience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Business manager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BI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[Status]</w:t>
            </w:r>
          </w:p>
        </w:tc>
      </w:tr>
      <w:tr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RP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RP-###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Periodic/historical report and Finance override output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Report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Report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[Status]</w:t>
            </w:r>
          </w:p>
        </w:tc>
      </w:tr>
      <w:tr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EX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EX-###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Excel, RLS, DAX library, sync or automation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Extension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Technical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[Status]</w:t>
            </w:r>
          </w:p>
        </w:tc>
      </w:tr>
      <w:tr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V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Validation evidence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DQ, reconciliation, RLS, performance, UAT and release proof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Data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Delivery owner</w:t>
            </w:r>
          </w:p>
        </w:tc>
        <w:tc>
          <w:tcPr>
            <w:tcW w:type="dxa" w:w="18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[Status]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3. Business Logic and Acceptance Rules</w:t>
      </w:r>
    </w:p>
    <w:p>
      <w:pPr>
        <w:spacing w:before="20" w:after="160"/>
        <w:pBdr>
          <w:bottom w:val="single" w:sz="18" w:space="1" w:color="000000"/>
        </w:pBdr>
      </w:pPr>
    </w:p>
    <w:p>
      <w:pPr>
        <w:spacing w:after="100" w:line="254" w:lineRule="auto"/>
      </w:pPr>
      <w:r>
        <w:rPr>
          <w:rFonts w:ascii="Arial" w:hAnsi="Arial"/>
          <w:color w:val="122B4A"/>
          <w:sz w:val="19"/>
        </w:rPr>
        <w:t>Business logic is agreed before technical implementation. It defines operational meaning, not just a field list or visual layout. The business process owner and ERP functional consultant approve this section.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088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Logic area</w:t>
            </w:r>
          </w:p>
        </w:tc>
        <w:tc>
          <w:tcPr>
            <w:tcW w:type="dxa" w:w="8712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Required definition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Business grain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One declared event or snapshot grain for each metric; examples: sales-order line, inventory item-location-day, legal-entity fiscal-month.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Measures and calculations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Name, business definition, unit, currency, date basis, numerator/denominator, additive behaviour and target/threshold.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Scope and filters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Organisation, legal entity, region, product, customer, status, period, inclusions, exclusions and default user filters.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Exceptions and overrides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Capture cancellations, returns, intercompany logic, late-arriving records, mappings and Finance overrides with authority and effective dates.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Acceptance baseline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Reconcile to approved source control totals, Finance report or named business sign-off at the declared grain.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6F8FA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Arial" w:hAnsi="Arial"/>
                <w:b/>
                <w:color w:val="122B4A"/>
                <w:sz w:val="19"/>
              </w:rPr>
              <w:t xml:space="preserve">Finance override  </w:t>
            </w:r>
            <w:r>
              <w:rPr>
                <w:rFonts w:ascii="Arial" w:hAnsi="Arial"/>
                <w:color w:val="122B4A"/>
                <w:sz w:val="19"/>
              </w:rPr>
              <w:t>Store Base Amount, Approved Override and Final Presented Amount independently. Never overwrite the operational base measure.</w:t>
            </w:r>
          </w:p>
        </w:tc>
      </w:tr>
    </w:tbl>
    <w:p>
      <w:pPr>
        <w:spacing w:after="4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4. Data Architecture, Lineage and Data Model</w:t>
      </w:r>
    </w:p>
    <w:p>
      <w:pPr>
        <w:spacing w:before="20" w:after="160"/>
        <w:pBdr>
          <w:bottom w:val="single" w:sz="18" w:space="1" w:color="000000"/>
        </w:pBdr>
      </w:pPr>
    </w:p>
    <w:p>
      <w:pPr>
        <w:spacing w:after="100" w:line="254" w:lineRule="auto"/>
      </w:pPr>
      <w:r>
        <w:rPr>
          <w:rFonts w:ascii="Arial" w:hAnsi="Arial"/>
          <w:color w:val="122B4A"/>
          <w:sz w:val="19"/>
        </w:rPr>
        <w:t>Use EDI Gold View as the upstream entry contract. Refined Coat (RC) integrates and preserves source traceability; Sealer Coat (SC) applies justified APAC correction/enrichment; Top Coat (TC) publishes the stable consumption contract.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728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Lineage stage</w:t>
            </w:r>
          </w:p>
        </w:tc>
        <w:tc>
          <w:tcPr>
            <w:tcW w:type="dxa" w:w="6408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Object / rule to document</w:t>
            </w:r>
          </w:p>
        </w:tc>
        <w:tc>
          <w:tcPr>
            <w:tcW w:type="dxa" w:w="266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Evidence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Upstream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EDI Gold View object, source module/document, extract timestamp and schema version.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Approved source contract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RC — Refined Coat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Physical integration tables, source keys, record hash, load batch and source-to-target mapping.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Mapping and load test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SC — Sealer Coat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Local corrections, mappings, enrichment, business-rule owner and rule version when needed.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Rule approval and DQ test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TC — Top Coat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Views named SW_APAC_TC_&lt;SUBJECT&gt;_&lt;OBJECT&gt;_&lt;REF|MET|LNK|RUP&gt;; backward-compatible outputs.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Published data contract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Consumption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Semantic model, report/dashboard/extension ID, as-of timestamp and refresh SLA.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Consumer acceptance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80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Object type</w:t>
            </w:r>
          </w:p>
        </w:tc>
        <w:tc>
          <w:tcPr>
            <w:tcW w:type="dxa" w:w="288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Purpose</w:t>
            </w:r>
          </w:p>
        </w:tc>
        <w:tc>
          <w:tcPr>
            <w:tcW w:type="dxa" w:w="612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Minimum model rule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Reference / REF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Descriptive business context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One entity/version; include natural key, hierarchy and effective dates.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Metric / MET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Business event or snapshot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Declare grain, dimension keys, measures, event/snapshot date and source document.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Link / LNK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Many-to-many association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Store both keys, relationship type, allocation and effective dates.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Rollup / RUP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Approved reusable aggregation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Declare aggregate grain, period/as-of rule, refresh timestamp and rule version.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5. Semantic Model and Consumer Deliverables</w:t>
      </w:r>
    </w:p>
    <w:p>
      <w:pPr>
        <w:spacing w:before="20" w:after="160"/>
        <w:pBdr>
          <w:bottom w:val="single" w:sz="18" w:space="1" w:color="000000"/>
        </w:pBdr>
      </w:pPr>
    </w:p>
    <w:p>
      <w:pPr>
        <w:spacing w:after="100" w:line="254" w:lineRule="auto"/>
      </w:pPr>
      <w:r>
        <w:rPr>
          <w:rFonts w:ascii="Arial" w:hAnsi="Arial"/>
          <w:color w:val="122B4A"/>
          <w:sz w:val="19"/>
        </w:rPr>
        <w:t>The semantic model is the shared consumption layer between Top Coat and end-user deliverables. Use conformed References, single-direction filters by default, named calculations and explicit date/currency logic.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65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Consumer class</w:t>
            </w:r>
          </w:p>
        </w:tc>
        <w:tc>
          <w:tcPr>
            <w:tcW w:type="dxa" w:w="597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Required design evidence</w:t>
            </w:r>
          </w:p>
        </w:tc>
        <w:tc>
          <w:tcPr>
            <w:tcW w:type="dxa" w:w="3168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Applicable when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VI — Dashboard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Decision questions, KPI catalogue, measure definitions, page/layout, interactions, RLS and UAT.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Power BI / Tableau supports recurring exploration.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RP — Report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Report grain, schedule, historical snapshot/restatement, Finance override, archive and sign-off.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Structured or periodic output is required.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EX — Extension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Interface/data contract, security, schedule, error/recovery and lifecycle.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Excel, RLS, DAX, sync or automation extends the experience.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6. Security, Validation and Test Evidence</w:t>
      </w:r>
    </w:p>
    <w:p>
      <w:pPr>
        <w:spacing w:before="20" w:after="160"/>
        <w:pBdr>
          <w:bottom w:val="single" w:sz="18" w:space="1" w:color="000000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80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Control</w:t>
            </w:r>
          </w:p>
        </w:tc>
        <w:tc>
          <w:tcPr>
            <w:tcW w:type="dxa" w:w="6048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952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Evidence to retain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Data quality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Validate row/key completeness, duplicate prevention, domain/range checks, freshness and schema change.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Test run, exception log and remediation owner.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Reconciliation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Compare to approved source control total at declared grain, period, legal entity and currency.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Signed reconciliation result.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Security / RLS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Enforce least privilege using approved entitlement References, legal entity/region scope and deny-by-default tests.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Permitted and denied user test evidence.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Performance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Record expected volume, refresh/window, query/render targets and use of Rollup only where justified.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Performance test or monitoring baseline.</w:t>
            </w:r>
          </w:p>
        </w:tc>
      </w:tr>
      <w:tr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UAT / release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Test realistic business scenarios, including exceptions and export restrictions.</w:t>
            </w:r>
          </w:p>
        </w:tc>
        <w:tc>
          <w:tcPr>
            <w:tcW w:type="dxa" w:w="36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Business acceptance and release approval.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7. Operations, Performance and Recovery</w:t>
      </w:r>
    </w:p>
    <w:p>
      <w:pPr>
        <w:spacing w:before="20" w:after="160"/>
        <w:pBdr>
          <w:bottom w:val="single" w:sz="18" w:space="1" w:color="000000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Operational item</w:t>
            </w:r>
          </w:p>
        </w:tc>
        <w:tc>
          <w:tcPr>
            <w:tcW w:type="dxa" w:w="864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Required design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Refresh and freshness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Schedule, SLA, as-of timestamp, dependency order, late-arrival handling and incremental watermark.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Monitoring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Success/failure alert, data-quality alert, owner, escalation route and diagnostic location.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Restart / recovery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Idempotency or replay rule, batch identifier, recovery owner, duplicate prevention and manual recovery steps.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Retention / archive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Historical snapshot, archive location, retention period and access control for published report/output.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Change management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Upstream change impact assessment, versioning, consumer notice, backward compatibility and review cadence.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8. Deployment, Release and Support Handover</w:t>
      </w:r>
    </w:p>
    <w:p>
      <w:pPr>
        <w:spacing w:before="20" w:after="160"/>
        <w:pBdr>
          <w:bottom w:val="single" w:sz="18" w:space="1" w:color="000000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Release step</w:t>
            </w:r>
          </w:p>
        </w:tc>
        <w:tc>
          <w:tcPr>
            <w:tcW w:type="dxa" w:w="8640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Exit requirement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Design approved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Business logic, lineage, data contract, security and linked component designs approved.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Build verified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Peer review complete; DQ, reconciliation, RLS and performance evidence recorded.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UAT approved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Business owner validates decision scenario and Finance validates financial logic where relevant.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Production release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Deployment order, configuration, release notes, rollback path and support contact confirmed.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Operate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Production monitoring activated; known limitations, change log and quarterly review owner recorded.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Appendix A — Data Dictionary and Mapping</w:t>
      </w:r>
    </w:p>
    <w:p>
      <w:pPr>
        <w:spacing w:before="20" w:after="160"/>
        <w:pBdr>
          <w:bottom w:val="single" w:sz="18" w:space="1" w:color="000000"/>
        </w:pBdr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944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Field group</w:t>
            </w:r>
          </w:p>
        </w:tc>
        <w:tc>
          <w:tcPr>
            <w:tcW w:type="dxa" w:w="8856"/>
            <w:shd w:fill="000000"/>
            <w:tcMar>
              <w:top w:w="70" w:type="dxa"/>
              <w:start w:w="110" w:type="dxa"/>
              <w:bottom w:w="70" w:type="dxa"/>
              <w:end w:w="11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Minimum columns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Identity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Surrogate key, natural key, source system, source record ID, record hash.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WHO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Created by, updated by, owner organisation, data steward, approver where relevant.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WHEN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Effective from/to, source extract, load, last modified, as-of and refresh timestamps.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Control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  <w:shd w:fill="FAFBFC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Current/deleted flag, DQ status, exception code, batch ID, rule version.</w:t>
            </w:r>
          </w:p>
        </w:tc>
      </w:tr>
      <w:tr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122B4A"/>
                <w:sz w:val="17"/>
              </w:rPr>
              <w:t>Security</w:t>
            </w:r>
          </w:p>
        </w:tc>
        <w:tc>
          <w:tcPr>
            <w:tcW w:type="dxa" w:w="5400"/>
            <w:tcMar>
              <w:top w:w="70" w:type="dxa"/>
              <w:start w:w="110" w:type="dxa"/>
              <w:bottom w:w="70" w:type="dxa"/>
              <w:end w:w="11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color w:val="122B4A"/>
                <w:sz w:val="17"/>
              </w:rPr>
              <w:t>Legal entity, region, security group, sensitivity class and entitlement period.</w:t>
            </w:r>
          </w:p>
        </w:tc>
      </w:tr>
    </w:tbl>
    <w:p>
      <w:pPr>
        <w:spacing w:after="20"/>
      </w:pPr>
    </w:p>
    <w:p>
      <w:pPr>
        <w:spacing w:before="260" w:after="80"/>
      </w:pPr>
      <w:r>
        <w:rPr>
          <w:rFonts w:ascii="Arial" w:hAnsi="Arial"/>
          <w:b/>
          <w:color w:val="122B4A"/>
          <w:sz w:val="28"/>
        </w:rPr>
        <w:t>Appendix B — Completion Check</w:t>
      </w:r>
    </w:p>
    <w:p>
      <w:pPr>
        <w:spacing w:before="20" w:after="160"/>
        <w:pBdr>
          <w:bottom w:val="single" w:sz="18" w:space="1" w:color="000000"/>
        </w:pBdr>
      </w:pP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DRIVE ID and owners are recorded.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Business grain, scope, exceptions and approval baseline are agreed.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RC/SC/TC lineage, semantic model and Top Coat contract are documented.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Applicable DA, VI, RP and EX components are linked.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DQ, reconciliation, RLS, performance and UAT evidence are retained.</w:t>
      </w:r>
    </w:p>
    <w:p>
      <w:pPr>
        <w:pStyle w:val="ListBullet"/>
        <w:spacing w:after="40" w:line="250" w:lineRule="auto"/>
      </w:pPr>
      <w:r>
        <w:rPr>
          <w:rFonts w:ascii="Arial" w:hAnsi="Arial"/>
          <w:color w:val="122B4A"/>
          <w:sz w:val="19"/>
        </w:rPr>
        <w:t>Release, rollback, support and review cadence are assigned.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835" w:left="720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7085"/>
        <w:sz w:val="15"/>
      </w:rPr>
      <w:t>DRIVE controlled document  |  Internal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67085"/>
        <w:sz w:val="15"/>
      </w:rPr>
      <w:t>SW Data Mart | Controlled Development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