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000000"/>
          <w:sz w:val="18"/>
        </w:rPr>
        <w:t xml:space="preserve">DRIVE.001  </w:t>
      </w:r>
      <w:r>
        <w:rPr>
          <w:rFonts w:ascii="Arial" w:hAnsi="Arial"/>
          <w:b/>
          <w:color w:val="000000"/>
          <w:sz w:val="18"/>
        </w:rPr>
        <w:t>INTEGRATED TECHNICAL DESIGN TEMPLATE</w:t>
      </w:r>
    </w:p>
    <w:p>
      <w:pPr>
        <w:spacing w:before="20" w:after="160"/>
        <w:pBdr>
          <w:bottom w:val="single" w:sz="18" w:space="1" w:color="000000"/>
        </w:pBdr>
      </w:pPr>
    </w:p>
    <w:p>
      <w:pPr>
        <w:spacing w:after="40"/>
      </w:pPr>
      <w:r>
        <w:rPr>
          <w:rFonts w:ascii="Arial" w:hAnsi="Arial"/>
          <w:b/>
          <w:color w:val="2B65B1"/>
          <w:sz w:val="38"/>
        </w:rPr>
        <w:t>[Deliverable Title]</w:t>
      </w:r>
    </w:p>
    <w:p>
      <w:pPr>
        <w:spacing w:after="240"/>
      </w:pPr>
      <w:r>
        <w:rPr>
          <w:rFonts w:ascii="Arial" w:hAnsi="Arial"/>
          <w:color w:val="122B4A"/>
          <w:sz w:val="21"/>
        </w:rPr>
        <w:t>Complete this controlled template for a new or changed SW Data Mart requirement. Delete instructions only after the required information is supplied.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520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Document field</w:t>
            </w:r>
          </w:p>
        </w:tc>
        <w:tc>
          <w:tcPr>
            <w:tcW w:type="dxa" w:w="8280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DRIVE ID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[DRIVE-###]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Title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[Business-friendly deliverable title]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Subject area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[Sales / Supply Chain / Finance / Other]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Business owner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[Name / role]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Technical owner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[Name / role]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Version / status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[Draft / Review / Approved / Retired]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Linked delivery IDs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[List associated IDs]</w:t>
            </w:r>
          </w:p>
        </w:tc>
      </w:tr>
    </w:tbl>
    <w:p>
      <w:pPr>
        <w:spacing w:after="20"/>
      </w:pPr>
    </w:p>
    <w:p>
      <w:pPr>
        <w:spacing w:before="260" w:after="80"/>
      </w:pPr>
      <w:r>
        <w:rPr>
          <w:rFonts w:ascii="Arial" w:hAnsi="Arial"/>
          <w:b/>
          <w:color w:val="122B4A"/>
          <w:sz w:val="28"/>
        </w:rPr>
        <w:t>Document Control</w:t>
      </w:r>
    </w:p>
    <w:p>
      <w:pPr>
        <w:spacing w:before="20" w:after="160"/>
        <w:pBdr>
          <w:bottom w:val="single" w:sz="18" w:space="1" w:color="000000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080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1440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232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Author / owner</w:t>
            </w:r>
          </w:p>
        </w:tc>
        <w:tc>
          <w:tcPr>
            <w:tcW w:type="dxa" w:w="4464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  <w:tc>
          <w:tcPr>
            <w:tcW w:type="dxa" w:w="1584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Approval</w:t>
            </w:r>
          </w:p>
        </w:tc>
      </w:tr>
      <w:tr>
        <w:tc>
          <w:tcPr>
            <w:tcW w:type="dxa" w:w="21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[x.x]</w:t>
            </w:r>
          </w:p>
        </w:tc>
        <w:tc>
          <w:tcPr>
            <w:tcW w:type="dxa" w:w="21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[yyyy-mm-dd]</w:t>
            </w:r>
          </w:p>
        </w:tc>
        <w:tc>
          <w:tcPr>
            <w:tcW w:type="dxa" w:w="21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[Name]</w:t>
            </w:r>
          </w:p>
        </w:tc>
        <w:tc>
          <w:tcPr>
            <w:tcW w:type="dxa" w:w="21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[Describe change and impact]</w:t>
            </w:r>
          </w:p>
        </w:tc>
        <w:tc>
          <w:tcPr>
            <w:tcW w:type="dxa" w:w="216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[Approver / date]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024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Approver</w:t>
            </w:r>
          </w:p>
        </w:tc>
        <w:tc>
          <w:tcPr>
            <w:tcW w:type="dxa" w:w="3240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4536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Decision / date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[Business process owner]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Business logic owner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[Decision / date]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[ERP functional consultant]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Process and source-field authority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[Decision / date]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[Data &amp; Analytics owner]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Technical and release owner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[Decision / date]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[Finance approver if needed]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Financial-definition authority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[Decision / date]</w:t>
            </w:r>
          </w:p>
        </w:tc>
      </w:tr>
    </w:tbl>
    <w:p>
      <w:pPr>
        <w:spacing w:after="20"/>
      </w:pPr>
    </w:p>
    <w:p>
      <w:pPr>
        <w:spacing w:before="260" w:after="80"/>
      </w:pPr>
      <w:r>
        <w:rPr>
          <w:rFonts w:ascii="Arial" w:hAnsi="Arial"/>
          <w:b/>
          <w:color w:val="122B4A"/>
          <w:sz w:val="28"/>
        </w:rPr>
        <w:t>Contents</w:t>
      </w:r>
    </w:p>
    <w:p>
      <w:pPr>
        <w:spacing w:before="20" w:after="160"/>
        <w:pBdr>
          <w:bottom w:val="single" w:sz="18" w:space="1" w:color="000000"/>
        </w:pBdr>
      </w:pPr>
    </w:p>
    <w:p>
      <w:pPr>
        <w:pStyle w:val="ListBullet"/>
        <w:spacing w:after="40" w:line="250" w:lineRule="auto"/>
      </w:pPr>
      <w:r>
        <w:rPr>
          <w:rFonts w:ascii="Arial" w:hAnsi="Arial"/>
          <w:color w:val="122B4A"/>
          <w:sz w:val="19"/>
        </w:rPr>
        <w:t>1. Business and Technical Overview</w:t>
      </w:r>
    </w:p>
    <w:p>
      <w:pPr>
        <w:pStyle w:val="ListBullet"/>
        <w:spacing w:after="40" w:line="250" w:lineRule="auto"/>
      </w:pPr>
      <w:r>
        <w:rPr>
          <w:rFonts w:ascii="Arial" w:hAnsi="Arial"/>
          <w:color w:val="122B4A"/>
          <w:sz w:val="19"/>
        </w:rPr>
        <w:t>2. Component Inventory and Delivery Classification</w:t>
      </w:r>
    </w:p>
    <w:p>
      <w:pPr>
        <w:pStyle w:val="ListBullet"/>
        <w:spacing w:after="40" w:line="250" w:lineRule="auto"/>
      </w:pPr>
      <w:r>
        <w:rPr>
          <w:rFonts w:ascii="Arial" w:hAnsi="Arial"/>
          <w:color w:val="122B4A"/>
          <w:sz w:val="19"/>
        </w:rPr>
        <w:t>3. Business Logic and Acceptance Rules</w:t>
      </w:r>
    </w:p>
    <w:p>
      <w:pPr>
        <w:pStyle w:val="ListBullet"/>
        <w:spacing w:after="40" w:line="250" w:lineRule="auto"/>
      </w:pPr>
      <w:r>
        <w:rPr>
          <w:rFonts w:ascii="Arial" w:hAnsi="Arial"/>
          <w:color w:val="122B4A"/>
          <w:sz w:val="19"/>
        </w:rPr>
        <w:t>4. Data Architecture, Lineage and Data Model</w:t>
      </w:r>
    </w:p>
    <w:p>
      <w:pPr>
        <w:pStyle w:val="ListBullet"/>
        <w:spacing w:after="40" w:line="250" w:lineRule="auto"/>
      </w:pPr>
      <w:r>
        <w:rPr>
          <w:rFonts w:ascii="Arial" w:hAnsi="Arial"/>
          <w:color w:val="122B4A"/>
          <w:sz w:val="19"/>
        </w:rPr>
        <w:t>5. Semantic Model and Consumer Deliverables</w:t>
      </w:r>
    </w:p>
    <w:p>
      <w:pPr>
        <w:pStyle w:val="ListBullet"/>
        <w:spacing w:after="40" w:line="250" w:lineRule="auto"/>
      </w:pPr>
      <w:r>
        <w:rPr>
          <w:rFonts w:ascii="Arial" w:hAnsi="Arial"/>
          <w:color w:val="122B4A"/>
          <w:sz w:val="19"/>
        </w:rPr>
        <w:t>6. Security, Validation and Test Evidence</w:t>
      </w:r>
    </w:p>
    <w:p>
      <w:pPr>
        <w:pStyle w:val="ListBullet"/>
        <w:spacing w:after="40" w:line="250" w:lineRule="auto"/>
      </w:pPr>
      <w:r>
        <w:rPr>
          <w:rFonts w:ascii="Arial" w:hAnsi="Arial"/>
          <w:color w:val="122B4A"/>
          <w:sz w:val="19"/>
        </w:rPr>
        <w:t>7. Operations, Performance and Recovery</w:t>
      </w:r>
    </w:p>
    <w:p>
      <w:pPr>
        <w:pStyle w:val="ListBullet"/>
        <w:spacing w:after="40" w:line="250" w:lineRule="auto"/>
      </w:pPr>
      <w:r>
        <w:rPr>
          <w:rFonts w:ascii="Arial" w:hAnsi="Arial"/>
          <w:color w:val="122B4A"/>
          <w:sz w:val="19"/>
        </w:rPr>
        <w:t>8. Deployment, Release and Support Handover</w:t>
      </w:r>
    </w:p>
    <w:p>
      <w:pPr>
        <w:pStyle w:val="ListBullet"/>
        <w:spacing w:after="40" w:line="250" w:lineRule="auto"/>
      </w:pPr>
      <w:r>
        <w:rPr>
          <w:rFonts w:ascii="Arial" w:hAnsi="Arial"/>
          <w:color w:val="122B4A"/>
          <w:sz w:val="19"/>
        </w:rPr>
        <w:t>Appendix A — Data Dictionary and Mapping</w:t>
      </w:r>
    </w:p>
    <w:p>
      <w:pPr>
        <w:pStyle w:val="ListBullet"/>
        <w:spacing w:after="40" w:line="250" w:lineRule="auto"/>
      </w:pPr>
      <w:r>
        <w:rPr>
          <w:rFonts w:ascii="Arial" w:hAnsi="Arial"/>
          <w:color w:val="122B4A"/>
          <w:sz w:val="19"/>
        </w:rPr>
        <w:t>Appendix B — DA / VI / RP / EX Completion Check</w:t>
      </w:r>
    </w:p>
    <w:p>
      <w:pPr>
        <w:spacing w:before="260" w:after="80"/>
      </w:pPr>
      <w:r>
        <w:rPr>
          <w:rFonts w:ascii="Arial" w:hAnsi="Arial"/>
          <w:b/>
          <w:color w:val="122B4A"/>
          <w:sz w:val="28"/>
        </w:rPr>
        <w:t>1. Business and Technical Overview</w:t>
      </w:r>
    </w:p>
    <w:p>
      <w:pPr>
        <w:spacing w:before="20" w:after="160"/>
        <w:pBdr>
          <w:bottom w:val="single" w:sz="18" w:space="1" w:color="000000"/>
        </w:pBdr>
      </w:pPr>
    </w:p>
    <w:p>
      <w:pPr>
        <w:spacing w:after="100" w:line="254" w:lineRule="auto"/>
      </w:pPr>
      <w:r>
        <w:rPr>
          <w:rFonts w:ascii="Arial" w:hAnsi="Arial"/>
          <w:color w:val="122B4A"/>
          <w:sz w:val="19"/>
        </w:rPr>
        <w:t>[Summarise the business need, decision/action supported, scope and expected outcome.]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376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 item</w:t>
            </w:r>
          </w:p>
        </w:tc>
        <w:tc>
          <w:tcPr>
            <w:tcW w:type="dxa" w:w="8424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Business decision / action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[What decision/action will this enable?]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Process and modules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[EBS module(s), source documents and process status]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In scope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[Scope, organisation, legal entity, period]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Out of scope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[Explicit non-goals / exclusions]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Success / acceptance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[Acceptance baseline, threshold and approver]</w:t>
            </w:r>
          </w:p>
        </w:tc>
      </w:tr>
    </w:tbl>
    <w:p>
      <w:pPr>
        <w:spacing w:after="20"/>
      </w:pPr>
    </w:p>
    <w:p>
      <w:pPr>
        <w:spacing w:before="260" w:after="80"/>
      </w:pPr>
      <w:r>
        <w:rPr>
          <w:rFonts w:ascii="Arial" w:hAnsi="Arial"/>
          <w:b/>
          <w:color w:val="122B4A"/>
          <w:sz w:val="28"/>
        </w:rPr>
        <w:t>2. Component Inventory and Delivery Classification</w:t>
      </w:r>
    </w:p>
    <w:p>
      <w:pPr>
        <w:spacing w:before="20" w:after="160"/>
        <w:pBdr>
          <w:bottom w:val="single" w:sz="18" w:space="1" w:color="000000"/>
        </w:pBdr>
      </w:pPr>
    </w:p>
    <w:p>
      <w:pPr>
        <w:spacing w:after="100" w:line="254" w:lineRule="auto"/>
      </w:pPr>
      <w:r>
        <w:rPr>
          <w:rFonts w:ascii="Arial" w:hAnsi="Arial"/>
          <w:color w:val="122B4A"/>
          <w:sz w:val="19"/>
        </w:rPr>
        <w:t>Use this inventory in place of a legacy concurrent-program list. A single DRIVE requirement can contain one or more linked components; each component must have a named owner, lifecycle status and evidence link.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792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Class</w:t>
            </w:r>
          </w:p>
        </w:tc>
        <w:tc>
          <w:tcPr>
            <w:tcW w:type="dxa" w:w="1584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Component / ID</w:t>
            </w:r>
          </w:p>
        </w:tc>
        <w:tc>
          <w:tcPr>
            <w:tcW w:type="dxa" w:w="3240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1656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Business owner</w:t>
            </w:r>
          </w:p>
        </w:tc>
        <w:tc>
          <w:tcPr>
            <w:tcW w:type="dxa" w:w="1656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Technical owner</w:t>
            </w:r>
          </w:p>
        </w:tc>
        <w:tc>
          <w:tcPr>
            <w:tcW w:type="dxa" w:w="1080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DA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DA-###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Data lineage, model, dictionary and TC contract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Process owner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Data engineer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[Status]</w:t>
            </w:r>
          </w:p>
        </w:tc>
      </w:tr>
      <w:tr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VI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VI-###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Power BI / Tableau decision experience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Business manager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BI owner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[Status]</w:t>
            </w:r>
          </w:p>
        </w:tc>
      </w:tr>
      <w:tr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RP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RP-###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Periodic/historical report and Finance override output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Report owner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Report owner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[Status]</w:t>
            </w:r>
          </w:p>
        </w:tc>
      </w:tr>
      <w:tr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EX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EX-###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Excel, RLS, DAX library, sync or automation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Extension owner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Technical owner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[Status]</w:t>
            </w:r>
          </w:p>
        </w:tc>
      </w:tr>
      <w:tr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V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Validation evidence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DQ, reconciliation, RLS, performance, UAT and release proof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Data owner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Delivery owner</w:t>
            </w:r>
          </w:p>
        </w:tc>
        <w:tc>
          <w:tcPr>
            <w:tcW w:type="dxa" w:w="18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[Status]</w:t>
            </w:r>
          </w:p>
        </w:tc>
      </w:tr>
    </w:tbl>
    <w:p>
      <w:pPr>
        <w:spacing w:after="20"/>
      </w:pPr>
    </w:p>
    <w:p>
      <w:pPr>
        <w:spacing w:before="260" w:after="80"/>
      </w:pPr>
      <w:r>
        <w:rPr>
          <w:rFonts w:ascii="Arial" w:hAnsi="Arial"/>
          <w:b/>
          <w:color w:val="122B4A"/>
          <w:sz w:val="28"/>
        </w:rPr>
        <w:t>3. Business Logic and Acceptance Rules</w:t>
      </w:r>
    </w:p>
    <w:p>
      <w:pPr>
        <w:spacing w:before="20" w:after="160"/>
        <w:pBdr>
          <w:bottom w:val="single" w:sz="18" w:space="1" w:color="000000"/>
        </w:pBdr>
      </w:pPr>
    </w:p>
    <w:p>
      <w:pPr>
        <w:spacing w:after="100" w:line="254" w:lineRule="auto"/>
      </w:pPr>
      <w:r>
        <w:rPr>
          <w:rFonts w:ascii="Arial" w:hAnsi="Arial"/>
          <w:color w:val="122B4A"/>
          <w:sz w:val="19"/>
        </w:rPr>
        <w:t>Business logic is agreed before technical implementation. It defines operational meaning, not just a field list or visual layout. The business process owner and ERP functional consultant approve this section.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088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Logic area</w:t>
            </w:r>
          </w:p>
        </w:tc>
        <w:tc>
          <w:tcPr>
            <w:tcW w:type="dxa" w:w="8712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definition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Business grain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[What does one row / metric instance represent?]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Measures and calculations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[Define formula, unit, date/currency and aggregation behaviour]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Scope and filters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[List scope / default filters / exclusions]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Exceptions and overrides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[Describe exception, authority, effective period and audit evidence]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Acceptance baseline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[Baseline report/control total and approver]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6F8FA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color w:val="122B4A"/>
                <w:sz w:val="19"/>
              </w:rPr>
              <w:t xml:space="preserve">Finance override  </w:t>
            </w:r>
            <w:r>
              <w:rPr>
                <w:rFonts w:ascii="Arial" w:hAnsi="Arial"/>
                <w:color w:val="122B4A"/>
                <w:sz w:val="19"/>
              </w:rPr>
              <w:t>[State finance override key, approval path and base/override/final presentation rules.]</w:t>
            </w:r>
          </w:p>
        </w:tc>
      </w:tr>
    </w:tbl>
    <w:p>
      <w:pPr>
        <w:spacing w:after="40"/>
      </w:pPr>
    </w:p>
    <w:p>
      <w:pPr>
        <w:spacing w:before="260" w:after="80"/>
      </w:pPr>
      <w:r>
        <w:rPr>
          <w:rFonts w:ascii="Arial" w:hAnsi="Arial"/>
          <w:b/>
          <w:color w:val="122B4A"/>
          <w:sz w:val="28"/>
        </w:rPr>
        <w:t>4. Data Architecture, Lineage and Data Model</w:t>
      </w:r>
    </w:p>
    <w:p>
      <w:pPr>
        <w:spacing w:before="20" w:after="160"/>
        <w:pBdr>
          <w:bottom w:val="single" w:sz="18" w:space="1" w:color="000000"/>
        </w:pBdr>
      </w:pPr>
    </w:p>
    <w:p>
      <w:pPr>
        <w:spacing w:after="100" w:line="254" w:lineRule="auto"/>
      </w:pPr>
      <w:r>
        <w:rPr>
          <w:rFonts w:ascii="Arial" w:hAnsi="Arial"/>
          <w:color w:val="122B4A"/>
          <w:sz w:val="19"/>
        </w:rPr>
        <w:t>Use EDI Gold View as the upstream entry contract. Refined Coat (RC) integrates and preserves source traceability; Sealer Coat (SC) applies justified APAC correction/enrichment; Top Coat (TC) publishes the stable consumption contract.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728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Lineage stage</w:t>
            </w:r>
          </w:p>
        </w:tc>
        <w:tc>
          <w:tcPr>
            <w:tcW w:type="dxa" w:w="6408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Object / rule to document</w:t>
            </w:r>
          </w:p>
        </w:tc>
        <w:tc>
          <w:tcPr>
            <w:tcW w:type="dxa" w:w="2664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Upstream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EDI Gold View object, source module/document, extract timestamp and schema version.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Approved source contract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RC — Refined Coat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Physical integration tables, source keys, record hash, load batch and source-to-target mapping.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Mapping and load test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SC — Sealer Coat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Local corrections, mappings, enrichment, business-rule owner and rule version when needed.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Rule approval and DQ test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TC — Top Coat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Views named SW_APAC_TC_&lt;SUBJECT&gt;_&lt;OBJECT&gt;_&lt;REF|MET|LNK|RUP&gt;; backward-compatible outputs.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Published data contract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Consumption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Semantic model, report/dashboard/extension ID, as-of timestamp and refresh SLA.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Consumer acceptance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800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Object type</w:t>
            </w:r>
          </w:p>
        </w:tc>
        <w:tc>
          <w:tcPr>
            <w:tcW w:type="dxa" w:w="2880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6120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Minimum model rule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Reference / REF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Descriptive business context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One entity/version; include natural key, hierarchy and effective dates.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Metric / MET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Business event or snapshot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Declare grain, dimension keys, measures, event/snapshot date and source document.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Link / LNK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Many-to-many association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Store both keys, relationship type, allocation and effective dates.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Rollup / RUP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Approved reusable aggregation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Declare aggregate grain, period/as-of rule, refresh timestamp and rule version.</w:t>
            </w:r>
          </w:p>
        </w:tc>
      </w:tr>
    </w:tbl>
    <w:p>
      <w:pPr>
        <w:spacing w:after="20"/>
      </w:pPr>
    </w:p>
    <w:p>
      <w:pPr>
        <w:spacing w:before="260" w:after="80"/>
      </w:pPr>
      <w:r>
        <w:rPr>
          <w:rFonts w:ascii="Arial" w:hAnsi="Arial"/>
          <w:b/>
          <w:color w:val="122B4A"/>
          <w:sz w:val="28"/>
        </w:rPr>
        <w:t>5. Semantic Model and Consumer Deliverables</w:t>
      </w:r>
    </w:p>
    <w:p>
      <w:pPr>
        <w:spacing w:before="20" w:after="160"/>
        <w:pBdr>
          <w:bottom w:val="single" w:sz="18" w:space="1" w:color="000000"/>
        </w:pBdr>
      </w:pPr>
    </w:p>
    <w:p>
      <w:pPr>
        <w:spacing w:after="100" w:line="254" w:lineRule="auto"/>
      </w:pPr>
      <w:r>
        <w:rPr>
          <w:rFonts w:ascii="Arial" w:hAnsi="Arial"/>
          <w:color w:val="122B4A"/>
          <w:sz w:val="19"/>
        </w:rPr>
        <w:t>The semantic model is the shared consumption layer between Top Coat and end-user deliverables. Use conformed References, single-direction filters by default, named calculations and explicit date/currency logic.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656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Consumer class</w:t>
            </w:r>
          </w:p>
        </w:tc>
        <w:tc>
          <w:tcPr>
            <w:tcW w:type="dxa" w:w="5976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design evidence</w:t>
            </w:r>
          </w:p>
        </w:tc>
        <w:tc>
          <w:tcPr>
            <w:tcW w:type="dxa" w:w="3168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Applicable when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VI — Dashboard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Decision questions, KPI catalogue, measure definitions, page/layout, interactions, RLS and UAT.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Power BI / Tableau supports recurring exploration.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RP — Report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Report grain, schedule, historical snapshot/restatement, Finance override, archive and sign-off.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Structured or periodic output is required.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EX — Extension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Interface/data contract, security, schedule, error/recovery and lifecycle.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Excel, RLS, DAX, sync or automation extends the experience.</w:t>
            </w:r>
          </w:p>
        </w:tc>
      </w:tr>
    </w:tbl>
    <w:p>
      <w:pPr>
        <w:spacing w:after="20"/>
      </w:pPr>
    </w:p>
    <w:p>
      <w:pPr>
        <w:spacing w:before="260" w:after="80"/>
      </w:pPr>
      <w:r>
        <w:rPr>
          <w:rFonts w:ascii="Arial" w:hAnsi="Arial"/>
          <w:b/>
          <w:color w:val="122B4A"/>
          <w:sz w:val="28"/>
        </w:rPr>
        <w:t>6. Security, Validation and Test Evidence</w:t>
      </w:r>
    </w:p>
    <w:p>
      <w:pPr>
        <w:spacing w:before="20" w:after="160"/>
        <w:pBdr>
          <w:bottom w:val="single" w:sz="18" w:space="1" w:color="000000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1800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6048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952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Evidence to retain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Data quality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Validate row/key completeness, duplicate prevention, domain/range checks, freshness and schema change.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Test run, exception log and remediation owner.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Reconciliation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Compare to approved source control total at declared grain, period, legal entity and currency.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Signed reconciliation result.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Security / RLS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Enforce least privilege using approved entitlement References, legal entity/region scope and deny-by-default tests.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Permitted and denied user test evidence.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Performance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Record expected volume, refresh/window, query/render targets and use of Rollup only where justified.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Performance test or monitoring baseline.</w:t>
            </w:r>
          </w:p>
        </w:tc>
      </w:tr>
      <w:tr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UAT / release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Test realistic business scenarios, including exceptions and export restrictions.</w:t>
            </w:r>
          </w:p>
        </w:tc>
        <w:tc>
          <w:tcPr>
            <w:tcW w:type="dxa" w:w="36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Business acceptance and release approval.</w:t>
            </w:r>
          </w:p>
        </w:tc>
      </w:tr>
    </w:tbl>
    <w:p>
      <w:pPr>
        <w:spacing w:after="20"/>
      </w:pPr>
    </w:p>
    <w:p>
      <w:pPr>
        <w:spacing w:before="260" w:after="80"/>
      </w:pPr>
      <w:r>
        <w:rPr>
          <w:rFonts w:ascii="Arial" w:hAnsi="Arial"/>
          <w:b/>
          <w:color w:val="122B4A"/>
          <w:sz w:val="28"/>
        </w:rPr>
        <w:t>7. Operations, Performance and Recovery</w:t>
      </w:r>
    </w:p>
    <w:p>
      <w:pPr>
        <w:spacing w:before="20" w:after="160"/>
        <w:pBdr>
          <w:bottom w:val="single" w:sz="18" w:space="1" w:color="000000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160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Operational item</w:t>
            </w:r>
          </w:p>
        </w:tc>
        <w:tc>
          <w:tcPr>
            <w:tcW w:type="dxa" w:w="8640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Required design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Refresh and freshness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Schedule, SLA, as-of timestamp, dependency order, late-arrival handling and incremental watermark.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Monitoring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Success/failure alert, data-quality alert, owner, escalation route and diagnostic location.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Restart / recovery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Idempotency or replay rule, batch identifier, recovery owner, duplicate prevention and manual recovery steps.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Retention / archive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Historical snapshot, archive location, retention period and access control for published report/output.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Change management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Upstream change impact assessment, versioning, consumer notice, backward compatibility and review cadence.</w:t>
            </w:r>
          </w:p>
        </w:tc>
      </w:tr>
    </w:tbl>
    <w:p>
      <w:pPr>
        <w:spacing w:after="20"/>
      </w:pPr>
    </w:p>
    <w:p>
      <w:pPr>
        <w:spacing w:before="260" w:after="80"/>
      </w:pPr>
      <w:r>
        <w:rPr>
          <w:rFonts w:ascii="Arial" w:hAnsi="Arial"/>
          <w:b/>
          <w:color w:val="122B4A"/>
          <w:sz w:val="28"/>
        </w:rPr>
        <w:t>8. Deployment, Release and Support Handover</w:t>
      </w:r>
    </w:p>
    <w:p>
      <w:pPr>
        <w:spacing w:before="20" w:after="160"/>
        <w:pBdr>
          <w:bottom w:val="single" w:sz="18" w:space="1" w:color="000000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2160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Release step</w:t>
            </w:r>
          </w:p>
        </w:tc>
        <w:tc>
          <w:tcPr>
            <w:tcW w:type="dxa" w:w="8640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Exit requirement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Design approved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Business logic, lineage, data contract, security and linked component designs approved.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Build verified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Peer review complete; DQ, reconciliation, RLS and performance evidence recorded.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UAT approved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Business owner validates decision scenario and Finance validates financial logic where relevant.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Production release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Deployment order, configuration, release notes, rollback path and support contact confirmed.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Operate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Production monitoring activated; known limitations, change log and quarterly review owner recorded.</w:t>
            </w:r>
          </w:p>
        </w:tc>
      </w:tr>
    </w:tbl>
    <w:p>
      <w:pPr>
        <w:spacing w:after="20"/>
      </w:pPr>
    </w:p>
    <w:p>
      <w:pPr>
        <w:spacing w:before="260" w:after="80"/>
      </w:pPr>
      <w:r>
        <w:rPr>
          <w:rFonts w:ascii="Arial" w:hAnsi="Arial"/>
          <w:b/>
          <w:color w:val="122B4A"/>
          <w:sz w:val="28"/>
        </w:rPr>
        <w:t>Appendix A — Data Dictionary and Mapping</w:t>
      </w:r>
    </w:p>
    <w:p>
      <w:pPr>
        <w:spacing w:before="20" w:after="160"/>
        <w:pBdr>
          <w:bottom w:val="single" w:sz="18" w:space="1" w:color="000000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1944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 group</w:t>
            </w:r>
          </w:p>
        </w:tc>
        <w:tc>
          <w:tcPr>
            <w:tcW w:type="dxa" w:w="8856"/>
            <w:shd w:fill="000000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Minimum columns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Identity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Surrogate key, natural key, source system, source record ID, record hash.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WHO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Created by, updated by, owner organisation, data steward, approver where relevant.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WHEN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Effective from/to, source extract, load, last modified, as-of and refresh timestamps.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Control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  <w:shd w:fill="FAFBFC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Current/deleted flag, DQ status, exception code, batch ID, rule version.</w:t>
            </w:r>
          </w:p>
        </w:tc>
      </w:tr>
      <w:tr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22B4A"/>
                <w:sz w:val="17"/>
              </w:rPr>
              <w:t>Security</w:t>
            </w:r>
          </w:p>
        </w:tc>
        <w:tc>
          <w:tcPr>
            <w:tcW w:type="dxa" w:w="5400"/>
            <w:tcMar>
              <w:top w:w="70" w:type="dxa"/>
              <w:start w:w="110" w:type="dxa"/>
              <w:bottom w:w="70" w:type="dxa"/>
              <w:end w:w="11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122B4A"/>
                <w:sz w:val="17"/>
              </w:rPr>
              <w:t>Legal entity, region, security group, sensitivity class and entitlement period.</w:t>
            </w:r>
          </w:p>
        </w:tc>
      </w:tr>
    </w:tbl>
    <w:p>
      <w:pPr>
        <w:spacing w:after="20"/>
      </w:pPr>
    </w:p>
    <w:p>
      <w:pPr>
        <w:spacing w:before="260" w:after="80"/>
      </w:pPr>
      <w:r>
        <w:rPr>
          <w:rFonts w:ascii="Arial" w:hAnsi="Arial"/>
          <w:b/>
          <w:color w:val="122B4A"/>
          <w:sz w:val="28"/>
        </w:rPr>
        <w:t>Appendix B — Completion Check</w:t>
      </w:r>
    </w:p>
    <w:p>
      <w:pPr>
        <w:spacing w:before="20" w:after="160"/>
        <w:pBdr>
          <w:bottom w:val="single" w:sz="18" w:space="1" w:color="000000"/>
        </w:pBdr>
      </w:pPr>
    </w:p>
    <w:p>
      <w:pPr>
        <w:pStyle w:val="ListBullet"/>
        <w:spacing w:after="40" w:line="250" w:lineRule="auto"/>
      </w:pPr>
      <w:r>
        <w:rPr>
          <w:rFonts w:ascii="Arial" w:hAnsi="Arial"/>
          <w:color w:val="122B4A"/>
          <w:sz w:val="19"/>
        </w:rPr>
        <w:t>DRIVE ID and owners are recorded.</w:t>
      </w:r>
    </w:p>
    <w:p>
      <w:pPr>
        <w:pStyle w:val="ListBullet"/>
        <w:spacing w:after="40" w:line="250" w:lineRule="auto"/>
      </w:pPr>
      <w:r>
        <w:rPr>
          <w:rFonts w:ascii="Arial" w:hAnsi="Arial"/>
          <w:color w:val="122B4A"/>
          <w:sz w:val="19"/>
        </w:rPr>
        <w:t>Business grain, scope, exceptions and approval baseline are agreed.</w:t>
      </w:r>
    </w:p>
    <w:p>
      <w:pPr>
        <w:pStyle w:val="ListBullet"/>
        <w:spacing w:after="40" w:line="250" w:lineRule="auto"/>
      </w:pPr>
      <w:r>
        <w:rPr>
          <w:rFonts w:ascii="Arial" w:hAnsi="Arial"/>
          <w:color w:val="122B4A"/>
          <w:sz w:val="19"/>
        </w:rPr>
        <w:t>RC/SC/TC lineage, semantic model and Top Coat contract are documented.</w:t>
      </w:r>
    </w:p>
    <w:p>
      <w:pPr>
        <w:pStyle w:val="ListBullet"/>
        <w:spacing w:after="40" w:line="250" w:lineRule="auto"/>
      </w:pPr>
      <w:r>
        <w:rPr>
          <w:rFonts w:ascii="Arial" w:hAnsi="Arial"/>
          <w:color w:val="122B4A"/>
          <w:sz w:val="19"/>
        </w:rPr>
        <w:t>Applicable DA, VI, RP and EX components are linked.</w:t>
      </w:r>
    </w:p>
    <w:p>
      <w:pPr>
        <w:pStyle w:val="ListBullet"/>
        <w:spacing w:after="40" w:line="250" w:lineRule="auto"/>
      </w:pPr>
      <w:r>
        <w:rPr>
          <w:rFonts w:ascii="Arial" w:hAnsi="Arial"/>
          <w:color w:val="122B4A"/>
          <w:sz w:val="19"/>
        </w:rPr>
        <w:t>DQ, reconciliation, RLS, performance and UAT evidence are retained.</w:t>
      </w:r>
    </w:p>
    <w:p>
      <w:pPr>
        <w:pStyle w:val="ListBullet"/>
        <w:spacing w:after="40" w:line="250" w:lineRule="auto"/>
      </w:pPr>
      <w:r>
        <w:rPr>
          <w:rFonts w:ascii="Arial" w:hAnsi="Arial"/>
          <w:color w:val="122B4A"/>
          <w:sz w:val="19"/>
        </w:rPr>
        <w:t>Release, rollback, support and review cadence are assigned.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720" w:bottom="835" w:left="72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7085"/>
        <w:sz w:val="15"/>
      </w:rPr>
      <w:t>DRIVE controlled document  |  Internal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7085"/>
        <w:sz w:val="15"/>
      </w:rPr>
      <w:t>SW Data Mart | Controlled Development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