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EX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EXTENSION AND INTEGRATION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FF"/>
          <w:sz w:val="34"/>
        </w:rPr>
        <w:t>[Document ID]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Extension Type and Purpose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Use this document only for an approved access design, Power Apps data interface or Power Automate flow. Select the applicable design area and remove sections that do not apply.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Extension type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Business purpose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Primary input / output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Access design / RLS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[What access decision is being enforced]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[TC / semantic model / user entitlement]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Power Apps data interface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[What Power Apps team will consume or update]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[Approved data contract]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Power Automate flow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[What event/process is automated]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[Trigger, actions and outcome]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Access Design, Power Apps or Power Automate Flow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Access design / RLS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 / group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Allowed data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Entitlement source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[Role]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[Rows / columns / export rights]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[AAD / business rule]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[Test user and expected result]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Power Apps data interface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[State the Top Coat table/view or semantic endpoint, allowed columns, write-back rule if any, Power Apps owner and error handling.]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Power Automate flow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Power Automate trigger → actions → outcome</w:t>
        <w:br/>
      </w:r>
      <w:r>
        <w:rPr>
          <w:rFonts w:ascii="Arial" w:hAnsi="Arial"/>
          <w:b w:val="0"/>
          <w:i/>
          <w:color w:val="666666"/>
          <w:sz w:val="18"/>
        </w:rPr>
        <w:t>Insert the flow screenshot. Identify trigger, failure path, notification and support owner.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Configuration or code</w:t>
      </w:r>
    </w:p>
    <w:p>
      <w:pPr>
        <w:spacing w:after="160" w:before="0" w:line="259" w:lineRule="auto"/>
        <w:shd w:fill="1F2937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Consolas" w:hAnsi="Consolas"/>
          <w:b w:val="0"/>
          <w:i w:val="0"/>
          <w:color w:val="F9FAFB"/>
          <w:sz w:val="17"/>
        </w:rPr>
        <w:t>[PASTE REVIEWED SQL / DAX / PYTHON / CONFIGURATION HERE]</w:t>
        <w:br/>
        <w:t># Identify the repository or release version.</w:t>
        <w:br/>
        <w:t># Explain the expected result and validation check.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3. Security, Operations and Release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256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 / evidence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[Least privilege, RLS, service account, secret management and export policy]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Failure handling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[Retry, alert, manual recovery and business notification]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Operational ownership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[Support owner, monitoring signal and review frequency]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Release record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[Environment, deployment, rollback and change communication]</w:t>
            </w:r>
          </w:p>
        </w:tc>
      </w:tr>
    </w:tbl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Validation and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expected result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confirms the business outcome and representative result.]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[Scope, status and dependencies are recorded.]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[DQ, reconciliation, security and performance checks pass.]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semantics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[Source fields, process status and exceptions are confirmed.]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 xml:space="preserve">Handover rule.  </w:t>
      </w:r>
      <w:r>
        <w:rPr>
          <w:rFonts w:ascii="Arial" w:hAnsi="Arial"/>
          <w:b w:val="0"/>
          <w:i w:val="0"/>
          <w:color w:val="000000"/>
          <w:sz w:val="20"/>
        </w:rPr>
        <w:t>Link the approved document, evidence and release location to the DRIVE enhancement record before production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