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RP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STRUCTURED REPORT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[Document ID]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Report Purpose and Certified Source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Document the Top Coat (TC) table or view that supplies the report and the business outcome it supports.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Coat table / view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Report format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Delivery / location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[TC object]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[Excel / Power BI / Tableau]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[Folder, workspace, email or SharePoint location]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Report specification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[State report audience, reporting period, frequency, historical/as-of policy, Finance override handling if relevant, and distribution rules.]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Output Columns and Presentation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Required columns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Business definition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Coat source column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Format / grouping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[Column 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[Meaning, type and derivation]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[TC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[Excel / Power BI / Tableau formatting]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[Column 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[Meaning, type and derivation]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[TC field]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[Excel / Power BI / Tableau formatting]</w:t>
            </w:r>
          </w:p>
        </w:tc>
      </w:tr>
    </w:tbl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Report layout, sample output or screenshot</w:t>
        <w:br/>
      </w:r>
      <w:r>
        <w:rPr>
          <w:rFonts w:ascii="Arial" w:hAnsi="Arial"/>
          <w:b w:val="0"/>
          <w:i/>
          <w:color w:val="666666"/>
          <w:sz w:val="18"/>
        </w:rPr>
        <w:t>Insert an Excel, Power BI or Tableau sample. Mark only the important grouping, totals, filters or exception areas.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Report generation and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Schedule / trigger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[Frequency, close calendar and delivery timing]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Reconciliation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[Control totals and business/Finance check]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Retention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[Archive location and retention period]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Distribution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[Recipients, access restriction and failure notification]</w:t>
            </w:r>
          </w:p>
        </w:tc>
      </w:tr>
    </w:tbl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Validation and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expected result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confirms the business outcome and representative result.]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[Scope, status and dependencies are recorded.]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[DQ, reconciliation, security and performance checks pass.]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semantics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[Source fields, process status and exceptions are confirmed.]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 xml:space="preserve">Handover rule.  </w:t>
      </w:r>
      <w:r>
        <w:rPr>
          <w:rFonts w:ascii="Arial" w:hAnsi="Arial"/>
          <w:b w:val="0"/>
          <w:i w:val="0"/>
          <w:color w:val="000000"/>
          <w:sz w:val="20"/>
        </w:rPr>
        <w:t>Link the approved document, evidence and release location to the DRIVE enhancement record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