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2F60E" w14:textId="77777777" w:rsidR="00D4683A" w:rsidRPr="000647D2" w:rsidRDefault="00D4683A" w:rsidP="008F0D2B">
      <w:pPr>
        <w:jc w:val="center"/>
        <w:rPr>
          <w:rFonts w:ascii="Trebuchet MS" w:hAnsi="Trebuchet MS"/>
        </w:rPr>
      </w:pPr>
    </w:p>
    <w:p w14:paraId="052650A1" w14:textId="77777777" w:rsidR="00D4683A" w:rsidRDefault="00D4683A" w:rsidP="008F0D2B">
      <w:pPr>
        <w:pStyle w:val="NoSpacing"/>
        <w:jc w:val="center"/>
        <w:sectPr w:rsidR="00D4683A" w:rsidSect="004919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29EFE64A" w14:textId="2B25F102" w:rsidR="0053204B" w:rsidRPr="00D6239E" w:rsidRDefault="003D3C90" w:rsidP="008F0D2B">
      <w:pPr>
        <w:pStyle w:val="NoSpacing"/>
        <w:jc w:val="center"/>
        <w:rPr>
          <w:b/>
          <w:sz w:val="32"/>
          <w:szCs w:val="32"/>
        </w:rPr>
      </w:pPr>
      <w:r w:rsidRPr="00D6239E">
        <w:rPr>
          <w:b/>
          <w:sz w:val="32"/>
          <w:szCs w:val="32"/>
        </w:rPr>
        <w:t>201</w:t>
      </w:r>
      <w:r w:rsidR="002C6427" w:rsidRPr="00D6239E">
        <w:rPr>
          <w:b/>
          <w:sz w:val="32"/>
          <w:szCs w:val="32"/>
        </w:rPr>
        <w:t>7</w:t>
      </w:r>
      <w:r w:rsidRPr="00D6239E">
        <w:rPr>
          <w:b/>
          <w:sz w:val="32"/>
          <w:szCs w:val="32"/>
        </w:rPr>
        <w:t xml:space="preserve"> </w:t>
      </w:r>
      <w:r w:rsidR="00CA57C7" w:rsidRPr="00D6239E">
        <w:rPr>
          <w:b/>
          <w:sz w:val="32"/>
          <w:szCs w:val="32"/>
        </w:rPr>
        <w:t xml:space="preserve">Epidemiological Profile: </w:t>
      </w:r>
      <w:r w:rsidR="0053204B" w:rsidRPr="00D6239E">
        <w:rPr>
          <w:b/>
          <w:sz w:val="32"/>
          <w:szCs w:val="32"/>
        </w:rPr>
        <w:t>Heroin</w:t>
      </w:r>
    </w:p>
    <w:p w14:paraId="73626864" w14:textId="77777777" w:rsidR="0053204B" w:rsidRPr="000647D2" w:rsidRDefault="0053204B" w:rsidP="008F0D2B">
      <w:pPr>
        <w:pStyle w:val="NoSpacing"/>
      </w:pPr>
    </w:p>
    <w:p w14:paraId="214BB76C" w14:textId="77777777" w:rsidR="0053204B" w:rsidRDefault="0053204B" w:rsidP="008F0D2B">
      <w:pPr>
        <w:pStyle w:val="NoSpacing"/>
        <w:sectPr w:rsidR="0053204B" w:rsidSect="0053204B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70C85DB5" w14:textId="77777777" w:rsidR="0053204B" w:rsidRPr="008F0D2B" w:rsidRDefault="0053204B" w:rsidP="008F0D2B">
      <w:pPr>
        <w:pStyle w:val="NoSpacing"/>
        <w:rPr>
          <w:b/>
          <w:u w:val="single"/>
        </w:rPr>
      </w:pPr>
      <w:r w:rsidRPr="008F0D2B">
        <w:rPr>
          <w:b/>
          <w:u w:val="single"/>
        </w:rPr>
        <w:t xml:space="preserve">Consumption </w:t>
      </w:r>
    </w:p>
    <w:p w14:paraId="51BFE0CA" w14:textId="77777777" w:rsidR="0053204B" w:rsidRDefault="0053204B" w:rsidP="008F0D2B">
      <w:pPr>
        <w:pStyle w:val="NoSpacing"/>
      </w:pPr>
    </w:p>
    <w:p w14:paraId="491F7EEC" w14:textId="1464D9BB" w:rsidR="008F0D2B" w:rsidRPr="00BA5C5E" w:rsidRDefault="008F0D2B" w:rsidP="008F0D2B">
      <w:pPr>
        <w:pStyle w:val="NoSpacing"/>
      </w:pPr>
      <w:r w:rsidRPr="00BA5C5E">
        <w:rPr>
          <w:color w:val="003366"/>
        </w:rPr>
        <w:t>A</w:t>
      </w:r>
      <w:r>
        <w:t xml:space="preserve">ccording to the </w:t>
      </w:r>
      <w:r w:rsidR="001A34B6">
        <w:t>2014-</w:t>
      </w:r>
      <w:r>
        <w:t xml:space="preserve">2015 </w:t>
      </w:r>
      <w:r w:rsidRPr="00BA5C5E">
        <w:t>N</w:t>
      </w:r>
      <w:r>
        <w:t xml:space="preserve">ational </w:t>
      </w:r>
      <w:r w:rsidRPr="00BA5C5E">
        <w:t>S</w:t>
      </w:r>
      <w:r>
        <w:t xml:space="preserve">urvey on </w:t>
      </w:r>
      <w:r w:rsidRPr="00BA5C5E">
        <w:t>D</w:t>
      </w:r>
      <w:r>
        <w:t xml:space="preserve">rug Use and Health (NSDUH), </w:t>
      </w:r>
      <w:r w:rsidR="001A34B6">
        <w:t>less than one percent (0.87%) of Connecticut residents 12 or older have used heroin in the past year, a rate almost three times the national average (0.33%).  The highest prevalence is among young adults aged</w:t>
      </w:r>
      <w:r>
        <w:t xml:space="preserve"> 18-25 year</w:t>
      </w:r>
      <w:r w:rsidR="001A34B6">
        <w:t>s old</w:t>
      </w:r>
      <w:r>
        <w:t xml:space="preserve"> </w:t>
      </w:r>
      <w:r w:rsidR="001A34B6">
        <w:t xml:space="preserve">(1.07%), followed by adults aged 26 or older (0.93%), and then adolescents (0.10%).  </w:t>
      </w:r>
    </w:p>
    <w:p w14:paraId="5854FFE5" w14:textId="77777777" w:rsidR="0053204B" w:rsidRPr="00EA1599" w:rsidRDefault="0053204B" w:rsidP="008F0D2B">
      <w:pPr>
        <w:pStyle w:val="NoSpacing"/>
      </w:pPr>
    </w:p>
    <w:p w14:paraId="4057BDC2" w14:textId="7758BCBD" w:rsidR="009831EA" w:rsidRPr="008F0D2B" w:rsidRDefault="0053204B" w:rsidP="008F0D2B">
      <w:pPr>
        <w:pStyle w:val="NoSpacing"/>
      </w:pPr>
      <w:r w:rsidRPr="00EA1599">
        <w:t xml:space="preserve">According to the 2015 Youth Risk Behavior </w:t>
      </w:r>
      <w:r w:rsidR="001A34B6">
        <w:t xml:space="preserve">Surveillance </w:t>
      </w:r>
      <w:r w:rsidRPr="00EA1599">
        <w:t>Survey (YRBS</w:t>
      </w:r>
      <w:r w:rsidR="001A34B6">
        <w:t>S</w:t>
      </w:r>
      <w:r w:rsidRPr="00EA1599">
        <w:t>)</w:t>
      </w:r>
      <w:r w:rsidR="000517FD">
        <w:t>, about</w:t>
      </w:r>
      <w:r w:rsidR="00F66C44" w:rsidRPr="00EA1599">
        <w:t xml:space="preserve"> 2.2% </w:t>
      </w:r>
      <w:r w:rsidR="001A34B6">
        <w:t xml:space="preserve">of high school students </w:t>
      </w:r>
      <w:r w:rsidR="00F66C44" w:rsidRPr="00EA1599">
        <w:t xml:space="preserve">in </w:t>
      </w:r>
      <w:r w:rsidR="001A34B6">
        <w:t>Connecticut</w:t>
      </w:r>
      <w:r w:rsidRPr="00EA1599">
        <w:t xml:space="preserve"> reported heroin use in their lifetime</w:t>
      </w:r>
      <w:r w:rsidR="00CB0F35" w:rsidRPr="00EA1599">
        <w:t xml:space="preserve">, </w:t>
      </w:r>
      <w:r w:rsidR="001A34B6">
        <w:t>just above th</w:t>
      </w:r>
      <w:r w:rsidR="00CB0F35" w:rsidRPr="00EA1599">
        <w:t>e national rate of 2.1%</w:t>
      </w:r>
      <w:r w:rsidRPr="00EA1599">
        <w:t xml:space="preserve">.  </w:t>
      </w:r>
      <w:r w:rsidR="001A34B6">
        <w:t xml:space="preserve">The YRBSS data show that </w:t>
      </w:r>
      <w:r w:rsidR="00F66C44" w:rsidRPr="00EA1599">
        <w:t xml:space="preserve">Hispanics/Latinos </w:t>
      </w:r>
      <w:r w:rsidRPr="00EA1599">
        <w:t>reported the highest overall rate</w:t>
      </w:r>
      <w:r w:rsidR="00F66C44" w:rsidRPr="00EA1599">
        <w:t xml:space="preserve"> (4.3%)</w:t>
      </w:r>
      <w:r w:rsidR="00CB0F35" w:rsidRPr="00EA1599">
        <w:t xml:space="preserve">, which is higher than the prevalence for </w:t>
      </w:r>
      <w:r w:rsidR="000517FD" w:rsidRPr="001A4BB7">
        <w:t>both black non-Hispanics (1.2%) and white non-Hispanics (1.5%)</w:t>
      </w:r>
      <w:r w:rsidR="00F66C44" w:rsidRPr="001A4BB7">
        <w:t xml:space="preserve">. </w:t>
      </w:r>
      <w:r w:rsidR="003D3C90">
        <w:t xml:space="preserve">Three percent of males and 1.1% of females reported ever use of heroin.  </w:t>
      </w:r>
      <w:r w:rsidR="00CB0F35" w:rsidRPr="001A4BB7">
        <w:t>Use among high school students</w:t>
      </w:r>
      <w:r w:rsidRPr="001A4BB7">
        <w:t xml:space="preserve"> </w:t>
      </w:r>
      <w:r w:rsidR="00CB0F35" w:rsidRPr="001A4BB7">
        <w:t xml:space="preserve">in general is </w:t>
      </w:r>
      <w:r w:rsidRPr="00EA1599">
        <w:t xml:space="preserve">of </w:t>
      </w:r>
      <w:r w:rsidR="00CB0F35" w:rsidRPr="00EA1599">
        <w:t xml:space="preserve">particular </w:t>
      </w:r>
      <w:r w:rsidRPr="00EA1599">
        <w:t>concern, as y</w:t>
      </w:r>
      <w:r w:rsidR="00CB0F35" w:rsidRPr="00EA1599">
        <w:t xml:space="preserve">outh use is often linked to </w:t>
      </w:r>
      <w:r w:rsidR="001A34B6">
        <w:t xml:space="preserve">continued </w:t>
      </w:r>
      <w:r w:rsidR="00CB0F35" w:rsidRPr="00EA1599">
        <w:t xml:space="preserve">use </w:t>
      </w:r>
      <w:r w:rsidR="007B01B7">
        <w:t xml:space="preserve">and substance use disorder </w:t>
      </w:r>
      <w:r w:rsidR="001A34B6">
        <w:t>in the future</w:t>
      </w:r>
      <w:r w:rsidRPr="00EA1599">
        <w:t xml:space="preserve">. </w:t>
      </w:r>
    </w:p>
    <w:p w14:paraId="01178D27" w14:textId="77777777" w:rsidR="00CB0F35" w:rsidRPr="00EA1599" w:rsidRDefault="00CB0F35" w:rsidP="008F0D2B">
      <w:pPr>
        <w:pStyle w:val="NoSpacing"/>
        <w:rPr>
          <w:b/>
        </w:rPr>
      </w:pPr>
    </w:p>
    <w:p w14:paraId="7F8EC431" w14:textId="617D6772" w:rsidR="00D4683A" w:rsidRPr="008F0D2B" w:rsidRDefault="00EA1599" w:rsidP="008F0D2B">
      <w:pPr>
        <w:pStyle w:val="NoSpacing"/>
        <w:rPr>
          <w:b/>
          <w:u w:val="single"/>
        </w:rPr>
      </w:pPr>
      <w:r w:rsidRPr="008F0D2B">
        <w:rPr>
          <w:b/>
          <w:u w:val="single"/>
        </w:rPr>
        <w:t>At-</w:t>
      </w:r>
      <w:r w:rsidR="00AC79A8">
        <w:rPr>
          <w:b/>
          <w:u w:val="single"/>
        </w:rPr>
        <w:t>Risk Populations</w:t>
      </w:r>
    </w:p>
    <w:p w14:paraId="23098064" w14:textId="77777777" w:rsidR="00CB0F35" w:rsidRPr="00EA1599" w:rsidRDefault="00CB0F35" w:rsidP="008F0D2B">
      <w:pPr>
        <w:pStyle w:val="NoSpacing"/>
        <w:rPr>
          <w:b/>
        </w:rPr>
      </w:pPr>
    </w:p>
    <w:p w14:paraId="42B7E35A" w14:textId="4EE40D05" w:rsidR="00F40367" w:rsidRDefault="002672BE" w:rsidP="00007267">
      <w:pPr>
        <w:pStyle w:val="NoSpacing"/>
        <w:numPr>
          <w:ilvl w:val="0"/>
          <w:numId w:val="7"/>
        </w:numPr>
      </w:pPr>
      <w:r w:rsidRPr="00EA1599">
        <w:t>People who are addicted to other s</w:t>
      </w:r>
      <w:r w:rsidR="007B01B7">
        <w:t xml:space="preserve">ubstances are more likely to meet criteria for </w:t>
      </w:r>
      <w:r w:rsidRPr="00EA1599">
        <w:t>heroin</w:t>
      </w:r>
      <w:r w:rsidR="007B01B7">
        <w:t xml:space="preserve"> use disorder;</w:t>
      </w:r>
      <w:r w:rsidRPr="00EA1599">
        <w:t xml:space="preserve"> </w:t>
      </w:r>
      <w:r w:rsidR="00007267">
        <w:t xml:space="preserve">people who are dependent on </w:t>
      </w:r>
      <w:r w:rsidRPr="00EA1599">
        <w:t xml:space="preserve">alcohol </w:t>
      </w:r>
      <w:r w:rsidR="00007267">
        <w:t xml:space="preserve">are two </w:t>
      </w:r>
      <w:r w:rsidRPr="00EA1599">
        <w:t xml:space="preserve">times, marijuana </w:t>
      </w:r>
      <w:r w:rsidR="00007267">
        <w:t>three</w:t>
      </w:r>
      <w:r w:rsidRPr="00EA1599">
        <w:t xml:space="preserve"> times, cocaine 15 times and prescription drugs 40 times </w:t>
      </w:r>
      <w:r w:rsidR="00007267">
        <w:t xml:space="preserve">more likely </w:t>
      </w:r>
      <w:r w:rsidRPr="00EA1599">
        <w:t>to become addicted to heroin</w:t>
      </w:r>
      <w:r w:rsidR="007B01B7">
        <w:t xml:space="preserve"> compared to non-users</w:t>
      </w:r>
      <w:r w:rsidRPr="00EA1599">
        <w:rPr>
          <w:rStyle w:val="FootnoteReference"/>
          <w:rFonts w:ascii="Trebuchet MS" w:hAnsi="Trebuchet MS"/>
          <w:sz w:val="20"/>
          <w:szCs w:val="20"/>
        </w:rPr>
        <w:footnoteReference w:id="1"/>
      </w:r>
      <w:r w:rsidRPr="00EA1599">
        <w:t xml:space="preserve">. </w:t>
      </w:r>
    </w:p>
    <w:p w14:paraId="3950893F" w14:textId="77777777" w:rsidR="00007267" w:rsidRDefault="00F40367" w:rsidP="00007267">
      <w:pPr>
        <w:pStyle w:val="NoSpacing"/>
        <w:numPr>
          <w:ilvl w:val="0"/>
          <w:numId w:val="7"/>
        </w:numPr>
      </w:pPr>
      <w:r w:rsidRPr="00EA1599">
        <w:t xml:space="preserve">Other </w:t>
      </w:r>
      <w:r w:rsidR="00CB0F35" w:rsidRPr="00EA1599">
        <w:t>groups at risk include:</w:t>
      </w:r>
      <w:r w:rsidRPr="00EA1599">
        <w:t xml:space="preserve"> </w:t>
      </w:r>
    </w:p>
    <w:p w14:paraId="3D6F779F" w14:textId="77777777" w:rsidR="00007267" w:rsidRDefault="00F40367" w:rsidP="00007267">
      <w:pPr>
        <w:pStyle w:val="NoSpacing"/>
        <w:numPr>
          <w:ilvl w:val="1"/>
          <w:numId w:val="7"/>
        </w:numPr>
      </w:pPr>
      <w:r w:rsidRPr="00EA1599">
        <w:t xml:space="preserve">Non-Hispanic whites; </w:t>
      </w:r>
    </w:p>
    <w:p w14:paraId="398FAD1A" w14:textId="77777777" w:rsidR="00007267" w:rsidRDefault="00F40367" w:rsidP="00007267">
      <w:pPr>
        <w:pStyle w:val="NoSpacing"/>
        <w:numPr>
          <w:ilvl w:val="1"/>
          <w:numId w:val="7"/>
        </w:numPr>
      </w:pPr>
      <w:r w:rsidRPr="00EA1599">
        <w:t xml:space="preserve">Males; </w:t>
      </w:r>
    </w:p>
    <w:p w14:paraId="207AFBF9" w14:textId="77777777" w:rsidR="00007267" w:rsidRDefault="00007267" w:rsidP="00007267">
      <w:pPr>
        <w:pStyle w:val="NoSpacing"/>
        <w:numPr>
          <w:ilvl w:val="1"/>
          <w:numId w:val="7"/>
        </w:numPr>
      </w:pPr>
      <w:r w:rsidRPr="00EA1599">
        <w:t>18 to 25 year olds</w:t>
      </w:r>
      <w:r>
        <w:t xml:space="preserve">; </w:t>
      </w:r>
    </w:p>
    <w:p w14:paraId="71E98EA3" w14:textId="29213E79" w:rsidR="00007267" w:rsidRDefault="00007267" w:rsidP="00007267">
      <w:pPr>
        <w:pStyle w:val="NoSpacing"/>
        <w:numPr>
          <w:ilvl w:val="1"/>
          <w:numId w:val="7"/>
        </w:numPr>
      </w:pPr>
      <w:r w:rsidRPr="00EA1599">
        <w:t xml:space="preserve">People without insurance or enrolled in Medicaid; </w:t>
      </w:r>
      <w:r>
        <w:t xml:space="preserve">and </w:t>
      </w:r>
    </w:p>
    <w:p w14:paraId="2399DB8C" w14:textId="448C4106" w:rsidR="00D4683A" w:rsidRDefault="00F40367" w:rsidP="00BC2165">
      <w:pPr>
        <w:pStyle w:val="NoSpacing"/>
        <w:numPr>
          <w:ilvl w:val="1"/>
          <w:numId w:val="7"/>
        </w:numPr>
      </w:pPr>
      <w:r w:rsidRPr="00EA1599">
        <w:t>People living in large metropolitan area</w:t>
      </w:r>
      <w:r w:rsidR="007B01B7">
        <w:t>s</w:t>
      </w:r>
      <w:r w:rsidR="00847795">
        <w:t>.</w:t>
      </w:r>
      <w:r w:rsidRPr="00EA1599">
        <w:rPr>
          <w:rStyle w:val="FootnoteReference"/>
          <w:rFonts w:ascii="Trebuchet MS" w:hAnsi="Trebuchet MS"/>
          <w:sz w:val="20"/>
          <w:szCs w:val="20"/>
        </w:rPr>
        <w:footnoteReference w:id="2"/>
      </w:r>
    </w:p>
    <w:p w14:paraId="6D6ADD31" w14:textId="3AAAB6C0" w:rsidR="00291B89" w:rsidRDefault="00291B89" w:rsidP="00007267">
      <w:pPr>
        <w:pStyle w:val="NoSpacing"/>
        <w:numPr>
          <w:ilvl w:val="0"/>
          <w:numId w:val="8"/>
        </w:numPr>
      </w:pPr>
      <w:r>
        <w:t xml:space="preserve">According to youth reports, males </w:t>
      </w:r>
      <w:r w:rsidR="00007267">
        <w:t xml:space="preserve">and Hispanics </w:t>
      </w:r>
      <w:r>
        <w:t xml:space="preserve">are at </w:t>
      </w:r>
      <w:r w:rsidR="00007267">
        <w:t xml:space="preserve">higher </w:t>
      </w:r>
      <w:r>
        <w:t xml:space="preserve">risk for using </w:t>
      </w:r>
      <w:r w:rsidR="00C64513">
        <w:t xml:space="preserve">heroin </w:t>
      </w:r>
      <w:r>
        <w:t>at least once in their lifetime.</w:t>
      </w:r>
    </w:p>
    <w:p w14:paraId="4231B5F2" w14:textId="4DF0F652" w:rsidR="002C10C8" w:rsidRPr="002C6427" w:rsidRDefault="002C10C8" w:rsidP="002C10C8">
      <w:pPr>
        <w:pStyle w:val="NoSpacing"/>
        <w:numPr>
          <w:ilvl w:val="0"/>
          <w:numId w:val="8"/>
        </w:numPr>
      </w:pPr>
      <w:r w:rsidRPr="002C6427">
        <w:rPr>
          <w:lang w:val="en"/>
        </w:rPr>
        <w:t xml:space="preserve">People who are alcohol </w:t>
      </w:r>
      <w:r w:rsidR="002C6427" w:rsidRPr="002C6427">
        <w:rPr>
          <w:lang w:val="en"/>
        </w:rPr>
        <w:t xml:space="preserve">dependent </w:t>
      </w:r>
      <w:r w:rsidRPr="002C6427">
        <w:rPr>
          <w:lang w:val="en"/>
        </w:rPr>
        <w:t xml:space="preserve">are </w:t>
      </w:r>
      <w:r w:rsidR="002C6427" w:rsidRPr="002C6427">
        <w:rPr>
          <w:lang w:val="en"/>
        </w:rPr>
        <w:t>two times</w:t>
      </w:r>
      <w:r w:rsidRPr="002C6427">
        <w:rPr>
          <w:lang w:val="en"/>
        </w:rPr>
        <w:t xml:space="preserve"> more likely to be addicted to heroin</w:t>
      </w:r>
      <w:r w:rsidR="002C6427" w:rsidRPr="002C6427">
        <w:rPr>
          <w:lang w:val="en"/>
        </w:rPr>
        <w:t xml:space="preserve"> than non-alcoholics</w:t>
      </w:r>
      <w:r w:rsidRPr="002C6427">
        <w:rPr>
          <w:lang w:val="en"/>
        </w:rPr>
        <w:t xml:space="preserve">. Those who are addicted to marijuana are </w:t>
      </w:r>
      <w:r w:rsidR="002C6427" w:rsidRPr="002C6427">
        <w:rPr>
          <w:lang w:val="en"/>
        </w:rPr>
        <w:t>three times</w:t>
      </w:r>
      <w:r w:rsidRPr="002C6427">
        <w:rPr>
          <w:lang w:val="en"/>
        </w:rPr>
        <w:t xml:space="preserve"> more likely to </w:t>
      </w:r>
      <w:r w:rsidR="002C6427" w:rsidRPr="002C6427">
        <w:rPr>
          <w:lang w:val="en"/>
        </w:rPr>
        <w:t>develop heroin use disorder</w:t>
      </w:r>
      <w:r w:rsidRPr="002C6427">
        <w:rPr>
          <w:lang w:val="en"/>
        </w:rPr>
        <w:t xml:space="preserve"> and those addicted to cocaine are 15</w:t>
      </w:r>
      <w:r w:rsidR="002C6427" w:rsidRPr="002C6427">
        <w:rPr>
          <w:lang w:val="en"/>
        </w:rPr>
        <w:t xml:space="preserve"> times</w:t>
      </w:r>
      <w:r w:rsidRPr="002C6427">
        <w:rPr>
          <w:lang w:val="en"/>
        </w:rPr>
        <w:t xml:space="preserve"> more likely to </w:t>
      </w:r>
      <w:r w:rsidR="00847795">
        <w:rPr>
          <w:lang w:val="en"/>
        </w:rPr>
        <w:t>become addicted to heroin.</w:t>
      </w:r>
      <w:r w:rsidR="00847795">
        <w:rPr>
          <w:vertAlign w:val="superscript"/>
          <w:lang w:val="en"/>
        </w:rPr>
        <w:t>2</w:t>
      </w:r>
    </w:p>
    <w:p w14:paraId="6EAF6757" w14:textId="2FEF52D0" w:rsidR="00AC79A8" w:rsidRDefault="002C6427" w:rsidP="00007267">
      <w:pPr>
        <w:pStyle w:val="NoSpacing"/>
        <w:numPr>
          <w:ilvl w:val="0"/>
          <w:numId w:val="8"/>
        </w:numPr>
      </w:pPr>
      <w:r w:rsidRPr="002C6427">
        <w:t>Two-thirds</w:t>
      </w:r>
      <w:r w:rsidR="00AC79A8" w:rsidRPr="002C6427">
        <w:t xml:space="preserve"> of New England Region respondents in the </w:t>
      </w:r>
      <w:r w:rsidR="00D25781" w:rsidRPr="002C6427">
        <w:t xml:space="preserve">2016 </w:t>
      </w:r>
      <w:r w:rsidR="00AC79A8" w:rsidRPr="002C6427">
        <w:t xml:space="preserve">DEA Drug Threat Assessment reported high availability of Heroin </w:t>
      </w:r>
      <w:r w:rsidRPr="002C6427">
        <w:t>in the region.</w:t>
      </w:r>
      <w:r w:rsidR="009372F1" w:rsidRPr="002C6427">
        <w:rPr>
          <w:rStyle w:val="FootnoteReference"/>
        </w:rPr>
        <w:footnoteReference w:id="3"/>
      </w:r>
    </w:p>
    <w:p w14:paraId="0B48D494" w14:textId="41F7EC2E" w:rsidR="00932BFA" w:rsidRDefault="00932BFA" w:rsidP="00007267">
      <w:pPr>
        <w:pStyle w:val="NoSpacing"/>
        <w:numPr>
          <w:ilvl w:val="0"/>
          <w:numId w:val="8"/>
        </w:numPr>
      </w:pPr>
      <w:r>
        <w:t>Over half of heroin treatment admissions in 2016 were between the ages of 21-35 years old</w:t>
      </w:r>
    </w:p>
    <w:p w14:paraId="5F2C7CDF" w14:textId="7F7F0E86" w:rsidR="00932BFA" w:rsidRPr="002C6427" w:rsidRDefault="00932BFA" w:rsidP="00007267">
      <w:pPr>
        <w:pStyle w:val="NoSpacing"/>
        <w:numPr>
          <w:ilvl w:val="0"/>
          <w:numId w:val="8"/>
        </w:numPr>
      </w:pPr>
      <w:r>
        <w:t>70% of heroin admissions were male and 72.5% of total admissions were white.</w:t>
      </w:r>
      <w:r>
        <w:rPr>
          <w:vertAlign w:val="superscript"/>
        </w:rPr>
        <w:t>4</w:t>
      </w:r>
    </w:p>
    <w:p w14:paraId="0582003A" w14:textId="77777777" w:rsidR="00C64513" w:rsidRDefault="00C64513" w:rsidP="008F0D2B">
      <w:pPr>
        <w:pStyle w:val="NoSpacing"/>
        <w:rPr>
          <w:b/>
          <w:u w:val="single"/>
        </w:rPr>
      </w:pPr>
    </w:p>
    <w:p w14:paraId="37B48C8C" w14:textId="77777777" w:rsidR="00D4683A" w:rsidRPr="008F0D2B" w:rsidRDefault="00D4683A" w:rsidP="008F0D2B">
      <w:pPr>
        <w:pStyle w:val="NoSpacing"/>
        <w:rPr>
          <w:b/>
          <w:u w:val="single"/>
        </w:rPr>
      </w:pPr>
      <w:r w:rsidRPr="008F0D2B">
        <w:rPr>
          <w:b/>
          <w:u w:val="single"/>
        </w:rPr>
        <w:t>Consequences</w:t>
      </w:r>
    </w:p>
    <w:p w14:paraId="2480B87E" w14:textId="77777777" w:rsidR="00C9152E" w:rsidRDefault="00C9152E" w:rsidP="008F0D2B">
      <w:pPr>
        <w:pStyle w:val="NoSpacing"/>
      </w:pPr>
    </w:p>
    <w:p w14:paraId="7B1AB19C" w14:textId="6D080D4A" w:rsidR="00007267" w:rsidRDefault="00C9152E" w:rsidP="00007267">
      <w:pPr>
        <w:pStyle w:val="NoSpacing"/>
        <w:numPr>
          <w:ilvl w:val="0"/>
          <w:numId w:val="8"/>
        </w:numPr>
      </w:pPr>
      <w:r>
        <w:t>In 201</w:t>
      </w:r>
      <w:r w:rsidR="00007267">
        <w:t>6</w:t>
      </w:r>
      <w:r>
        <w:t xml:space="preserve">, </w:t>
      </w:r>
      <w:r w:rsidR="00007267">
        <w:t xml:space="preserve">heroin was involved in 494 overdose deaths, the highest number since 2012.  </w:t>
      </w:r>
    </w:p>
    <w:p w14:paraId="6FF38C56" w14:textId="0907ADB1" w:rsidR="00C64513" w:rsidRPr="005963E9" w:rsidRDefault="00C64513" w:rsidP="00C64513">
      <w:pPr>
        <w:pStyle w:val="NoSpacing"/>
        <w:numPr>
          <w:ilvl w:val="0"/>
          <w:numId w:val="6"/>
        </w:numPr>
      </w:pPr>
      <w:r>
        <w:t xml:space="preserve">According to the Office of the Connecticut Medical Examiner (OCME), since 2012 there has been a consistent increase in heroin-related deaths reaching the highest rate </w:t>
      </w:r>
      <w:r w:rsidRPr="00A233AC">
        <w:t xml:space="preserve">in 2016 with a </w:t>
      </w:r>
      <w:r w:rsidRPr="005963E9">
        <w:t xml:space="preserve">death rate of 14.2 per 100,000 population. </w:t>
      </w:r>
    </w:p>
    <w:p w14:paraId="069F27FC" w14:textId="03A89F76" w:rsidR="00EA4D44" w:rsidRPr="005963E9" w:rsidRDefault="00EA4D44" w:rsidP="00C64513">
      <w:pPr>
        <w:pStyle w:val="NoSpacing"/>
        <w:numPr>
          <w:ilvl w:val="0"/>
          <w:numId w:val="6"/>
        </w:numPr>
      </w:pPr>
      <w:r w:rsidRPr="005963E9">
        <w:t xml:space="preserve">Of all Connecticut treatment admissions in 2016, </w:t>
      </w:r>
      <w:r w:rsidR="00B03DC3" w:rsidRPr="005963E9">
        <w:t>36.7% were for heroin as the primary substance.</w:t>
      </w:r>
      <w:r w:rsidR="00B03DC3" w:rsidRPr="005963E9">
        <w:rPr>
          <w:rStyle w:val="FootnoteReference"/>
        </w:rPr>
        <w:t>4</w:t>
      </w:r>
    </w:p>
    <w:p w14:paraId="72B110BA" w14:textId="17785C71" w:rsidR="00C64513" w:rsidRPr="005963E9" w:rsidRDefault="00C64513" w:rsidP="00B03DC3">
      <w:pPr>
        <w:pStyle w:val="NoSpacing"/>
        <w:numPr>
          <w:ilvl w:val="0"/>
          <w:numId w:val="6"/>
        </w:numPr>
      </w:pPr>
      <w:r w:rsidRPr="005963E9">
        <w:t>The racial/ethnic distribution of pri</w:t>
      </w:r>
      <w:r w:rsidR="00B03DC3" w:rsidRPr="005963E9">
        <w:t>mary heroin admissions were 72.5</w:t>
      </w:r>
      <w:r w:rsidRPr="005963E9">
        <w:t>%</w:t>
      </w:r>
      <w:r w:rsidR="00B03DC3" w:rsidRPr="005963E9">
        <w:t xml:space="preserve"> white, 7.5</w:t>
      </w:r>
      <w:r w:rsidRPr="005963E9">
        <w:t>% Black, and 19</w:t>
      </w:r>
      <w:r w:rsidR="00B03DC3" w:rsidRPr="005963E9">
        <w:t>.7</w:t>
      </w:r>
      <w:r w:rsidR="009372F1" w:rsidRPr="005963E9">
        <w:t>% were Hispanic or Latino.</w:t>
      </w:r>
      <w:r w:rsidR="009372F1" w:rsidRPr="005963E9">
        <w:rPr>
          <w:rStyle w:val="FootnoteReference"/>
        </w:rPr>
        <w:footnoteReference w:id="4"/>
      </w:r>
      <w:r w:rsidRPr="005963E9">
        <w:t xml:space="preserve">        </w:t>
      </w:r>
    </w:p>
    <w:p w14:paraId="4BFC363B" w14:textId="300CAA59" w:rsidR="00C64513" w:rsidRPr="005963E9" w:rsidRDefault="00C64513" w:rsidP="00C64513">
      <w:pPr>
        <w:pStyle w:val="NoSpacing"/>
        <w:numPr>
          <w:ilvl w:val="0"/>
          <w:numId w:val="9"/>
        </w:numPr>
      </w:pPr>
      <w:r w:rsidRPr="005963E9">
        <w:t>Those injecting opioids are at higher risk of overdose</w:t>
      </w:r>
      <w:r w:rsidR="009372F1" w:rsidRPr="005963E9">
        <w:t>.</w:t>
      </w:r>
      <w:r w:rsidR="009372F1" w:rsidRPr="005963E9">
        <w:rPr>
          <w:rStyle w:val="FootnoteReference"/>
        </w:rPr>
        <w:footnoteReference w:id="5"/>
      </w:r>
    </w:p>
    <w:p w14:paraId="38E56543" w14:textId="3C77DFE0" w:rsidR="00C64513" w:rsidRPr="00392C1A" w:rsidRDefault="00C64513" w:rsidP="00C64513">
      <w:pPr>
        <w:pStyle w:val="NoSpacing"/>
        <w:numPr>
          <w:ilvl w:val="0"/>
          <w:numId w:val="6"/>
        </w:numPr>
      </w:pPr>
      <w:r>
        <w:t xml:space="preserve">A small, but not insignificant number of heroin </w:t>
      </w:r>
      <w:proofErr w:type="gramStart"/>
      <w:r>
        <w:t>users</w:t>
      </w:r>
      <w:proofErr w:type="gramEnd"/>
      <w:r>
        <w:t xml:space="preserve"> are controlled prescription drug (CPD) users who began using heroin as a cheaper alternative to the high price of illicit CPDs or </w:t>
      </w:r>
      <w:r>
        <w:lastRenderedPageBreak/>
        <w:t>when they were unable to</w:t>
      </w:r>
      <w:r w:rsidR="009372F1">
        <w:t xml:space="preserve"> obtain prescription drugs.</w:t>
      </w:r>
      <w:r w:rsidR="009372F1">
        <w:rPr>
          <w:rStyle w:val="FootnoteReference"/>
        </w:rPr>
        <w:footnoteReference w:id="6"/>
      </w:r>
      <w:r>
        <w:t xml:space="preserve">   </w:t>
      </w:r>
    </w:p>
    <w:p w14:paraId="6A3CF891" w14:textId="77777777" w:rsidR="004C062E" w:rsidRPr="00EA1599" w:rsidRDefault="004C062E" w:rsidP="004C062E">
      <w:pPr>
        <w:pStyle w:val="NoSpacing"/>
        <w:numPr>
          <w:ilvl w:val="0"/>
          <w:numId w:val="7"/>
        </w:numPr>
        <w:rPr>
          <w:b/>
        </w:rPr>
      </w:pPr>
      <w:r w:rsidRPr="00EA1599">
        <w:rPr>
          <w:lang w:val="en"/>
        </w:rPr>
        <w:t>It is estimated that about 23</w:t>
      </w:r>
      <w:r>
        <w:rPr>
          <w:lang w:val="en"/>
        </w:rPr>
        <w:t>%</w:t>
      </w:r>
      <w:r w:rsidRPr="00EA1599">
        <w:rPr>
          <w:lang w:val="en"/>
        </w:rPr>
        <w:t xml:space="preserve"> of individuals who use heroin become dependent</w:t>
      </w:r>
      <w:r w:rsidRPr="00EA1599">
        <w:rPr>
          <w:rStyle w:val="FootnoteReference"/>
          <w:rFonts w:ascii="Trebuchet MS" w:hAnsi="Trebuchet MS"/>
          <w:sz w:val="20"/>
          <w:szCs w:val="20"/>
          <w:lang w:val="en"/>
        </w:rPr>
        <w:footnoteReference w:id="7"/>
      </w:r>
      <w:r w:rsidRPr="00EA1599">
        <w:rPr>
          <w:lang w:val="en"/>
        </w:rPr>
        <w:t>.</w:t>
      </w:r>
    </w:p>
    <w:p w14:paraId="7B91662E" w14:textId="4365AE1C" w:rsidR="00C64513" w:rsidRPr="00C64513" w:rsidRDefault="00C64513" w:rsidP="00C64513">
      <w:pPr>
        <w:pStyle w:val="NoSpacing"/>
        <w:numPr>
          <w:ilvl w:val="0"/>
          <w:numId w:val="9"/>
        </w:numPr>
      </w:pPr>
      <w:r w:rsidRPr="00C64513">
        <w:t>People who inject drugs are at risk for Hepatitis B virus (HBV) and Hepatitis C virus (HCV) infection through the sharing of needles and</w:t>
      </w:r>
      <w:r w:rsidR="009372F1">
        <w:t xml:space="preserve"> drug-preparation equipment.</w:t>
      </w:r>
      <w:r w:rsidR="009372F1">
        <w:rPr>
          <w:rStyle w:val="FootnoteReference"/>
        </w:rPr>
        <w:footnoteReference w:id="8"/>
      </w:r>
    </w:p>
    <w:p w14:paraId="145982D2" w14:textId="43FD7FF2" w:rsidR="00C51EB0" w:rsidRDefault="00F66C44" w:rsidP="004C062E">
      <w:pPr>
        <w:pStyle w:val="NoSpacing"/>
        <w:numPr>
          <w:ilvl w:val="0"/>
          <w:numId w:val="11"/>
        </w:numPr>
      </w:pPr>
      <w:r w:rsidRPr="00EA1599">
        <w:t xml:space="preserve">The municipalities in Connecticut with the most resident deaths </w:t>
      </w:r>
      <w:r w:rsidR="004C062E">
        <w:t xml:space="preserve">due to heroin overdose </w:t>
      </w:r>
      <w:r w:rsidRPr="00EA1599">
        <w:t xml:space="preserve">in 2015 </w:t>
      </w:r>
      <w:r w:rsidR="007B01B7">
        <w:t>were Waterbury with 38, Hartford with 37, and New Britain with</w:t>
      </w:r>
      <w:r w:rsidRPr="00EA1599">
        <w:t xml:space="preserve"> 31. </w:t>
      </w:r>
    </w:p>
    <w:p w14:paraId="68C5D6CE" w14:textId="403BA4F6" w:rsidR="00D4683A" w:rsidRPr="00EA1599" w:rsidRDefault="00D4683A" w:rsidP="004C062E">
      <w:pPr>
        <w:pStyle w:val="NoSpacing"/>
        <w:numPr>
          <w:ilvl w:val="0"/>
          <w:numId w:val="11"/>
        </w:numPr>
      </w:pPr>
      <w:r w:rsidRPr="00EA1599">
        <w:t xml:space="preserve">Heroin is a highly addictive drug and its abuse has </w:t>
      </w:r>
      <w:r w:rsidR="004C062E">
        <w:t>multiple</w:t>
      </w:r>
      <w:r w:rsidRPr="00EA1599">
        <w:t xml:space="preserve"> medical and social consequences </w:t>
      </w:r>
      <w:r w:rsidR="004C062E">
        <w:t>including increased risk for</w:t>
      </w:r>
      <w:r w:rsidRPr="00EA1599">
        <w:t xml:space="preserve"> HIV/AIDS, </w:t>
      </w:r>
      <w:r w:rsidR="004C062E">
        <w:t xml:space="preserve">property </w:t>
      </w:r>
      <w:r w:rsidRPr="00EA1599">
        <w:t xml:space="preserve">crime, </w:t>
      </w:r>
      <w:r w:rsidR="004C062E">
        <w:t>unemployment, disruptions in family</w:t>
      </w:r>
      <w:r w:rsidRPr="00EA1599">
        <w:t xml:space="preserve"> environments</w:t>
      </w:r>
      <w:r w:rsidR="004C062E">
        <w:t>, and homelessness</w:t>
      </w:r>
      <w:r w:rsidRPr="00EA1599">
        <w:rPr>
          <w:i/>
        </w:rPr>
        <w:t>.</w:t>
      </w:r>
      <w:r w:rsidRPr="00EA1599">
        <w:t xml:space="preserve"> </w:t>
      </w:r>
    </w:p>
    <w:p w14:paraId="75C80434" w14:textId="77777777" w:rsidR="00D4683A" w:rsidRPr="00EA1599" w:rsidRDefault="00D4683A" w:rsidP="004C062E">
      <w:pPr>
        <w:pStyle w:val="NoSpacing"/>
        <w:numPr>
          <w:ilvl w:val="0"/>
          <w:numId w:val="11"/>
        </w:numPr>
      </w:pPr>
      <w:r w:rsidRPr="00EA1599">
        <w:t>Chronic heroin use can lead to serious medical consequences such as fatal overdose, scarred and/or collapsed veins, bacterial infections of the blood vessels and heart valves, abscesses and other soft-tissue infections, and liver or kidney disease. Poor health conditions and depressed respiration from heroin use can cause lung complications, including various types of pneumonia and tuberculosis.</w:t>
      </w:r>
    </w:p>
    <w:p w14:paraId="5E648A94" w14:textId="77777777" w:rsidR="004C062E" w:rsidRPr="00EA1599" w:rsidRDefault="004C062E" w:rsidP="004C062E">
      <w:pPr>
        <w:pStyle w:val="NoSpacing"/>
        <w:numPr>
          <w:ilvl w:val="0"/>
          <w:numId w:val="11"/>
        </w:numPr>
      </w:pPr>
      <w:r w:rsidRPr="00EA1599">
        <w:t xml:space="preserve">Long-term effects of heroin use can </w:t>
      </w:r>
      <w:r>
        <w:t xml:space="preserve">also </w:t>
      </w:r>
      <w:r w:rsidRPr="00EA1599">
        <w:t xml:space="preserve">include arthritis and other rheumatologic problems and infection of </w:t>
      </w:r>
      <w:proofErr w:type="spellStart"/>
      <w:r w:rsidRPr="00EA1599">
        <w:t>bloodborne</w:t>
      </w:r>
      <w:proofErr w:type="spellEnd"/>
      <w:r w:rsidRPr="00EA1599">
        <w:t xml:space="preserve"> pathogens such as HIV/AIDS and hepatitis B and C (which are contracted by sharing and reusing syringes and other injection paraphernalia). It is estimated that injection dr</w:t>
      </w:r>
      <w:r>
        <w:t>ug use has been a factor in one-</w:t>
      </w:r>
      <w:r w:rsidRPr="00EA1599">
        <w:t>third of all HIV and more than half of all hepatitis C cases in the United States.</w:t>
      </w:r>
    </w:p>
    <w:p w14:paraId="126FD215" w14:textId="42960019" w:rsidR="004C062E" w:rsidRPr="00C61F63" w:rsidRDefault="004C062E" w:rsidP="004C062E">
      <w:pPr>
        <w:pStyle w:val="NoSpacing"/>
        <w:numPr>
          <w:ilvl w:val="0"/>
          <w:numId w:val="12"/>
        </w:numPr>
      </w:pPr>
      <w:r w:rsidRPr="00EA1599">
        <w:t>Heroin use by a pregnant woman can result in a miscarriage or premature delivery</w:t>
      </w:r>
      <w:r>
        <w:t>, as well as neonatal abstinence syndrome (NAS)</w:t>
      </w:r>
      <w:r w:rsidRPr="00EA1599">
        <w:t xml:space="preserve">. Heroin exposure in utero can increase a newborns’ risk </w:t>
      </w:r>
      <w:r w:rsidRPr="00C61F63">
        <w:t>of sudden infant death syndrome (SIDS).</w:t>
      </w:r>
    </w:p>
    <w:p w14:paraId="53A9FBCE" w14:textId="136F08C4" w:rsidR="00AC79A8" w:rsidRPr="00C61F63" w:rsidRDefault="002C6427" w:rsidP="00AC79A8">
      <w:pPr>
        <w:pStyle w:val="NoSpacing"/>
        <w:numPr>
          <w:ilvl w:val="0"/>
          <w:numId w:val="14"/>
        </w:numPr>
      </w:pPr>
      <w:r w:rsidRPr="00C61F63">
        <w:t>Three-quarters (</w:t>
      </w:r>
      <w:r w:rsidR="00AC79A8" w:rsidRPr="00C61F63">
        <w:t>72.2%</w:t>
      </w:r>
      <w:r w:rsidRPr="00C61F63">
        <w:t>)</w:t>
      </w:r>
      <w:r w:rsidR="00AC79A8" w:rsidRPr="00C61F63">
        <w:t xml:space="preserve"> of New England Region respondents in the DEA 2016 Drug Threat Report reported that heroin contributes </w:t>
      </w:r>
      <w:r w:rsidR="00C61F63" w:rsidRPr="00C61F63">
        <w:t xml:space="preserve">most </w:t>
      </w:r>
      <w:r w:rsidR="00AC79A8" w:rsidRPr="00C61F63">
        <w:t>to property crime.</w:t>
      </w:r>
    </w:p>
    <w:p w14:paraId="3B2DDD8F" w14:textId="533ED917" w:rsidR="00AC79A8" w:rsidRPr="00C61F63" w:rsidRDefault="00C61F63" w:rsidP="00AC79A8">
      <w:pPr>
        <w:pStyle w:val="NoSpacing"/>
        <w:numPr>
          <w:ilvl w:val="0"/>
          <w:numId w:val="14"/>
        </w:numPr>
      </w:pPr>
      <w:r w:rsidRPr="00C61F63">
        <w:t>One-third (</w:t>
      </w:r>
      <w:r w:rsidR="00AC79A8" w:rsidRPr="00C61F63">
        <w:t>31.6%</w:t>
      </w:r>
      <w:r w:rsidRPr="00C61F63">
        <w:t>)</w:t>
      </w:r>
      <w:r w:rsidR="00AC79A8" w:rsidRPr="00C61F63">
        <w:t xml:space="preserve"> of </w:t>
      </w:r>
      <w:r w:rsidRPr="00C61F63">
        <w:t xml:space="preserve">DEA </w:t>
      </w:r>
      <w:r w:rsidR="00AC79A8" w:rsidRPr="00C61F63">
        <w:t>respond</w:t>
      </w:r>
      <w:r w:rsidR="00AA7E74" w:rsidRPr="00C61F63">
        <w:t xml:space="preserve">ents </w:t>
      </w:r>
      <w:r w:rsidRPr="00C61F63">
        <w:t xml:space="preserve">also </w:t>
      </w:r>
      <w:r w:rsidR="00AA7E74" w:rsidRPr="00C61F63">
        <w:t>reported heroin as the top</w:t>
      </w:r>
      <w:r w:rsidR="00AC79A8" w:rsidRPr="00C61F63">
        <w:t xml:space="preserve"> contributing drug for violent crime.</w:t>
      </w:r>
    </w:p>
    <w:p w14:paraId="2A7538DF" w14:textId="53A75839" w:rsidR="00E04D6A" w:rsidRPr="008F0D2B" w:rsidRDefault="00E04D6A" w:rsidP="008F0D2B">
      <w:pPr>
        <w:pStyle w:val="NoSpacing"/>
        <w:rPr>
          <w:b/>
          <w:u w:val="single"/>
        </w:rPr>
      </w:pPr>
    </w:p>
    <w:p w14:paraId="6E139ECC" w14:textId="77777777" w:rsidR="00F66C44" w:rsidRPr="00554034" w:rsidRDefault="00F66C44" w:rsidP="008F0D2B">
      <w:pPr>
        <w:pStyle w:val="NoSpacing"/>
      </w:pPr>
      <w:r w:rsidRPr="008F0D2B">
        <w:rPr>
          <w:b/>
          <w:u w:val="single"/>
        </w:rPr>
        <w:t>Selected Indicators</w:t>
      </w:r>
      <w:r w:rsidRPr="00554034">
        <w:br/>
      </w:r>
    </w:p>
    <w:p w14:paraId="52252F39" w14:textId="77777777" w:rsidR="004C062E" w:rsidRDefault="004C062E" w:rsidP="004C062E">
      <w:pPr>
        <w:pStyle w:val="NoSpacing"/>
        <w:numPr>
          <w:ilvl w:val="0"/>
          <w:numId w:val="12"/>
        </w:numPr>
      </w:pPr>
      <w:r>
        <w:t>NSDUH</w:t>
      </w:r>
    </w:p>
    <w:p w14:paraId="24FFAC60" w14:textId="5DDF8D80" w:rsidR="004C062E" w:rsidRDefault="0046488C" w:rsidP="004C062E">
      <w:pPr>
        <w:pStyle w:val="NoSpacing"/>
        <w:numPr>
          <w:ilvl w:val="0"/>
          <w:numId w:val="12"/>
        </w:numPr>
      </w:pPr>
      <w:r>
        <w:t>Connecticut School Health Survey</w:t>
      </w:r>
      <w:r w:rsidR="008A58ED">
        <w:t xml:space="preserve"> </w:t>
      </w:r>
      <w:r>
        <w:t>(</w:t>
      </w:r>
      <w:r w:rsidR="004C062E">
        <w:t>YRBSS</w:t>
      </w:r>
      <w:r>
        <w:t>)</w:t>
      </w:r>
    </w:p>
    <w:p w14:paraId="01BFFC83" w14:textId="7A77E402" w:rsidR="00F66C44" w:rsidRPr="00CB0F35" w:rsidRDefault="002A763A" w:rsidP="004C062E">
      <w:pPr>
        <w:pStyle w:val="NoSpacing"/>
        <w:numPr>
          <w:ilvl w:val="0"/>
          <w:numId w:val="12"/>
        </w:numPr>
      </w:pPr>
      <w:r>
        <w:t>Heroin Treatment Admissions</w:t>
      </w:r>
      <w:r w:rsidR="005F5B6A">
        <w:t xml:space="preserve"> (TEDS)</w:t>
      </w:r>
    </w:p>
    <w:p w14:paraId="3D46DF91" w14:textId="49F4F754" w:rsidR="00F66C44" w:rsidRPr="00CB0F35" w:rsidRDefault="002A763A" w:rsidP="004C062E">
      <w:pPr>
        <w:pStyle w:val="NoSpacing"/>
        <w:numPr>
          <w:ilvl w:val="0"/>
          <w:numId w:val="12"/>
        </w:numPr>
      </w:pPr>
      <w:r>
        <w:t>HIV, Hepatitis, and STI Rates</w:t>
      </w:r>
    </w:p>
    <w:p w14:paraId="62FB9D6F" w14:textId="33E12FA8" w:rsidR="00F66C44" w:rsidRDefault="002A763A" w:rsidP="00AB4073">
      <w:pPr>
        <w:pStyle w:val="NoSpacing"/>
        <w:numPr>
          <w:ilvl w:val="0"/>
          <w:numId w:val="12"/>
        </w:numPr>
      </w:pPr>
      <w:r>
        <w:t>Property Crimes</w:t>
      </w:r>
    </w:p>
    <w:p w14:paraId="60EE11A0" w14:textId="0578B353" w:rsidR="00D25781" w:rsidRDefault="00D25781" w:rsidP="00AB4073">
      <w:pPr>
        <w:pStyle w:val="NoSpacing"/>
        <w:numPr>
          <w:ilvl w:val="0"/>
          <w:numId w:val="12"/>
        </w:numPr>
      </w:pPr>
      <w:r>
        <w:t>Violent Crimes</w:t>
      </w:r>
    </w:p>
    <w:p w14:paraId="79B6049D" w14:textId="56DBE488" w:rsidR="00AB4073" w:rsidRPr="00CB0F35" w:rsidRDefault="00AB4073" w:rsidP="00AB4073">
      <w:pPr>
        <w:pStyle w:val="NoSpacing"/>
        <w:numPr>
          <w:ilvl w:val="0"/>
          <w:numId w:val="12"/>
        </w:numPr>
      </w:pPr>
      <w:r>
        <w:t>Emergency Room Visits Involving Heroin Overdoses</w:t>
      </w:r>
    </w:p>
    <w:p w14:paraId="69D3A169" w14:textId="2ABD90D9" w:rsidR="00F66C44" w:rsidRDefault="00AB4073" w:rsidP="00AB4073">
      <w:pPr>
        <w:pStyle w:val="NoSpacing"/>
        <w:numPr>
          <w:ilvl w:val="0"/>
          <w:numId w:val="12"/>
        </w:numPr>
      </w:pPr>
      <w:r>
        <w:t>Heroin Overdose Deaths</w:t>
      </w:r>
    </w:p>
    <w:p w14:paraId="4CDB2C04" w14:textId="0F3483E7" w:rsidR="00AB4073" w:rsidRPr="00CB0F35" w:rsidRDefault="00AB4073" w:rsidP="00AB4073">
      <w:pPr>
        <w:pStyle w:val="NoSpacing"/>
        <w:numPr>
          <w:ilvl w:val="0"/>
          <w:numId w:val="12"/>
        </w:numPr>
      </w:pPr>
      <w:r>
        <w:t>NAS Rates</w:t>
      </w:r>
    </w:p>
    <w:p w14:paraId="76E41D2C" w14:textId="77777777" w:rsidR="00F66C44" w:rsidRPr="00CB0F35" w:rsidRDefault="00F66C44" w:rsidP="00AB4073">
      <w:pPr>
        <w:pStyle w:val="NoSpacing"/>
        <w:numPr>
          <w:ilvl w:val="0"/>
          <w:numId w:val="13"/>
        </w:numPr>
      </w:pPr>
      <w:r w:rsidRPr="00CB0F35">
        <w:t>Drug Arrests</w:t>
      </w:r>
    </w:p>
    <w:p w14:paraId="28400DA2" w14:textId="77777777" w:rsidR="00F66C44" w:rsidRDefault="00F66C44" w:rsidP="00AB4073">
      <w:pPr>
        <w:pStyle w:val="NoSpacing"/>
        <w:numPr>
          <w:ilvl w:val="0"/>
          <w:numId w:val="13"/>
        </w:numPr>
      </w:pPr>
      <w:r w:rsidRPr="00CB0F35">
        <w:t>DEA Information on Purity, Seizures, etc.</w:t>
      </w:r>
    </w:p>
    <w:p w14:paraId="2D1B2970" w14:textId="6833071A" w:rsidR="00C61F63" w:rsidRDefault="00C61F63" w:rsidP="00AB4073">
      <w:pPr>
        <w:pStyle w:val="NoSpacing"/>
        <w:numPr>
          <w:ilvl w:val="0"/>
          <w:numId w:val="13"/>
        </w:numPr>
      </w:pPr>
      <w:r>
        <w:t>School Attendance Rates</w:t>
      </w:r>
    </w:p>
    <w:p w14:paraId="6CB4DE5A" w14:textId="3834C370" w:rsidR="00AB4073" w:rsidRPr="00CB0F35" w:rsidRDefault="00C61F63" w:rsidP="005F5B6A">
      <w:pPr>
        <w:pStyle w:val="NoSpacing"/>
        <w:numPr>
          <w:ilvl w:val="0"/>
          <w:numId w:val="13"/>
        </w:numPr>
      </w:pPr>
      <w:r>
        <w:t>School Suspensions/Expulsions</w:t>
      </w:r>
    </w:p>
    <w:p w14:paraId="53AA7065" w14:textId="05ED3497" w:rsidR="00F964F0" w:rsidRDefault="00F964F0" w:rsidP="008F0D2B">
      <w:pPr>
        <w:pStyle w:val="NoSpacing"/>
        <w:rPr>
          <w:b/>
          <w:u w:val="single"/>
        </w:rPr>
      </w:pPr>
    </w:p>
    <w:p w14:paraId="7807357B" w14:textId="77777777" w:rsidR="006546EF" w:rsidRDefault="006546EF" w:rsidP="008F0D2B">
      <w:pPr>
        <w:pStyle w:val="NoSpacing"/>
      </w:pPr>
    </w:p>
    <w:p w14:paraId="4CA6C3FC" w14:textId="77777777" w:rsidR="00F964F0" w:rsidRDefault="00F964F0" w:rsidP="008F0D2B">
      <w:pPr>
        <w:pStyle w:val="NoSpacing"/>
      </w:pPr>
    </w:p>
    <w:p w14:paraId="34B9669A" w14:textId="77777777" w:rsidR="00F964F0" w:rsidRDefault="00F964F0" w:rsidP="008F0D2B">
      <w:pPr>
        <w:pStyle w:val="NoSpacing"/>
      </w:pPr>
    </w:p>
    <w:p w14:paraId="47A1E36F" w14:textId="77777777" w:rsidR="00F964F0" w:rsidRDefault="00F964F0" w:rsidP="008F0D2B">
      <w:pPr>
        <w:pStyle w:val="NoSpacing"/>
      </w:pPr>
    </w:p>
    <w:p w14:paraId="73793439" w14:textId="77777777" w:rsidR="00F964F0" w:rsidRDefault="00F964F0" w:rsidP="008F0D2B">
      <w:pPr>
        <w:pStyle w:val="NoSpacing"/>
      </w:pPr>
    </w:p>
    <w:p w14:paraId="0BD55CA1" w14:textId="77777777" w:rsidR="00F964F0" w:rsidRDefault="00F964F0" w:rsidP="008F0D2B">
      <w:pPr>
        <w:pStyle w:val="NoSpacing"/>
      </w:pPr>
    </w:p>
    <w:p w14:paraId="10419CE5" w14:textId="232EA857" w:rsidR="00F964F0" w:rsidRPr="00CB0F35" w:rsidRDefault="008A60F4" w:rsidP="00193A3A">
      <w:pPr>
        <w:pStyle w:val="NoSpacing"/>
        <w:jc w:val="right"/>
      </w:pPr>
      <w:r>
        <w:t>Updated September</w:t>
      </w:r>
      <w:bookmarkStart w:id="0" w:name="_GoBack"/>
      <w:bookmarkEnd w:id="0"/>
      <w:r w:rsidR="00F964F0">
        <w:t xml:space="preserve"> 2017</w:t>
      </w:r>
    </w:p>
    <w:p w14:paraId="402CAF65" w14:textId="77777777" w:rsidR="00EF6EB3" w:rsidRDefault="00EF6EB3" w:rsidP="008F0D2B">
      <w:pPr>
        <w:pStyle w:val="NoSpacing"/>
        <w:rPr>
          <w:sz w:val="19"/>
          <w:szCs w:val="19"/>
        </w:rPr>
      </w:pPr>
    </w:p>
    <w:p w14:paraId="0D51925D" w14:textId="77777777" w:rsidR="00EF6EB3" w:rsidRPr="00EF6EB3" w:rsidRDefault="00EF6EB3" w:rsidP="00EF6EB3">
      <w:pPr>
        <w:rPr>
          <w:rFonts w:ascii="Trebuchet MS" w:hAnsi="Trebuchet MS"/>
          <w:sz w:val="19"/>
          <w:szCs w:val="19"/>
        </w:rPr>
        <w:sectPr w:rsidR="00EF6EB3" w:rsidRPr="00EF6EB3" w:rsidSect="00B51905">
          <w:type w:val="continuous"/>
          <w:pgSz w:w="12240" w:h="15840"/>
          <w:pgMar w:top="1440" w:right="720" w:bottom="900" w:left="720" w:header="720" w:footer="720" w:gutter="0"/>
          <w:cols w:num="2" w:space="720"/>
          <w:docGrid w:linePitch="360"/>
        </w:sectPr>
      </w:pPr>
    </w:p>
    <w:p w14:paraId="25F841C6" w14:textId="7C1FD6E3" w:rsidR="00DD41DA" w:rsidRDefault="00DD41DA" w:rsidP="008A60F4"/>
    <w:sectPr w:rsidR="00DD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81EDD" w14:textId="77777777" w:rsidR="00D4683A" w:rsidRDefault="00D4683A" w:rsidP="00D4683A">
      <w:r>
        <w:separator/>
      </w:r>
    </w:p>
  </w:endnote>
  <w:endnote w:type="continuationSeparator" w:id="0">
    <w:p w14:paraId="5991AE16" w14:textId="77777777" w:rsidR="00D4683A" w:rsidRDefault="00D4683A" w:rsidP="00D4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aleNew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9F1B4" w14:textId="77777777" w:rsidR="00027304" w:rsidRDefault="00027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33F6C" w14:textId="77777777" w:rsidR="00027304" w:rsidRDefault="00027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69AEB" w14:textId="77777777" w:rsidR="00027304" w:rsidRDefault="00027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5E191" w14:textId="77777777" w:rsidR="00D4683A" w:rsidRDefault="00D4683A" w:rsidP="00D4683A">
      <w:r>
        <w:separator/>
      </w:r>
    </w:p>
  </w:footnote>
  <w:footnote w:type="continuationSeparator" w:id="0">
    <w:p w14:paraId="208D67FE" w14:textId="77777777" w:rsidR="00D4683A" w:rsidRDefault="00D4683A" w:rsidP="00D4683A">
      <w:r>
        <w:continuationSeparator/>
      </w:r>
    </w:p>
  </w:footnote>
  <w:footnote w:id="1">
    <w:p w14:paraId="152FF54A" w14:textId="77777777" w:rsidR="002672BE" w:rsidRDefault="002672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7795">
        <w:rPr>
          <w:sz w:val="16"/>
          <w:szCs w:val="16"/>
        </w:rPr>
        <w:t>NSDUH (2011-2013), CDC</w:t>
      </w:r>
      <w:r>
        <w:t xml:space="preserve"> </w:t>
      </w:r>
    </w:p>
  </w:footnote>
  <w:footnote w:id="2">
    <w:p w14:paraId="25CE633C" w14:textId="15AC13BE" w:rsidR="006546EF" w:rsidRDefault="00F4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7795">
        <w:rPr>
          <w:sz w:val="16"/>
          <w:szCs w:val="16"/>
        </w:rPr>
        <w:t>Centers for Disease Control, Vital Signs, July 2015</w:t>
      </w:r>
    </w:p>
  </w:footnote>
  <w:footnote w:id="3">
    <w:p w14:paraId="03CDC421" w14:textId="3FA4F864" w:rsidR="009372F1" w:rsidRDefault="009372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7795">
        <w:rPr>
          <w:sz w:val="16"/>
          <w:szCs w:val="16"/>
        </w:rPr>
        <w:t>DEA 2016 Drug Threat Assessment Summary</w:t>
      </w:r>
    </w:p>
  </w:footnote>
  <w:footnote w:id="4">
    <w:p w14:paraId="2AD449A9" w14:textId="7EF0210C" w:rsidR="009372F1" w:rsidRDefault="009372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7795">
        <w:rPr>
          <w:sz w:val="16"/>
          <w:szCs w:val="16"/>
        </w:rPr>
        <w:t>Treatment Episode Data Set, CT https://wwwdasis.samhsa.gov/webt/quicklink/CT15.htm</w:t>
      </w:r>
    </w:p>
  </w:footnote>
  <w:footnote w:id="5">
    <w:p w14:paraId="70EFD3E6" w14:textId="2C768205" w:rsidR="009372F1" w:rsidRDefault="009372F1" w:rsidP="009372F1">
      <w:pPr>
        <w:pStyle w:val="NoSpacing"/>
      </w:pPr>
      <w:r>
        <w:rPr>
          <w:rStyle w:val="FootnoteReference"/>
        </w:rPr>
        <w:footnoteRef/>
      </w:r>
      <w:r>
        <w:t xml:space="preserve"> </w:t>
      </w:r>
      <w:r w:rsidRPr="00847795">
        <w:rPr>
          <w:rFonts w:ascii="Times New Roman" w:hAnsi="Times New Roman" w:cs="Times New Roman"/>
          <w:sz w:val="16"/>
          <w:szCs w:val="16"/>
        </w:rPr>
        <w:t>CT Opioid Response Initiative</w:t>
      </w:r>
    </w:p>
  </w:footnote>
  <w:footnote w:id="6">
    <w:p w14:paraId="5DD4611A" w14:textId="6A3C58EC" w:rsidR="009372F1" w:rsidRDefault="009372F1" w:rsidP="009372F1">
      <w:pPr>
        <w:pStyle w:val="NoSpacing"/>
      </w:pPr>
      <w:r>
        <w:rPr>
          <w:rStyle w:val="FootnoteReference"/>
        </w:rPr>
        <w:footnoteRef/>
      </w:r>
      <w:r w:rsidRPr="00847795">
        <w:rPr>
          <w:sz w:val="16"/>
          <w:szCs w:val="16"/>
        </w:rPr>
        <w:t xml:space="preserve"> </w:t>
      </w:r>
      <w:hyperlink r:id="rId1" w:history="1">
        <w:r w:rsidRPr="00847795">
          <w:rPr>
            <w:rStyle w:val="Hyperlink"/>
            <w:rFonts w:ascii="Times New Roman" w:hAnsi="Times New Roman" w:cs="Times New Roman"/>
            <w:sz w:val="16"/>
            <w:szCs w:val="16"/>
          </w:rPr>
          <w:t>https://www.dea.gov/resource-center/2016%20NDTA%20Summary.pdf</w:t>
        </w:r>
      </w:hyperlink>
    </w:p>
  </w:footnote>
  <w:footnote w:id="7">
    <w:p w14:paraId="4018CB29" w14:textId="77777777" w:rsidR="004C062E" w:rsidRDefault="004C062E" w:rsidP="004C06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7795">
        <w:rPr>
          <w:sz w:val="16"/>
          <w:szCs w:val="16"/>
        </w:rPr>
        <w:t>NIDA, Drug Facts-Heroin, October 2014</w:t>
      </w:r>
    </w:p>
  </w:footnote>
  <w:footnote w:id="8">
    <w:p w14:paraId="04FC7856" w14:textId="77777777" w:rsidR="009372F1" w:rsidRPr="008549EF" w:rsidRDefault="009372F1" w:rsidP="009372F1">
      <w:pPr>
        <w:pStyle w:val="NoSpacing"/>
        <w:rPr>
          <w:rFonts w:cs="YaleNew-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847795">
          <w:rPr>
            <w:rStyle w:val="Hyperlink"/>
            <w:rFonts w:ascii="Times New Roman" w:hAnsi="Times New Roman" w:cs="Times New Roman"/>
            <w:sz w:val="16"/>
            <w:szCs w:val="16"/>
          </w:rPr>
          <w:t>https://www.cdc.gov/hepatitis/populations/idu.htm</w:t>
        </w:r>
      </w:hyperlink>
    </w:p>
    <w:p w14:paraId="2ED52E4E" w14:textId="11E7CEFD" w:rsidR="009372F1" w:rsidRDefault="009372F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37E6D" w14:textId="77777777" w:rsidR="00027304" w:rsidRDefault="00027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595591"/>
      <w:docPartObj>
        <w:docPartGallery w:val="Watermarks"/>
        <w:docPartUnique/>
      </w:docPartObj>
    </w:sdtPr>
    <w:sdtEndPr/>
    <w:sdtContent>
      <w:p w14:paraId="102AA8D0" w14:textId="15E84D64" w:rsidR="00027304" w:rsidRDefault="008A60F4">
        <w:pPr>
          <w:pStyle w:val="Header"/>
        </w:pPr>
        <w:r>
          <w:rPr>
            <w:noProof/>
          </w:rPr>
          <w:pict w14:anchorId="6EDD0E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9F98" w14:textId="77777777" w:rsidR="00027304" w:rsidRDefault="00027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2F13"/>
    <w:multiLevelType w:val="hybridMultilevel"/>
    <w:tmpl w:val="9B188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05B2C"/>
    <w:multiLevelType w:val="hybridMultilevel"/>
    <w:tmpl w:val="36A2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D7"/>
    <w:multiLevelType w:val="multilevel"/>
    <w:tmpl w:val="F8E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60532"/>
    <w:multiLevelType w:val="hybridMultilevel"/>
    <w:tmpl w:val="BD02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6598B"/>
    <w:multiLevelType w:val="hybridMultilevel"/>
    <w:tmpl w:val="966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42AA"/>
    <w:multiLevelType w:val="hybridMultilevel"/>
    <w:tmpl w:val="AC6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E48"/>
    <w:multiLevelType w:val="hybridMultilevel"/>
    <w:tmpl w:val="5262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4326"/>
    <w:multiLevelType w:val="hybridMultilevel"/>
    <w:tmpl w:val="9DBA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71602"/>
    <w:multiLevelType w:val="hybridMultilevel"/>
    <w:tmpl w:val="07D6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63B"/>
    <w:multiLevelType w:val="hybridMultilevel"/>
    <w:tmpl w:val="735AAF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124A64"/>
    <w:multiLevelType w:val="hybridMultilevel"/>
    <w:tmpl w:val="2364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279AD"/>
    <w:multiLevelType w:val="hybridMultilevel"/>
    <w:tmpl w:val="7A72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A7D77"/>
    <w:multiLevelType w:val="hybridMultilevel"/>
    <w:tmpl w:val="FFD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427D"/>
    <w:multiLevelType w:val="hybridMultilevel"/>
    <w:tmpl w:val="AAF8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93C33"/>
    <w:multiLevelType w:val="hybridMultilevel"/>
    <w:tmpl w:val="3C4A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14"/>
  </w:num>
  <w:num w:numId="6">
    <w:abstractNumId w:val="13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3A"/>
    <w:rsid w:val="00007267"/>
    <w:rsid w:val="00027304"/>
    <w:rsid w:val="000517FD"/>
    <w:rsid w:val="000A2589"/>
    <w:rsid w:val="000C1025"/>
    <w:rsid w:val="00136570"/>
    <w:rsid w:val="00193A3A"/>
    <w:rsid w:val="001A34B6"/>
    <w:rsid w:val="001A4BB7"/>
    <w:rsid w:val="001F3C64"/>
    <w:rsid w:val="001F523D"/>
    <w:rsid w:val="00265D1D"/>
    <w:rsid w:val="002672BE"/>
    <w:rsid w:val="00291B89"/>
    <w:rsid w:val="002A763A"/>
    <w:rsid w:val="002C10C8"/>
    <w:rsid w:val="002C6427"/>
    <w:rsid w:val="002C6F8B"/>
    <w:rsid w:val="002D31F9"/>
    <w:rsid w:val="002F3579"/>
    <w:rsid w:val="00361988"/>
    <w:rsid w:val="003D3C90"/>
    <w:rsid w:val="003E3882"/>
    <w:rsid w:val="0046488C"/>
    <w:rsid w:val="004705BA"/>
    <w:rsid w:val="004C062E"/>
    <w:rsid w:val="004C09F4"/>
    <w:rsid w:val="004C32CA"/>
    <w:rsid w:val="00507EFC"/>
    <w:rsid w:val="00526286"/>
    <w:rsid w:val="0053204B"/>
    <w:rsid w:val="00553EEB"/>
    <w:rsid w:val="00554034"/>
    <w:rsid w:val="005717FA"/>
    <w:rsid w:val="005963E9"/>
    <w:rsid w:val="005F5B6A"/>
    <w:rsid w:val="006263C1"/>
    <w:rsid w:val="006351A7"/>
    <w:rsid w:val="006546EF"/>
    <w:rsid w:val="006B1C39"/>
    <w:rsid w:val="00723555"/>
    <w:rsid w:val="00751B6F"/>
    <w:rsid w:val="007B01B7"/>
    <w:rsid w:val="007E545F"/>
    <w:rsid w:val="0082587C"/>
    <w:rsid w:val="00847795"/>
    <w:rsid w:val="00874599"/>
    <w:rsid w:val="008A58ED"/>
    <w:rsid w:val="008A60F4"/>
    <w:rsid w:val="008B1A64"/>
    <w:rsid w:val="008B756B"/>
    <w:rsid w:val="008F0D2B"/>
    <w:rsid w:val="00924AE3"/>
    <w:rsid w:val="00932BFA"/>
    <w:rsid w:val="009372F1"/>
    <w:rsid w:val="009831EA"/>
    <w:rsid w:val="00A61879"/>
    <w:rsid w:val="00AA7E74"/>
    <w:rsid w:val="00AB4073"/>
    <w:rsid w:val="00AC79A8"/>
    <w:rsid w:val="00B03DC3"/>
    <w:rsid w:val="00B801BE"/>
    <w:rsid w:val="00B916B7"/>
    <w:rsid w:val="00C4455E"/>
    <w:rsid w:val="00C4535B"/>
    <w:rsid w:val="00C51EB0"/>
    <w:rsid w:val="00C61F63"/>
    <w:rsid w:val="00C64513"/>
    <w:rsid w:val="00C9152E"/>
    <w:rsid w:val="00CA17EF"/>
    <w:rsid w:val="00CA57C7"/>
    <w:rsid w:val="00CB0F35"/>
    <w:rsid w:val="00D05EFC"/>
    <w:rsid w:val="00D25781"/>
    <w:rsid w:val="00D4683A"/>
    <w:rsid w:val="00D6239E"/>
    <w:rsid w:val="00D92BB2"/>
    <w:rsid w:val="00DD41DA"/>
    <w:rsid w:val="00DF1144"/>
    <w:rsid w:val="00E00644"/>
    <w:rsid w:val="00E04D6A"/>
    <w:rsid w:val="00E77F30"/>
    <w:rsid w:val="00EA1599"/>
    <w:rsid w:val="00EA4D44"/>
    <w:rsid w:val="00EF6EB3"/>
    <w:rsid w:val="00F17A52"/>
    <w:rsid w:val="00F40367"/>
    <w:rsid w:val="00F66C44"/>
    <w:rsid w:val="00F964F0"/>
    <w:rsid w:val="00FB1C8B"/>
    <w:rsid w:val="00FB6997"/>
    <w:rsid w:val="00FE0DC5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38F0F5"/>
  <w15:chartTrackingRefBased/>
  <w15:docId w15:val="{DE520CB3-059A-45BD-8827-55B0EB2B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68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83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8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67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2BE"/>
    <w:rPr>
      <w:color w:val="A52200"/>
      <w:sz w:val="24"/>
      <w:szCs w:val="24"/>
      <w:u w:val="single"/>
      <w:bdr w:val="none" w:sz="0" w:space="0" w:color="auto" w:frame="1"/>
      <w:vertAlign w:val="baseline"/>
    </w:rPr>
  </w:style>
  <w:style w:type="character" w:styleId="Emphasis">
    <w:name w:val="Emphasis"/>
    <w:basedOn w:val="DefaultParagraphFont"/>
    <w:uiPriority w:val="20"/>
    <w:qFormat/>
    <w:rsid w:val="002672BE"/>
    <w:rPr>
      <w:i/>
      <w:iCs/>
      <w:sz w:val="24"/>
      <w:szCs w:val="24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66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C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6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C4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B7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8F0D2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B1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A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A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A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46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46E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46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824">
          <w:marLeft w:val="0"/>
          <w:marRight w:val="0"/>
          <w:marTop w:val="0"/>
          <w:marBottom w:val="0"/>
          <w:divBdr>
            <w:top w:val="single" w:sz="36" w:space="0" w:color="07529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9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43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95643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7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dc.gov/hepatitis/populations/idu.htm" TargetMode="External"/><Relationship Id="rId1" Type="http://schemas.openxmlformats.org/officeDocument/2006/relationships/hyperlink" Target="https://www.dea.gov/resource-center/2016%20NDTA%20Summa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4B30-4CDF-4528-AB6D-F844C3BC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Smith,Bonnie</dc:creator>
  <cp:keywords/>
  <dc:description/>
  <cp:lastModifiedBy>Sussman,Jennifer E.</cp:lastModifiedBy>
  <cp:revision>3</cp:revision>
  <dcterms:created xsi:type="dcterms:W3CDTF">2017-09-19T20:30:00Z</dcterms:created>
  <dcterms:modified xsi:type="dcterms:W3CDTF">2017-09-19T20:31:00Z</dcterms:modified>
</cp:coreProperties>
</file>