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4985A" w14:textId="5FE680C4" w:rsidR="00110A91" w:rsidRPr="005E66E7" w:rsidRDefault="00884EFA" w:rsidP="00110A91">
      <w:pPr>
        <w:pStyle w:val="NoSpacing"/>
        <w:jc w:val="center"/>
        <w:rPr>
          <w:b/>
          <w:sz w:val="32"/>
          <w:szCs w:val="32"/>
        </w:rPr>
      </w:pPr>
      <w:r w:rsidRPr="005E66E7">
        <w:rPr>
          <w:b/>
          <w:sz w:val="32"/>
          <w:szCs w:val="32"/>
        </w:rPr>
        <w:t>2017</w:t>
      </w:r>
      <w:r w:rsidR="00905559" w:rsidRPr="005E66E7">
        <w:rPr>
          <w:b/>
          <w:sz w:val="32"/>
          <w:szCs w:val="32"/>
        </w:rPr>
        <w:t xml:space="preserve"> </w:t>
      </w:r>
      <w:r w:rsidR="00711B6C" w:rsidRPr="005E66E7">
        <w:rPr>
          <w:b/>
          <w:sz w:val="32"/>
          <w:szCs w:val="32"/>
        </w:rPr>
        <w:t xml:space="preserve">Epidemiological Profile: </w:t>
      </w:r>
      <w:r w:rsidR="00110A91" w:rsidRPr="005E66E7">
        <w:rPr>
          <w:b/>
          <w:sz w:val="32"/>
          <w:szCs w:val="32"/>
        </w:rPr>
        <w:t>Opioids</w:t>
      </w:r>
    </w:p>
    <w:p w14:paraId="6A461262" w14:textId="0DE6943D" w:rsidR="00110A91" w:rsidRDefault="00110A91" w:rsidP="00C414E3">
      <w:pPr>
        <w:pStyle w:val="NoSpacing"/>
      </w:pPr>
    </w:p>
    <w:p w14:paraId="61D1B3D6" w14:textId="77777777" w:rsidR="00110A91" w:rsidRDefault="00110A91" w:rsidP="00C414E3">
      <w:pPr>
        <w:pStyle w:val="NoSpacing"/>
        <w:sectPr w:rsidR="00110A91" w:rsidSect="00110A91">
          <w:headerReference w:type="default" r:id="rId11"/>
          <w:footerReference w:type="default" r:id="rId12"/>
          <w:pgSz w:w="12240" w:h="15840"/>
          <w:pgMar w:top="1440" w:right="720" w:bottom="1440" w:left="720" w:header="720" w:footer="720" w:gutter="0"/>
          <w:cols w:space="720"/>
          <w:docGrid w:linePitch="360"/>
        </w:sectPr>
      </w:pPr>
    </w:p>
    <w:p w14:paraId="434EFD19" w14:textId="2C9D1775" w:rsidR="00D70CD8" w:rsidRDefault="00A62B23" w:rsidP="00C414E3">
      <w:pPr>
        <w:pStyle w:val="NoSpacing"/>
      </w:pPr>
      <w:r w:rsidRPr="00392C1A">
        <w:t xml:space="preserve">Opioids </w:t>
      </w:r>
      <w:r w:rsidR="005B4441">
        <w:t>are</w:t>
      </w:r>
      <w:r w:rsidRPr="00392C1A">
        <w:t xml:space="preserve"> drugs that activate opioid receptors, including opiates, heroin, and synthetic opioids</w:t>
      </w:r>
      <w:r w:rsidR="00E76B81">
        <w:rPr>
          <w:rStyle w:val="FootnoteReference"/>
        </w:rPr>
        <w:footnoteReference w:id="1"/>
      </w:r>
      <w:r w:rsidRPr="00392C1A">
        <w:t>.</w:t>
      </w:r>
      <w:r w:rsidR="006A027B" w:rsidRPr="00392C1A">
        <w:t xml:space="preserve"> </w:t>
      </w:r>
      <w:r w:rsidR="009706C0">
        <w:t>Heroin</w:t>
      </w:r>
      <w:r w:rsidR="005B4441">
        <w:t>,</w:t>
      </w:r>
      <w:r w:rsidR="006A0EEC">
        <w:t xml:space="preserve"> an opioid drug made from morphine</w:t>
      </w:r>
      <w:r w:rsidR="005B4441">
        <w:t>,</w:t>
      </w:r>
      <w:r w:rsidR="006A0EEC">
        <w:t xml:space="preserve"> is either injected, snorted, </w:t>
      </w:r>
      <w:r w:rsidR="005B4441">
        <w:t xml:space="preserve">or smoked. </w:t>
      </w:r>
      <w:r w:rsidR="006A0EEC">
        <w:t>Fentanyl is a synthetic opioid similar to morphine, but 50 to 100 times more potent. It is used to treat severe pain, or chronic pain in patients who are physically tolerant to other opioids.</w:t>
      </w:r>
      <w:r w:rsidR="00E76B81">
        <w:rPr>
          <w:rStyle w:val="FootnoteReference"/>
        </w:rPr>
        <w:footnoteReference w:id="2"/>
      </w:r>
      <w:r w:rsidR="00BC6ECF">
        <w:t xml:space="preserve"> </w:t>
      </w:r>
      <w:r w:rsidR="001A3D1B">
        <w:t>Oxycodone, Hydrocodone, and Oxymorphone are opioid pain medications</w:t>
      </w:r>
      <w:r w:rsidR="008F1B06">
        <w:t xml:space="preserve">. Hydrocodone is used to manage pain that is severe enough to require daily, around-the-clock, long-term opioid treatment. </w:t>
      </w:r>
      <w:r w:rsidR="00D70CD8">
        <w:t>Oxycodone is used to treat moderate to severe pain and is available in ‘immediate release’ and ‘controlled release’ me</w:t>
      </w:r>
      <w:r w:rsidR="000101A2">
        <w:t xml:space="preserve">thods for different pain types. </w:t>
      </w:r>
      <w:r w:rsidR="00D70CD8">
        <w:t>Oxymorphone</w:t>
      </w:r>
      <w:r w:rsidR="005B4441">
        <w:t>,</w:t>
      </w:r>
      <w:r w:rsidR="00D70CD8">
        <w:t xml:space="preserve"> also used to treat moderate to severe pain, is slightly stronger than oxycodone</w:t>
      </w:r>
      <w:r w:rsidR="00711B6C">
        <w:t xml:space="preserve"> and</w:t>
      </w:r>
      <w:r w:rsidR="00D70CD8">
        <w:t xml:space="preserve"> available in </w:t>
      </w:r>
      <w:r w:rsidR="00711B6C">
        <w:t xml:space="preserve">both </w:t>
      </w:r>
      <w:r w:rsidR="00D70CD8">
        <w:t>immediate release and controlled release.</w:t>
      </w:r>
      <w:r w:rsidR="00686B65">
        <w:t xml:space="preserve"> </w:t>
      </w:r>
      <w:r w:rsidR="00D70CD8">
        <w:t>Methadone is an opioid medication that is used for pain and to reduce withdrawal symptoms in people addicted to heroin or other narcotics without causing the “high” associated with drug addiction.</w:t>
      </w:r>
      <w:r w:rsidR="00E76B81">
        <w:rPr>
          <w:vertAlign w:val="superscript"/>
        </w:rPr>
        <w:t>2</w:t>
      </w:r>
      <w:r w:rsidR="00D70CD8">
        <w:t xml:space="preserve"> </w:t>
      </w:r>
    </w:p>
    <w:p w14:paraId="73C5C657" w14:textId="77777777" w:rsidR="009706C0" w:rsidRDefault="009706C0" w:rsidP="00C414E3">
      <w:pPr>
        <w:pStyle w:val="NoSpacing"/>
      </w:pPr>
    </w:p>
    <w:p w14:paraId="62D957D8" w14:textId="62C87CFF" w:rsidR="00A62B23" w:rsidRPr="00392C1A" w:rsidRDefault="006A027B" w:rsidP="00C414E3">
      <w:pPr>
        <w:pStyle w:val="NoSpacing"/>
      </w:pPr>
      <w:r w:rsidRPr="00392C1A">
        <w:t xml:space="preserve">In this profile, </w:t>
      </w:r>
      <w:r w:rsidR="005B4441">
        <w:t xml:space="preserve">both </w:t>
      </w:r>
      <w:r w:rsidRPr="00392C1A">
        <w:t xml:space="preserve">prescription drugs </w:t>
      </w:r>
      <w:r w:rsidR="005B4441">
        <w:t xml:space="preserve">and heroin </w:t>
      </w:r>
      <w:r w:rsidRPr="00392C1A">
        <w:t>are discussed. For further information regar</w:t>
      </w:r>
      <w:r w:rsidR="00BD42DF">
        <w:t xml:space="preserve">ding </w:t>
      </w:r>
      <w:r w:rsidR="00D32EFF">
        <w:t>h</w:t>
      </w:r>
      <w:r w:rsidR="00BD42DF">
        <w:t xml:space="preserve">eroin and </w:t>
      </w:r>
      <w:r w:rsidR="00D32EFF">
        <w:t>n</w:t>
      </w:r>
      <w:r w:rsidR="00BD42DF">
        <w:t>on-</w:t>
      </w:r>
      <w:r w:rsidR="00D32EFF">
        <w:t>m</w:t>
      </w:r>
      <w:r w:rsidR="00BD42DF">
        <w:t xml:space="preserve">edical </w:t>
      </w:r>
      <w:r w:rsidR="00D32EFF">
        <w:t>u</w:t>
      </w:r>
      <w:r w:rsidR="00BD42DF">
        <w:t>se</w:t>
      </w:r>
      <w:r w:rsidRPr="00392C1A">
        <w:t xml:space="preserve"> of </w:t>
      </w:r>
      <w:r w:rsidR="00D32EFF">
        <w:t>p</w:t>
      </w:r>
      <w:r w:rsidRPr="00392C1A">
        <w:t xml:space="preserve">rescription </w:t>
      </w:r>
      <w:r w:rsidR="00D32EFF">
        <w:t>d</w:t>
      </w:r>
      <w:r w:rsidRPr="00392C1A">
        <w:t>rugs</w:t>
      </w:r>
      <w:r w:rsidR="00BD42DF">
        <w:t xml:space="preserve"> (NMUPD)</w:t>
      </w:r>
      <w:r w:rsidRPr="00392C1A">
        <w:t>, refer to the respective profiles.</w:t>
      </w:r>
    </w:p>
    <w:p w14:paraId="5AB8A589" w14:textId="44CEE03E" w:rsidR="00527630" w:rsidRPr="00392C1A" w:rsidRDefault="00527630" w:rsidP="00C414E3">
      <w:pPr>
        <w:pStyle w:val="NoSpacing"/>
      </w:pPr>
    </w:p>
    <w:p w14:paraId="309E76DB" w14:textId="77777777" w:rsidR="00006031" w:rsidRPr="00392C1A" w:rsidRDefault="00006031" w:rsidP="00C414E3">
      <w:pPr>
        <w:pStyle w:val="NoSpacing"/>
        <w:rPr>
          <w:b/>
          <w:u w:val="single"/>
        </w:rPr>
      </w:pPr>
      <w:r w:rsidRPr="00392C1A">
        <w:rPr>
          <w:b/>
          <w:u w:val="single"/>
        </w:rPr>
        <w:t>Consumption</w:t>
      </w:r>
    </w:p>
    <w:p w14:paraId="0E21DE76" w14:textId="2060816F" w:rsidR="00CB208C" w:rsidRPr="00392C1A" w:rsidRDefault="00CB208C" w:rsidP="00C414E3">
      <w:pPr>
        <w:pStyle w:val="NoSpacing"/>
      </w:pPr>
    </w:p>
    <w:p w14:paraId="035F6019" w14:textId="3B1F47A2" w:rsidR="00474E5D" w:rsidRPr="00D32EFF" w:rsidRDefault="00880600" w:rsidP="00880600">
      <w:pPr>
        <w:pStyle w:val="NoSpacing"/>
        <w:jc w:val="center"/>
        <w:rPr>
          <w:rFonts w:cs="YaleNew-Roman"/>
          <w:b/>
        </w:rPr>
      </w:pPr>
      <w:r w:rsidRPr="00D32EFF">
        <w:rPr>
          <w:rFonts w:cs="YaleNew-Roman"/>
          <w:b/>
        </w:rPr>
        <w:t>Prescription Drugs</w:t>
      </w:r>
    </w:p>
    <w:p w14:paraId="3814CC10" w14:textId="77777777" w:rsidR="005E66E7" w:rsidRPr="005E66E7" w:rsidRDefault="005E66E7" w:rsidP="005E66E7">
      <w:pPr>
        <w:rPr>
          <w:rFonts w:eastAsia="Times New Roman" w:cs="Times New Roman"/>
        </w:rPr>
      </w:pPr>
      <w:r w:rsidRPr="005E66E7">
        <w:rPr>
          <w:rFonts w:eastAsia="Times New Roman" w:cs="Times New Roman"/>
        </w:rPr>
        <w:t>The 2014-2015 National Survey of Drug Use and Health (NSDUH) found that 7.1% of the US population aged 12 and older (or 18.9 million) had used prescription drugs non-medically in the past year, including pain relievers (12.5 million users), sedatives and tranquilizers (7.5 million users), and stimulants (5.3 million users), with over 2% reporting current use of the substances. In Connecticut, the 2014-2015 NSDUH found that 655,000 youths in Connecticut ages 12-17 reported nonmedical use of prescription drugs (NMUPD).</w:t>
      </w:r>
    </w:p>
    <w:p w14:paraId="10E56313" w14:textId="77777777" w:rsidR="005E66E7" w:rsidRPr="005E66E7" w:rsidRDefault="005E66E7" w:rsidP="005E66E7">
      <w:pPr>
        <w:rPr>
          <w:rFonts w:eastAsia="Times New Roman" w:cs="Times New Roman"/>
        </w:rPr>
      </w:pPr>
    </w:p>
    <w:p w14:paraId="4B167A89" w14:textId="77777777" w:rsidR="005E66E7" w:rsidRPr="005E66E7" w:rsidRDefault="005E66E7" w:rsidP="005E66E7">
      <w:pPr>
        <w:rPr>
          <w:rFonts w:eastAsia="Times New Roman" w:cs="Times New Roman"/>
        </w:rPr>
      </w:pPr>
      <w:r w:rsidRPr="005E66E7">
        <w:rPr>
          <w:rFonts w:eastAsia="Times New Roman" w:cs="Times New Roman"/>
        </w:rPr>
        <w:t xml:space="preserve">In 2013-2014, NSDUH data showed that the prevalence of past year non-medical use of pain relievers in Connecticut was 2.9% for 12-17 year olds, 8.6% for young adults ages 18-25, and 4.1% for adults ages 26 or older.  There has been a slight trend toward less misuse of prescription drugs among both young adults and older adults, although use among adolescents remained relatively stable since 2009-2010. </w:t>
      </w:r>
    </w:p>
    <w:p w14:paraId="5C0297A2" w14:textId="77777777" w:rsidR="00BD42DF" w:rsidRPr="00BA5C5E" w:rsidRDefault="00BD42DF" w:rsidP="00C414E3">
      <w:pPr>
        <w:pStyle w:val="NoSpacing"/>
      </w:pPr>
    </w:p>
    <w:p w14:paraId="050B0EAA" w14:textId="10EFFB32" w:rsidR="00BA5C5E" w:rsidRPr="00BA5C5E" w:rsidRDefault="00BA5C5E" w:rsidP="00C414E3">
      <w:pPr>
        <w:pStyle w:val="NoSpacing"/>
      </w:pPr>
      <w:r w:rsidRPr="00BA5C5E">
        <w:t>According to the 2015 Connecticut Y</w:t>
      </w:r>
      <w:r w:rsidR="00BD42DF">
        <w:t xml:space="preserve">outh </w:t>
      </w:r>
      <w:r w:rsidRPr="00BA5C5E">
        <w:t>R</w:t>
      </w:r>
      <w:r w:rsidR="00BD42DF">
        <w:t xml:space="preserve">isk </w:t>
      </w:r>
      <w:r w:rsidRPr="00BA5C5E">
        <w:t>B</w:t>
      </w:r>
      <w:r w:rsidR="00BD42DF">
        <w:t xml:space="preserve">ehavior </w:t>
      </w:r>
      <w:r w:rsidRPr="00BA5C5E">
        <w:t>S</w:t>
      </w:r>
      <w:r w:rsidR="00BD42DF">
        <w:t>urveillance S</w:t>
      </w:r>
      <w:r w:rsidRPr="00BA5C5E">
        <w:t>urvey</w:t>
      </w:r>
      <w:r w:rsidR="00BD42DF">
        <w:t xml:space="preserve"> (YRBSS)</w:t>
      </w:r>
      <w:r w:rsidRPr="00BA5C5E">
        <w:t xml:space="preserve">, 12.0% of high school students </w:t>
      </w:r>
      <w:r w:rsidR="005B4441">
        <w:t xml:space="preserve">reported </w:t>
      </w:r>
      <w:r w:rsidR="00132292" w:rsidRPr="00ED346D">
        <w:t xml:space="preserve">ever </w:t>
      </w:r>
      <w:r w:rsidR="005B4441">
        <w:t>using</w:t>
      </w:r>
      <w:r w:rsidRPr="00BA5C5E">
        <w:t xml:space="preserve"> prescription drugs without a doctor’s prescription.</w:t>
      </w:r>
      <w:r w:rsidR="005B4441">
        <w:t xml:space="preserve">  A smaller percentage</w:t>
      </w:r>
      <w:r w:rsidRPr="00BA5C5E">
        <w:t xml:space="preserve"> </w:t>
      </w:r>
      <w:r w:rsidR="005B4441">
        <w:t>(</w:t>
      </w:r>
      <w:r w:rsidRPr="00BA5C5E">
        <w:t>6.3%</w:t>
      </w:r>
      <w:r w:rsidR="005B4441">
        <w:t>)</w:t>
      </w:r>
      <w:r w:rsidRPr="00BA5C5E">
        <w:t xml:space="preserve"> of high school students reported having </w:t>
      </w:r>
      <w:r w:rsidR="00132292" w:rsidRPr="00ED346D">
        <w:t>ever</w:t>
      </w:r>
      <w:r w:rsidR="00132292">
        <w:t xml:space="preserve"> </w:t>
      </w:r>
      <w:r w:rsidRPr="00BA5C5E">
        <w:t xml:space="preserve">taken over-the-counter drugs to get high. </w:t>
      </w:r>
      <w:r w:rsidR="005B4441">
        <w:t>Misuse of</w:t>
      </w:r>
      <w:r w:rsidRPr="00BA5C5E">
        <w:t xml:space="preserve"> </w:t>
      </w:r>
      <w:r w:rsidR="00776353">
        <w:t xml:space="preserve">prescription drugs and </w:t>
      </w:r>
      <w:r w:rsidRPr="00BA5C5E">
        <w:t xml:space="preserve">over-the-counter drugs </w:t>
      </w:r>
      <w:r w:rsidR="005B4441">
        <w:t>varied by</w:t>
      </w:r>
      <w:r w:rsidRPr="00BA5C5E">
        <w:t xml:space="preserve"> race/ethnicity</w:t>
      </w:r>
      <w:r w:rsidR="005B4441">
        <w:t xml:space="preserve"> with</w:t>
      </w:r>
      <w:r w:rsidRPr="00BA5C5E">
        <w:t xml:space="preserve"> </w:t>
      </w:r>
      <w:r w:rsidR="00A233AC">
        <w:t xml:space="preserve">13.6% and </w:t>
      </w:r>
      <w:r w:rsidRPr="00BA5C5E">
        <w:t xml:space="preserve">8.4% </w:t>
      </w:r>
      <w:r w:rsidR="00A233AC">
        <w:t xml:space="preserve">reported by </w:t>
      </w:r>
      <w:r w:rsidRPr="00BA5C5E">
        <w:t>Hispanics/Latinos</w:t>
      </w:r>
      <w:r w:rsidR="00A233AC">
        <w:t xml:space="preserve"> respectively</w:t>
      </w:r>
      <w:r w:rsidRPr="00BA5C5E">
        <w:t xml:space="preserve">, </w:t>
      </w:r>
      <w:r w:rsidR="00A233AC">
        <w:t xml:space="preserve">11.4% and </w:t>
      </w:r>
      <w:r w:rsidRPr="00BA5C5E">
        <w:t xml:space="preserve">5.8% for </w:t>
      </w:r>
      <w:r w:rsidR="00A233AC">
        <w:t>w</w:t>
      </w:r>
      <w:r w:rsidRPr="00BA5C5E">
        <w:t xml:space="preserve">hites, and </w:t>
      </w:r>
      <w:r w:rsidR="00A233AC">
        <w:t xml:space="preserve">10% and </w:t>
      </w:r>
      <w:r w:rsidRPr="00BA5C5E">
        <w:t xml:space="preserve">4.6% for </w:t>
      </w:r>
      <w:r w:rsidR="00A233AC">
        <w:t>b</w:t>
      </w:r>
      <w:r w:rsidRPr="00BA5C5E">
        <w:t>lacks</w:t>
      </w:r>
      <w:r w:rsidR="005B4441">
        <w:t>.</w:t>
      </w:r>
      <w:r w:rsidR="00DC1FC6">
        <w:t xml:space="preserve"> </w:t>
      </w:r>
      <w:r w:rsidR="00816CD2">
        <w:t>There was no difference in the p</w:t>
      </w:r>
      <w:r w:rsidR="005271FF">
        <w:t>ercent of female and male</w:t>
      </w:r>
      <w:r w:rsidR="00A233AC">
        <w:t xml:space="preserve"> student</w:t>
      </w:r>
      <w:r w:rsidR="005271FF">
        <w:t xml:space="preserve">s </w:t>
      </w:r>
      <w:r w:rsidR="00F76CD2">
        <w:t>report</w:t>
      </w:r>
      <w:r w:rsidR="00A233AC">
        <w:t>ing</w:t>
      </w:r>
      <w:r w:rsidR="00F76CD2">
        <w:t xml:space="preserve"> ever us</w:t>
      </w:r>
      <w:r w:rsidR="00A233AC">
        <w:t>e of</w:t>
      </w:r>
      <w:r w:rsidR="00816CD2">
        <w:t xml:space="preserve"> prescription drugs.</w:t>
      </w:r>
    </w:p>
    <w:p w14:paraId="7CAE3E68" w14:textId="77777777" w:rsidR="00BA5C5E" w:rsidRPr="00BA5C5E" w:rsidRDefault="00BA5C5E" w:rsidP="00C414E3">
      <w:pPr>
        <w:pStyle w:val="NoSpacing"/>
      </w:pPr>
    </w:p>
    <w:p w14:paraId="1F60AD49" w14:textId="07A1461C" w:rsidR="00474E5D" w:rsidRPr="00D32EFF" w:rsidRDefault="00474E5D" w:rsidP="00880600">
      <w:pPr>
        <w:pStyle w:val="NoSpacing"/>
        <w:jc w:val="center"/>
        <w:rPr>
          <w:b/>
        </w:rPr>
      </w:pPr>
      <w:r w:rsidRPr="00D32EFF">
        <w:rPr>
          <w:b/>
        </w:rPr>
        <w:t>Heroin</w:t>
      </w:r>
    </w:p>
    <w:p w14:paraId="1879E32E" w14:textId="66093C41" w:rsidR="00BA5C5E" w:rsidRPr="00BA5C5E" w:rsidRDefault="00BA5C5E" w:rsidP="00C414E3">
      <w:pPr>
        <w:pStyle w:val="NoSpacing"/>
      </w:pPr>
      <w:r w:rsidRPr="00BA5C5E">
        <w:rPr>
          <w:color w:val="003366"/>
        </w:rPr>
        <w:t>A</w:t>
      </w:r>
      <w:r w:rsidR="00D25828">
        <w:t xml:space="preserve">ccording to the </w:t>
      </w:r>
      <w:r w:rsidR="00A233AC">
        <w:t>2014-</w:t>
      </w:r>
      <w:r w:rsidR="00D25828">
        <w:t>2015</w:t>
      </w:r>
      <w:r w:rsidR="00694D91">
        <w:t xml:space="preserve"> </w:t>
      </w:r>
      <w:r w:rsidRPr="00BA5C5E">
        <w:t>NSD</w:t>
      </w:r>
      <w:r w:rsidR="00694D91">
        <w:t xml:space="preserve">UH, </w:t>
      </w:r>
      <w:r w:rsidR="00D25828">
        <w:t xml:space="preserve">1.07% </w:t>
      </w:r>
      <w:r w:rsidR="00694D91">
        <w:t xml:space="preserve">of 18-25 year olds </w:t>
      </w:r>
      <w:r w:rsidR="00132292">
        <w:t xml:space="preserve">in Connecticut </w:t>
      </w:r>
      <w:r w:rsidR="00694D91">
        <w:t>re</w:t>
      </w:r>
      <w:r w:rsidR="00132292">
        <w:t xml:space="preserve">ported past year use of heroin </w:t>
      </w:r>
      <w:r w:rsidR="00D25828">
        <w:t>compared to 0.69</w:t>
      </w:r>
      <w:r w:rsidR="00694D91">
        <w:t>%</w:t>
      </w:r>
      <w:r w:rsidR="00132292">
        <w:t xml:space="preserve"> of young adults nationwide</w:t>
      </w:r>
      <w:r w:rsidR="00D25828">
        <w:t xml:space="preserve">. Similarly, the percent past year use in </w:t>
      </w:r>
      <w:r w:rsidR="00816CD2">
        <w:t>those aged</w:t>
      </w:r>
      <w:r w:rsidR="00D25828">
        <w:t xml:space="preserve"> 26 and older was 0.93% </w:t>
      </w:r>
      <w:r w:rsidR="00816CD2">
        <w:t xml:space="preserve">statewide </w:t>
      </w:r>
      <w:r w:rsidR="00D25828">
        <w:t>compared to the national average of 0.29%.</w:t>
      </w:r>
      <w:r w:rsidR="00F76CD2">
        <w:t xml:space="preserve"> Among </w:t>
      </w:r>
      <w:r w:rsidR="00816CD2">
        <w:t xml:space="preserve">both US and </w:t>
      </w:r>
      <w:r w:rsidR="00F76CD2">
        <w:t>Connecticut youth ages 12-17, 0.1% reported having used heroin in the past year</w:t>
      </w:r>
      <w:r w:rsidR="00816CD2">
        <w:t>.</w:t>
      </w:r>
    </w:p>
    <w:p w14:paraId="164FD456" w14:textId="77777777" w:rsidR="00BA5C5E" w:rsidRPr="00BA5C5E" w:rsidRDefault="00BA5C5E" w:rsidP="00C414E3">
      <w:pPr>
        <w:pStyle w:val="NoSpacing"/>
      </w:pPr>
    </w:p>
    <w:p w14:paraId="35351C78" w14:textId="547A4C92" w:rsidR="00474E5D" w:rsidRPr="00BA5C5E" w:rsidRDefault="00266207" w:rsidP="00C414E3">
      <w:pPr>
        <w:pStyle w:val="NoSpacing"/>
        <w:rPr>
          <w:u w:val="single"/>
        </w:rPr>
      </w:pPr>
      <w:r>
        <w:t>According to the 2015 YRBSS</w:t>
      </w:r>
      <w:r w:rsidR="00BA5C5E" w:rsidRPr="00BA5C5E">
        <w:t xml:space="preserve">, about 2.2% </w:t>
      </w:r>
      <w:r w:rsidR="00132292">
        <w:t>high school students</w:t>
      </w:r>
      <w:r w:rsidR="00BA5C5E" w:rsidRPr="00BA5C5E">
        <w:t xml:space="preserve"> reported heroin use in their lifetime, </w:t>
      </w:r>
      <w:r w:rsidR="00132292">
        <w:t xml:space="preserve">slightly </w:t>
      </w:r>
      <w:r w:rsidR="00A233AC">
        <w:t>above</w:t>
      </w:r>
      <w:r w:rsidR="00132292">
        <w:t xml:space="preserve"> the national average (2.1%)</w:t>
      </w:r>
      <w:r w:rsidR="00BA5C5E" w:rsidRPr="00BA5C5E">
        <w:t xml:space="preserve">.  </w:t>
      </w:r>
      <w:r>
        <w:t xml:space="preserve">In Connecticut, </w:t>
      </w:r>
      <w:r w:rsidR="00BA5C5E" w:rsidRPr="00BA5C5E">
        <w:t>Hispanics/Latino</w:t>
      </w:r>
      <w:r w:rsidR="00132292">
        <w:t xml:space="preserve"> students</w:t>
      </w:r>
      <w:r w:rsidR="00BA5C5E" w:rsidRPr="00BA5C5E">
        <w:t xml:space="preserve"> reported the highest rate </w:t>
      </w:r>
      <w:r w:rsidR="00132292">
        <w:t xml:space="preserve">of heroin use </w:t>
      </w:r>
      <w:r w:rsidR="00BA5C5E" w:rsidRPr="00BA5C5E">
        <w:t xml:space="preserve">(4.3%), </w:t>
      </w:r>
      <w:r w:rsidR="00132292">
        <w:t>compared to 1.2% for</w:t>
      </w:r>
      <w:r w:rsidR="00BA5C5E" w:rsidRPr="00BA5C5E">
        <w:t xml:space="preserve"> black non-Hispanic</w:t>
      </w:r>
      <w:r w:rsidR="00132292">
        <w:t xml:space="preserve"> students</w:t>
      </w:r>
      <w:r w:rsidR="00BA5C5E" w:rsidRPr="00BA5C5E">
        <w:t xml:space="preserve"> and </w:t>
      </w:r>
      <w:r w:rsidR="00132292">
        <w:t>1.5% of white students</w:t>
      </w:r>
      <w:r>
        <w:t>.</w:t>
      </w:r>
      <w:r w:rsidR="00F76CD2">
        <w:t xml:space="preserve"> </w:t>
      </w:r>
      <w:r w:rsidR="00816CD2">
        <w:t>Three percent</w:t>
      </w:r>
      <w:r w:rsidR="00F76CD2">
        <w:t xml:space="preserve"> of males reported having used heroin at least once in their lifetime, in comparison to 1.1% of females.</w:t>
      </w:r>
      <w:r>
        <w:t xml:space="preserve"> </w:t>
      </w:r>
    </w:p>
    <w:p w14:paraId="7DDD4FA9" w14:textId="0815CFA2" w:rsidR="00527630" w:rsidRDefault="00527630" w:rsidP="00C414E3">
      <w:pPr>
        <w:pStyle w:val="NoSpacing"/>
        <w:rPr>
          <w:u w:val="single"/>
        </w:rPr>
      </w:pPr>
    </w:p>
    <w:p w14:paraId="47CB1F77" w14:textId="77777777" w:rsidR="00143B45" w:rsidRPr="00392C1A" w:rsidRDefault="00143B45" w:rsidP="00C414E3">
      <w:pPr>
        <w:pStyle w:val="NoSpacing"/>
        <w:rPr>
          <w:u w:val="single"/>
        </w:rPr>
      </w:pPr>
    </w:p>
    <w:p w14:paraId="45D4CF15" w14:textId="2684559A" w:rsidR="00006031" w:rsidRPr="00392C1A" w:rsidRDefault="00D6719D" w:rsidP="00C414E3">
      <w:pPr>
        <w:pStyle w:val="NoSpacing"/>
        <w:rPr>
          <w:b/>
          <w:u w:val="single"/>
        </w:rPr>
      </w:pPr>
      <w:r>
        <w:rPr>
          <w:b/>
          <w:u w:val="single"/>
        </w:rPr>
        <w:lastRenderedPageBreak/>
        <w:t>At-Risk Populations</w:t>
      </w:r>
    </w:p>
    <w:p w14:paraId="10192296" w14:textId="77777777" w:rsidR="008C19BB" w:rsidRPr="00392C1A" w:rsidRDefault="008C19BB" w:rsidP="00C414E3">
      <w:pPr>
        <w:pStyle w:val="NoSpacing"/>
      </w:pPr>
    </w:p>
    <w:p w14:paraId="5BD52D8D" w14:textId="64F0521B" w:rsidR="007D2AAB" w:rsidRDefault="007D2AAB" w:rsidP="007D2AAB">
      <w:pPr>
        <w:pStyle w:val="NoSpacing"/>
        <w:numPr>
          <w:ilvl w:val="0"/>
          <w:numId w:val="35"/>
        </w:numPr>
      </w:pPr>
      <w:r>
        <w:t>Consumption data from the 2014-2015 NSDUH and the 2015 YRBSS indicate that certain demographic subgroups are at increased risk of both heroin use and prescription drug misuse, including young adults and Hispanics.</w:t>
      </w:r>
    </w:p>
    <w:p w14:paraId="41181446" w14:textId="77A36D7C" w:rsidR="005B0175" w:rsidRPr="00392C1A" w:rsidRDefault="005B0175" w:rsidP="00C414E3">
      <w:pPr>
        <w:pStyle w:val="NoSpacing"/>
        <w:numPr>
          <w:ilvl w:val="0"/>
          <w:numId w:val="35"/>
        </w:numPr>
      </w:pPr>
      <w:r w:rsidRPr="00392C1A">
        <w:t>People who take opioids for chronic pain are at increased risk for addiction, overdose, and other adverse consequences</w:t>
      </w:r>
      <w:r w:rsidR="00297321">
        <w:t>.</w:t>
      </w:r>
      <w:r w:rsidR="00434A5A">
        <w:rPr>
          <w:rStyle w:val="FootnoteReference"/>
        </w:rPr>
        <w:footnoteReference w:id="3"/>
      </w:r>
    </w:p>
    <w:p w14:paraId="16A065F0" w14:textId="3F703099" w:rsidR="00CE47C2" w:rsidRPr="00392C1A" w:rsidRDefault="00CE47C2" w:rsidP="00946145">
      <w:pPr>
        <w:pStyle w:val="NoSpacing"/>
        <w:numPr>
          <w:ilvl w:val="0"/>
          <w:numId w:val="35"/>
        </w:numPr>
      </w:pPr>
      <w:r w:rsidRPr="00392C1A">
        <w:t xml:space="preserve">People who live in places that lack opioid treatment programs or buprenorphine providers and naloxone </w:t>
      </w:r>
      <w:r w:rsidR="00A446B7">
        <w:t xml:space="preserve">are at </w:t>
      </w:r>
      <w:r w:rsidR="006974D4">
        <w:t>increased</w:t>
      </w:r>
      <w:r w:rsidR="00BC6ECF">
        <w:t xml:space="preserve"> risk of overdose and death</w:t>
      </w:r>
      <w:r w:rsidR="00297321">
        <w:t>.</w:t>
      </w:r>
      <w:r w:rsidR="00434A5A">
        <w:rPr>
          <w:vertAlign w:val="superscript"/>
        </w:rPr>
        <w:t>7</w:t>
      </w:r>
    </w:p>
    <w:p w14:paraId="3D99258D" w14:textId="73FA4872" w:rsidR="009B0202" w:rsidRPr="00392C1A" w:rsidRDefault="006974D4" w:rsidP="00946145">
      <w:pPr>
        <w:pStyle w:val="NoSpacing"/>
        <w:numPr>
          <w:ilvl w:val="0"/>
          <w:numId w:val="35"/>
        </w:numPr>
      </w:pPr>
      <w:r>
        <w:t>Persons</w:t>
      </w:r>
      <w:r w:rsidR="009B0202" w:rsidRPr="00392C1A">
        <w:t xml:space="preserve"> who take opioids with alcohol or benzodiazepines</w:t>
      </w:r>
      <w:r w:rsidR="00D158F6">
        <w:t xml:space="preserve"> are at higher risk for overdose death</w:t>
      </w:r>
      <w:r w:rsidR="00297321">
        <w:t>.</w:t>
      </w:r>
      <w:r w:rsidR="00434A5A">
        <w:rPr>
          <w:vertAlign w:val="superscript"/>
        </w:rPr>
        <w:t>7</w:t>
      </w:r>
      <w:r w:rsidR="00297321">
        <w:t xml:space="preserve"> </w:t>
      </w:r>
    </w:p>
    <w:p w14:paraId="01EA8E91" w14:textId="55ED9878" w:rsidR="009B0202" w:rsidRDefault="009B0202" w:rsidP="00946145">
      <w:pPr>
        <w:pStyle w:val="NoSpacing"/>
        <w:numPr>
          <w:ilvl w:val="0"/>
          <w:numId w:val="35"/>
        </w:numPr>
      </w:pPr>
      <w:r w:rsidRPr="00392C1A">
        <w:t>Those injecting opioids are at higher risk of overdose</w:t>
      </w:r>
      <w:r w:rsidR="00D32EFF">
        <w:t>.</w:t>
      </w:r>
      <w:r w:rsidR="00434A5A">
        <w:rPr>
          <w:vertAlign w:val="superscript"/>
        </w:rPr>
        <w:t>7</w:t>
      </w:r>
    </w:p>
    <w:p w14:paraId="2C1DFB62" w14:textId="5BE212C2" w:rsidR="007C1482" w:rsidRDefault="007C1482" w:rsidP="00946145">
      <w:pPr>
        <w:pStyle w:val="NoSpacing"/>
        <w:numPr>
          <w:ilvl w:val="0"/>
          <w:numId w:val="35"/>
        </w:numPr>
        <w:rPr>
          <w:color w:val="333333"/>
        </w:rPr>
      </w:pPr>
      <w:r w:rsidRPr="00392C1A">
        <w:rPr>
          <w:color w:val="333333"/>
        </w:rPr>
        <w:t>People who inject drugs are at risk for Hepatitis B virus (HBV) and Hepatitis C virus (HCV) infection through the sharing of needles and drug-preparation equipment</w:t>
      </w:r>
      <w:r w:rsidR="00843A03">
        <w:rPr>
          <w:color w:val="333333"/>
        </w:rPr>
        <w:t>.</w:t>
      </w:r>
      <w:r w:rsidR="00434A5A">
        <w:rPr>
          <w:rStyle w:val="FootnoteReference"/>
          <w:color w:val="333333"/>
        </w:rPr>
        <w:footnoteReference w:id="4"/>
      </w:r>
    </w:p>
    <w:p w14:paraId="09F4281C" w14:textId="08317157" w:rsidR="0046116D" w:rsidRPr="00392C1A" w:rsidRDefault="0046116D" w:rsidP="00946145">
      <w:pPr>
        <w:pStyle w:val="NoSpacing"/>
        <w:numPr>
          <w:ilvl w:val="0"/>
          <w:numId w:val="35"/>
        </w:numPr>
      </w:pPr>
      <w:r w:rsidRPr="00392C1A">
        <w:t xml:space="preserve">Women with opioid use disorders </w:t>
      </w:r>
      <w:r w:rsidR="006924B4" w:rsidRPr="00392C1A">
        <w:t>often have</w:t>
      </w:r>
      <w:r w:rsidRPr="00392C1A">
        <w:t xml:space="preserve"> a history of sexual abuse and/or interpersonal violence, inadequate social supports, </w:t>
      </w:r>
      <w:r w:rsidR="00E567F9">
        <w:t>inadequate parenting</w:t>
      </w:r>
      <w:r w:rsidRPr="00392C1A">
        <w:t xml:space="preserve">, poor nutrition, unstable housing, and psychiatric </w:t>
      </w:r>
      <w:r w:rsidR="00E567F9">
        <w:t>comorbidity</w:t>
      </w:r>
      <w:r w:rsidRPr="00392C1A">
        <w:t>.</w:t>
      </w:r>
      <w:r w:rsidR="00434A5A">
        <w:rPr>
          <w:vertAlign w:val="superscript"/>
        </w:rPr>
        <w:t>1</w:t>
      </w:r>
      <w:r w:rsidR="00BC6ECF">
        <w:t xml:space="preserve"> </w:t>
      </w:r>
    </w:p>
    <w:p w14:paraId="56086683" w14:textId="32769285" w:rsidR="003D11C4" w:rsidRPr="00586646" w:rsidRDefault="003D11C4" w:rsidP="003D11C4">
      <w:pPr>
        <w:pStyle w:val="NoSpacing"/>
        <w:numPr>
          <w:ilvl w:val="0"/>
          <w:numId w:val="35"/>
        </w:numPr>
        <w:rPr>
          <w:rFonts w:cs="Arial"/>
        </w:rPr>
      </w:pPr>
      <w:r w:rsidRPr="00B943D0">
        <w:rPr>
          <w:color w:val="111111"/>
          <w:lang w:val="en"/>
        </w:rPr>
        <w:t>Respiratory depression is the primary mechanism contributing to fatal opioid</w:t>
      </w:r>
      <w:r>
        <w:rPr>
          <w:color w:val="111111"/>
          <w:lang w:val="en"/>
        </w:rPr>
        <w:t xml:space="preserve"> overdose, which </w:t>
      </w:r>
      <w:r w:rsidRPr="00B943D0">
        <w:rPr>
          <w:color w:val="111111"/>
          <w:lang w:val="en"/>
        </w:rPr>
        <w:t xml:space="preserve">may be exacerbated by concomitant </w:t>
      </w:r>
      <w:r>
        <w:rPr>
          <w:color w:val="111111"/>
          <w:lang w:val="en"/>
        </w:rPr>
        <w:t>use of benzodiazepines</w:t>
      </w:r>
      <w:r>
        <w:rPr>
          <w:rFonts w:cs="Arial"/>
        </w:rPr>
        <w:t>.</w:t>
      </w:r>
      <w:r w:rsidR="00434A5A">
        <w:rPr>
          <w:rStyle w:val="FootnoteReference"/>
          <w:rFonts w:cs="Arial"/>
        </w:rPr>
        <w:footnoteReference w:id="5"/>
      </w:r>
      <w:r w:rsidR="00BC6ECF">
        <w:rPr>
          <w:rFonts w:cs="Arial"/>
        </w:rPr>
        <w:t xml:space="preserve"> </w:t>
      </w:r>
    </w:p>
    <w:p w14:paraId="45A55C77" w14:textId="6D50D31B" w:rsidR="0095339C" w:rsidRDefault="00BB270F" w:rsidP="00946145">
      <w:pPr>
        <w:pStyle w:val="NoSpacing"/>
        <w:numPr>
          <w:ilvl w:val="0"/>
          <w:numId w:val="35"/>
        </w:numPr>
      </w:pPr>
      <w:r w:rsidRPr="00BB270F">
        <w:t xml:space="preserve">Patients with chronic pain who use opioid analgesics along with </w:t>
      </w:r>
      <w:r w:rsidR="006974D4">
        <w:t>b</w:t>
      </w:r>
      <w:r w:rsidR="003D11C4">
        <w:t>enzodiaze</w:t>
      </w:r>
      <w:r w:rsidR="006974D4">
        <w:t>pine</w:t>
      </w:r>
      <w:r w:rsidRPr="00BB270F">
        <w:t xml:space="preserve">s and/or alcohol are at higher risk for fatal/nonfatal overdose. </w:t>
      </w:r>
    </w:p>
    <w:p w14:paraId="56F391BB" w14:textId="5CF27208" w:rsidR="00946145" w:rsidRPr="005E66E7" w:rsidRDefault="00BB270F" w:rsidP="00946145">
      <w:pPr>
        <w:pStyle w:val="NoSpacing"/>
        <w:numPr>
          <w:ilvl w:val="0"/>
          <w:numId w:val="35"/>
        </w:numPr>
      </w:pPr>
      <w:r w:rsidRPr="00BB270F">
        <w:rPr>
          <w:color w:val="111111"/>
          <w:lang w:val="en"/>
        </w:rPr>
        <w:t xml:space="preserve">Risk factors for respiratory depression </w:t>
      </w:r>
      <w:r w:rsidR="0095339C">
        <w:rPr>
          <w:color w:val="111111"/>
          <w:lang w:val="en"/>
        </w:rPr>
        <w:t>due to opioids may include age &gt;</w:t>
      </w:r>
      <w:r w:rsidRPr="00BB270F">
        <w:rPr>
          <w:color w:val="111111"/>
          <w:lang w:val="en"/>
        </w:rPr>
        <w:t xml:space="preserve"> 55 years, preexisting chronic obstructive pulmonary disease, known or suspected sleep-disordered breathing problems, anatomic oral or airway </w:t>
      </w:r>
      <w:r w:rsidRPr="005E66E7">
        <w:rPr>
          <w:lang w:val="en"/>
        </w:rPr>
        <w:t>abnormalities, and comorbidities (e</w:t>
      </w:r>
      <w:r w:rsidR="006974D4" w:rsidRPr="005E66E7">
        <w:rPr>
          <w:lang w:val="en"/>
        </w:rPr>
        <w:t>.</w:t>
      </w:r>
      <w:r w:rsidRPr="005E66E7">
        <w:rPr>
          <w:lang w:val="en"/>
        </w:rPr>
        <w:t>g</w:t>
      </w:r>
      <w:r w:rsidR="006974D4" w:rsidRPr="005E66E7">
        <w:rPr>
          <w:lang w:val="en"/>
        </w:rPr>
        <w:t>.</w:t>
      </w:r>
      <w:r w:rsidRPr="005E66E7">
        <w:rPr>
          <w:lang w:val="en"/>
        </w:rPr>
        <w:t xml:space="preserve">, </w:t>
      </w:r>
      <w:r w:rsidRPr="005E66E7">
        <w:rPr>
          <w:lang w:val="en"/>
        </w:rPr>
        <w:t>advanced systemic disease, renal or hepatic impairment)</w:t>
      </w:r>
      <w:r w:rsidRPr="005E66E7">
        <w:t>.</w:t>
      </w:r>
      <w:r w:rsidR="00434A5A">
        <w:rPr>
          <w:vertAlign w:val="superscript"/>
        </w:rPr>
        <w:t>9</w:t>
      </w:r>
    </w:p>
    <w:p w14:paraId="76822A31" w14:textId="52A9D930" w:rsidR="00BB270F" w:rsidRPr="005E66E7" w:rsidRDefault="00BB270F" w:rsidP="00946145">
      <w:pPr>
        <w:pStyle w:val="NoSpacing"/>
        <w:numPr>
          <w:ilvl w:val="0"/>
          <w:numId w:val="35"/>
        </w:numPr>
      </w:pPr>
      <w:r w:rsidRPr="005E66E7">
        <w:rPr>
          <w:lang w:val="en"/>
        </w:rPr>
        <w:t xml:space="preserve">Compared with opioid abusers, concurrent users of </w:t>
      </w:r>
      <w:r w:rsidR="006974D4" w:rsidRPr="005E66E7">
        <w:rPr>
          <w:lang w:val="en"/>
        </w:rPr>
        <w:t>b</w:t>
      </w:r>
      <w:r w:rsidR="003D11C4" w:rsidRPr="005E66E7">
        <w:rPr>
          <w:lang w:val="en"/>
        </w:rPr>
        <w:t>enzodiazepi</w:t>
      </w:r>
      <w:r w:rsidR="006974D4" w:rsidRPr="005E66E7">
        <w:rPr>
          <w:lang w:val="en"/>
        </w:rPr>
        <w:t>ne</w:t>
      </w:r>
      <w:r w:rsidRPr="005E66E7">
        <w:rPr>
          <w:lang w:val="en"/>
        </w:rPr>
        <w:t>s and opioids take higher doses of the drugs for longer periods of time, are more likely to abuse additional substances</w:t>
      </w:r>
      <w:r w:rsidR="006974D4" w:rsidRPr="005E66E7">
        <w:rPr>
          <w:lang w:val="en"/>
        </w:rPr>
        <w:t>,</w:t>
      </w:r>
      <w:r w:rsidRPr="005E66E7">
        <w:rPr>
          <w:lang w:val="en"/>
        </w:rPr>
        <w:t xml:space="preserve"> and are more likely t</w:t>
      </w:r>
      <w:r w:rsidR="00843A03" w:rsidRPr="005E66E7">
        <w:rPr>
          <w:lang w:val="en"/>
        </w:rPr>
        <w:t>o have a psychiatric comorbidity.</w:t>
      </w:r>
      <w:r w:rsidR="00434A5A">
        <w:rPr>
          <w:vertAlign w:val="superscript"/>
          <w:lang w:val="en"/>
        </w:rPr>
        <w:t>5</w:t>
      </w:r>
      <w:r w:rsidR="00BC6ECF">
        <w:rPr>
          <w:lang w:val="en"/>
        </w:rPr>
        <w:t xml:space="preserve"> </w:t>
      </w:r>
    </w:p>
    <w:p w14:paraId="62A2BBBD" w14:textId="44CB9802" w:rsidR="007A1BBA" w:rsidRPr="005E66E7" w:rsidRDefault="00EA4177" w:rsidP="007A1BBA">
      <w:pPr>
        <w:pStyle w:val="NoSpacing"/>
        <w:numPr>
          <w:ilvl w:val="0"/>
          <w:numId w:val="35"/>
        </w:numPr>
      </w:pPr>
      <w:r w:rsidRPr="005E66E7">
        <w:rPr>
          <w:lang w:val="en"/>
        </w:rPr>
        <w:t xml:space="preserve">People who </w:t>
      </w:r>
      <w:r w:rsidR="005E66E7" w:rsidRPr="005E66E7">
        <w:rPr>
          <w:lang w:val="en"/>
        </w:rPr>
        <w:t xml:space="preserve">are </w:t>
      </w:r>
      <w:r w:rsidRPr="005E66E7">
        <w:rPr>
          <w:lang w:val="en"/>
        </w:rPr>
        <w:t>alcohol</w:t>
      </w:r>
      <w:r w:rsidR="005E66E7" w:rsidRPr="005E66E7">
        <w:rPr>
          <w:lang w:val="en"/>
        </w:rPr>
        <w:t>ics</w:t>
      </w:r>
      <w:r w:rsidRPr="005E66E7">
        <w:rPr>
          <w:lang w:val="en"/>
        </w:rPr>
        <w:t xml:space="preserve"> are </w:t>
      </w:r>
      <w:r w:rsidR="005E66E7" w:rsidRPr="005E66E7">
        <w:rPr>
          <w:lang w:val="en"/>
        </w:rPr>
        <w:t>twice as</w:t>
      </w:r>
      <w:r w:rsidRPr="005E66E7">
        <w:rPr>
          <w:lang w:val="en"/>
        </w:rPr>
        <w:t xml:space="preserve"> likely to be</w:t>
      </w:r>
      <w:r w:rsidR="005E66E7" w:rsidRPr="005E66E7">
        <w:rPr>
          <w:lang w:val="en"/>
        </w:rPr>
        <w:t>come</w:t>
      </w:r>
      <w:r w:rsidRPr="005E66E7">
        <w:rPr>
          <w:lang w:val="en"/>
        </w:rPr>
        <w:t xml:space="preserve"> addicted to heroin</w:t>
      </w:r>
      <w:r w:rsidR="005E66E7" w:rsidRPr="005E66E7">
        <w:rPr>
          <w:lang w:val="en"/>
        </w:rPr>
        <w:t xml:space="preserve"> compared to those without alcoholism</w:t>
      </w:r>
      <w:r w:rsidRPr="005E66E7">
        <w:rPr>
          <w:lang w:val="en"/>
        </w:rPr>
        <w:t xml:space="preserve">. </w:t>
      </w:r>
      <w:r w:rsidR="005E66E7" w:rsidRPr="005E66E7">
        <w:rPr>
          <w:lang w:val="en"/>
        </w:rPr>
        <w:t>Likewise, t</w:t>
      </w:r>
      <w:r w:rsidRPr="005E66E7">
        <w:rPr>
          <w:lang w:val="en"/>
        </w:rPr>
        <w:t xml:space="preserve">hose who marijuana </w:t>
      </w:r>
      <w:r w:rsidR="005E66E7" w:rsidRPr="005E66E7">
        <w:rPr>
          <w:lang w:val="en"/>
        </w:rPr>
        <w:t xml:space="preserve">use disorder </w:t>
      </w:r>
      <w:r w:rsidRPr="005E66E7">
        <w:rPr>
          <w:lang w:val="en"/>
        </w:rPr>
        <w:t xml:space="preserve">are </w:t>
      </w:r>
      <w:r w:rsidR="005E66E7" w:rsidRPr="005E66E7">
        <w:rPr>
          <w:lang w:val="en"/>
        </w:rPr>
        <w:t>three times</w:t>
      </w:r>
      <w:r w:rsidRPr="005E66E7">
        <w:rPr>
          <w:lang w:val="en"/>
        </w:rPr>
        <w:t xml:space="preserve"> more likely and those addicted to cocaine are 15</w:t>
      </w:r>
      <w:r w:rsidR="005E66E7" w:rsidRPr="005E66E7">
        <w:rPr>
          <w:lang w:val="en"/>
        </w:rPr>
        <w:t xml:space="preserve"> times</w:t>
      </w:r>
      <w:r w:rsidRPr="005E66E7">
        <w:rPr>
          <w:lang w:val="en"/>
        </w:rPr>
        <w:t xml:space="preserve"> more likely to become addicted to heroin. (CDC)</w:t>
      </w:r>
    </w:p>
    <w:p w14:paraId="72C3B36D" w14:textId="391C5C3D" w:rsidR="007A1BBA" w:rsidRPr="005E66E7" w:rsidRDefault="005E66E7" w:rsidP="007A1BBA">
      <w:pPr>
        <w:pStyle w:val="NoSpacing"/>
        <w:numPr>
          <w:ilvl w:val="0"/>
          <w:numId w:val="35"/>
        </w:numPr>
      </w:pPr>
      <w:r w:rsidRPr="005E66E7">
        <w:t>Two-thirds (66.6%)</w:t>
      </w:r>
      <w:r w:rsidR="007A1BBA" w:rsidRPr="005E66E7">
        <w:t xml:space="preserve"> of New England Region respondents in the DEA Drug Threat Assessment reported high availability of Heroin, followed closely by</w:t>
      </w:r>
      <w:r w:rsidR="004F3E09" w:rsidRPr="005E66E7">
        <w:t xml:space="preserve"> </w:t>
      </w:r>
      <w:r w:rsidRPr="005E66E7">
        <w:t xml:space="preserve">51% who reported </w:t>
      </w:r>
      <w:r w:rsidR="004F3E09" w:rsidRPr="005E66E7">
        <w:t>high availability of</w:t>
      </w:r>
      <w:r w:rsidR="007A1BBA" w:rsidRPr="005E66E7">
        <w:t xml:space="preserve"> controlled prescription drugs.</w:t>
      </w:r>
      <w:r w:rsidR="00434A5A">
        <w:rPr>
          <w:vertAlign w:val="superscript"/>
        </w:rPr>
        <w:t>13</w:t>
      </w:r>
    </w:p>
    <w:p w14:paraId="057B5A69" w14:textId="2DF4E7D0" w:rsidR="00527630" w:rsidRPr="00BB270F" w:rsidRDefault="00527630" w:rsidP="00C414E3">
      <w:pPr>
        <w:pStyle w:val="NoSpacing"/>
        <w:rPr>
          <w:rFonts w:ascii="Roboto" w:hAnsi="Roboto"/>
          <w:color w:val="111111"/>
          <w:lang w:val="en"/>
        </w:rPr>
      </w:pPr>
    </w:p>
    <w:p w14:paraId="4918D355" w14:textId="77777777" w:rsidR="007F5667" w:rsidRPr="00392C1A" w:rsidRDefault="007F5667" w:rsidP="00C414E3">
      <w:pPr>
        <w:pStyle w:val="NoSpacing"/>
        <w:rPr>
          <w:b/>
          <w:u w:val="single"/>
        </w:rPr>
      </w:pPr>
      <w:r w:rsidRPr="00392C1A">
        <w:rPr>
          <w:b/>
          <w:u w:val="single"/>
        </w:rPr>
        <w:t>Consequences</w:t>
      </w:r>
    </w:p>
    <w:p w14:paraId="4971ACB6" w14:textId="77777777" w:rsidR="009A771C" w:rsidRDefault="009A771C" w:rsidP="00C414E3">
      <w:pPr>
        <w:pStyle w:val="NoSpacing"/>
        <w:rPr>
          <w:rFonts w:ascii="Roboto" w:hAnsi="Roboto"/>
          <w:color w:val="111111"/>
          <w:highlight w:val="magenta"/>
          <w:lang w:val="en"/>
        </w:rPr>
      </w:pPr>
    </w:p>
    <w:p w14:paraId="13F27BC9" w14:textId="5E5C3DAA" w:rsidR="000700A1" w:rsidRDefault="000700A1" w:rsidP="000700A1">
      <w:pPr>
        <w:pStyle w:val="NoSpacing"/>
        <w:numPr>
          <w:ilvl w:val="0"/>
          <w:numId w:val="41"/>
        </w:numPr>
        <w:rPr>
          <w:rFonts w:cs="YaleNew-Roman"/>
        </w:rPr>
      </w:pPr>
      <w:r>
        <w:rPr>
          <w:rFonts w:cs="YaleNew-Roman"/>
        </w:rPr>
        <w:t>According to OCME reports, Connecticut had 853 opioid-involved fatalities in 2016.</w:t>
      </w:r>
    </w:p>
    <w:p w14:paraId="46C70A37" w14:textId="4A8CA2DD" w:rsidR="00A233AC" w:rsidRPr="00A233AC" w:rsidRDefault="00A233AC" w:rsidP="00A233AC">
      <w:pPr>
        <w:pStyle w:val="NoSpacing"/>
        <w:numPr>
          <w:ilvl w:val="0"/>
          <w:numId w:val="41"/>
        </w:numPr>
        <w:rPr>
          <w:rFonts w:cs="YaleNew-Roman"/>
        </w:rPr>
      </w:pPr>
      <w:r w:rsidRPr="00EB4A99">
        <w:rPr>
          <w:rFonts w:cs="YaleNew-Roman"/>
        </w:rPr>
        <w:t xml:space="preserve">Connecticut’s drug overdose death rate per 100,000 population in 2016 was 25.6, in comparison to 22.1 in 2015. </w:t>
      </w:r>
    </w:p>
    <w:p w14:paraId="148E3A16" w14:textId="28F563CD" w:rsidR="000C51C2" w:rsidRDefault="000C51C2" w:rsidP="00552BA2">
      <w:pPr>
        <w:pStyle w:val="NoSpacing"/>
        <w:numPr>
          <w:ilvl w:val="0"/>
          <w:numId w:val="40"/>
        </w:numPr>
      </w:pPr>
      <w:r>
        <w:t xml:space="preserve">According to </w:t>
      </w:r>
      <w:r w:rsidR="00552BA2">
        <w:t>the Office of the Connecticut Medical Examiner</w:t>
      </w:r>
      <w:r w:rsidR="002718DA">
        <w:t xml:space="preserve"> (OCME)</w:t>
      </w:r>
      <w:r w:rsidR="00552BA2">
        <w:t>, since 2012</w:t>
      </w:r>
      <w:r>
        <w:t xml:space="preserve"> there has been </w:t>
      </w:r>
      <w:r w:rsidR="00552BA2">
        <w:t>a consistent increase in heroin-</w:t>
      </w:r>
      <w:r>
        <w:t>related deaths</w:t>
      </w:r>
      <w:r w:rsidR="00552BA2">
        <w:t xml:space="preserve"> reaching</w:t>
      </w:r>
      <w:r>
        <w:t xml:space="preserve"> the highest rate </w:t>
      </w:r>
      <w:r w:rsidR="0094267E" w:rsidRPr="00A233AC">
        <w:t>in 2016 with a death rate of 14.2</w:t>
      </w:r>
      <w:r w:rsidR="00552BA2" w:rsidRPr="00A233AC">
        <w:t xml:space="preserve"> </w:t>
      </w:r>
      <w:r w:rsidR="00552BA2">
        <w:t>per 100,000 population</w:t>
      </w:r>
      <w:r>
        <w:t xml:space="preserve">. </w:t>
      </w:r>
    </w:p>
    <w:p w14:paraId="690275FA" w14:textId="7871A963" w:rsidR="00A346F7" w:rsidRPr="00781653" w:rsidRDefault="00781653" w:rsidP="00552BA2">
      <w:pPr>
        <w:pStyle w:val="NoSpacing"/>
        <w:numPr>
          <w:ilvl w:val="0"/>
          <w:numId w:val="40"/>
        </w:numPr>
      </w:pPr>
      <w:r>
        <w:t xml:space="preserve">In 2016, Connecticut saw an opioid-related death rate of </w:t>
      </w:r>
      <w:r w:rsidR="00B2155C">
        <w:t xml:space="preserve">23.9 per 100,000 population, a 19% increase from the 2015 rate of 19.4. </w:t>
      </w:r>
    </w:p>
    <w:p w14:paraId="29FC7673" w14:textId="77777777" w:rsidR="000700A1" w:rsidRPr="000C51C2" w:rsidRDefault="000700A1" w:rsidP="000700A1">
      <w:pPr>
        <w:pStyle w:val="NoSpacing"/>
        <w:numPr>
          <w:ilvl w:val="0"/>
          <w:numId w:val="40"/>
        </w:numPr>
      </w:pPr>
      <w:r w:rsidRPr="000700A1">
        <w:rPr>
          <w:color w:val="111111"/>
          <w:lang w:val="en"/>
        </w:rPr>
        <w:t>Of all overdose deaths occurring between 2012 and 2016, 88% involved opioid drugs, and 54.4% involved heroin specifically.</w:t>
      </w:r>
    </w:p>
    <w:p w14:paraId="64630CFA" w14:textId="098D516E" w:rsidR="00EB4A99" w:rsidRDefault="00EB4A99" w:rsidP="00EB4A99">
      <w:pPr>
        <w:pStyle w:val="NoSpacing"/>
        <w:numPr>
          <w:ilvl w:val="0"/>
          <w:numId w:val="35"/>
        </w:numPr>
      </w:pPr>
      <w:r>
        <w:t>The majority of opioid overdose deaths</w:t>
      </w:r>
      <w:r w:rsidRPr="00392C1A">
        <w:t xml:space="preserve"> in Connecticut </w:t>
      </w:r>
      <w:r>
        <w:t xml:space="preserve">between 2012 and 2016 </w:t>
      </w:r>
      <w:r w:rsidRPr="00392C1A">
        <w:t>occurred among</w:t>
      </w:r>
      <w:r>
        <w:t xml:space="preserve"> males (73.6%)</w:t>
      </w:r>
      <w:r w:rsidR="00926BA1">
        <w:t xml:space="preserve">, adults between the ages </w:t>
      </w:r>
      <w:r w:rsidR="00926BA1">
        <w:lastRenderedPageBreak/>
        <w:t>of 40 to 60 (47.6%),</w:t>
      </w:r>
      <w:r>
        <w:t xml:space="preserve"> and</w:t>
      </w:r>
      <w:r w:rsidRPr="00392C1A">
        <w:t xml:space="preserve"> non-Hispanic whites</w:t>
      </w:r>
      <w:r>
        <w:t xml:space="preserve"> (81.9%)</w:t>
      </w:r>
      <w:r w:rsidR="00926BA1">
        <w:t>.</w:t>
      </w:r>
      <w:r w:rsidR="00434A5A">
        <w:rPr>
          <w:rStyle w:val="FootnoteReference"/>
        </w:rPr>
        <w:footnoteReference w:id="6"/>
      </w:r>
    </w:p>
    <w:p w14:paraId="55E4255D" w14:textId="2CF5826D" w:rsidR="00926BA1" w:rsidRPr="00392C1A" w:rsidRDefault="00926BA1" w:rsidP="00EB4A99">
      <w:pPr>
        <w:pStyle w:val="NoSpacing"/>
        <w:numPr>
          <w:ilvl w:val="0"/>
          <w:numId w:val="35"/>
        </w:numPr>
      </w:pPr>
      <w:r>
        <w:t xml:space="preserve">OCME data show that fentanyl was 14 times more likely to be involved in opioid overdose deaths </w:t>
      </w:r>
      <w:r w:rsidR="007D2AAB">
        <w:t xml:space="preserve">from </w:t>
      </w:r>
      <w:r>
        <w:t>2012 to 2016, when 52.5% of opioid fatalities</w:t>
      </w:r>
      <w:r w:rsidR="007D2AAB">
        <w:t xml:space="preserve"> had traces of fentanyl</w:t>
      </w:r>
      <w:r>
        <w:t xml:space="preserve">.  </w:t>
      </w:r>
    </w:p>
    <w:p w14:paraId="6E307DB6" w14:textId="19AF784B" w:rsidR="000700A1" w:rsidRPr="0031775F" w:rsidRDefault="00DC37DD" w:rsidP="0084192C">
      <w:pPr>
        <w:pStyle w:val="ListParagraph"/>
        <w:numPr>
          <w:ilvl w:val="0"/>
          <w:numId w:val="40"/>
        </w:numPr>
        <w:rPr>
          <w:rFonts w:asciiTheme="minorHAnsi" w:hAnsiTheme="minorHAnsi"/>
          <w:sz w:val="22"/>
          <w:szCs w:val="22"/>
        </w:rPr>
      </w:pPr>
      <w:r w:rsidRPr="0031775F">
        <w:rPr>
          <w:rFonts w:asciiTheme="minorHAnsi" w:hAnsiTheme="minorHAnsi"/>
          <w:sz w:val="22"/>
          <w:szCs w:val="22"/>
        </w:rPr>
        <w:t>Of all Connecticut treatment admissions in 2016, 36.7% were for hero</w:t>
      </w:r>
      <w:r w:rsidR="00BC6ECF">
        <w:rPr>
          <w:rFonts w:asciiTheme="minorHAnsi" w:hAnsiTheme="minorHAnsi"/>
          <w:sz w:val="22"/>
          <w:szCs w:val="22"/>
        </w:rPr>
        <w:t>in as the primary substance.</w:t>
      </w:r>
      <w:r w:rsidR="00BC6ECF">
        <w:rPr>
          <w:rFonts w:asciiTheme="minorHAnsi" w:hAnsiTheme="minorHAnsi"/>
          <w:sz w:val="22"/>
          <w:szCs w:val="22"/>
          <w:vertAlign w:val="superscript"/>
        </w:rPr>
        <w:t>7</w:t>
      </w:r>
    </w:p>
    <w:p w14:paraId="1AD65653" w14:textId="22B90536" w:rsidR="00DC37DD" w:rsidRPr="0031775F" w:rsidRDefault="00DC37DD" w:rsidP="0084192C">
      <w:pPr>
        <w:pStyle w:val="ListParagraph"/>
        <w:numPr>
          <w:ilvl w:val="0"/>
          <w:numId w:val="40"/>
        </w:numPr>
        <w:rPr>
          <w:rFonts w:asciiTheme="minorHAnsi" w:hAnsiTheme="minorHAnsi"/>
          <w:sz w:val="22"/>
          <w:szCs w:val="22"/>
        </w:rPr>
      </w:pPr>
      <w:r w:rsidRPr="0031775F">
        <w:rPr>
          <w:rFonts w:asciiTheme="minorHAnsi" w:hAnsiTheme="minorHAnsi"/>
          <w:sz w:val="22"/>
          <w:szCs w:val="22"/>
        </w:rPr>
        <w:t>Over half of heroin admissions in 2016 were between the ages of 21 and 35 years old and 70% were male. The racial/ethnic distribution of primary heroin admissions were 72.5% white, 7.5% Black, and 19.7% were Hispanic or Latino</w:t>
      </w:r>
      <w:r w:rsidR="00E76B81" w:rsidRPr="0031775F">
        <w:rPr>
          <w:rStyle w:val="FootnoteReference"/>
          <w:rFonts w:asciiTheme="minorHAnsi" w:hAnsiTheme="minorHAnsi"/>
          <w:sz w:val="22"/>
          <w:szCs w:val="22"/>
        </w:rPr>
        <w:footnoteReference w:id="7"/>
      </w:r>
      <w:r w:rsidRPr="0031775F">
        <w:rPr>
          <w:rFonts w:asciiTheme="minorHAnsi" w:hAnsiTheme="minorHAnsi"/>
          <w:sz w:val="22"/>
          <w:szCs w:val="22"/>
        </w:rPr>
        <w:t>.</w:t>
      </w:r>
    </w:p>
    <w:p w14:paraId="68F01563" w14:textId="4C8D8C0D" w:rsidR="00DC37DD" w:rsidRPr="0031775F" w:rsidRDefault="00DC37DD" w:rsidP="0084192C">
      <w:pPr>
        <w:pStyle w:val="ListParagraph"/>
        <w:numPr>
          <w:ilvl w:val="0"/>
          <w:numId w:val="40"/>
        </w:numPr>
        <w:rPr>
          <w:rFonts w:asciiTheme="minorHAnsi" w:hAnsiTheme="minorHAnsi"/>
          <w:sz w:val="22"/>
          <w:szCs w:val="22"/>
        </w:rPr>
      </w:pPr>
      <w:r w:rsidRPr="0031775F">
        <w:rPr>
          <w:rFonts w:asciiTheme="minorHAnsi" w:hAnsiTheme="minorHAnsi"/>
          <w:sz w:val="22"/>
          <w:szCs w:val="22"/>
        </w:rPr>
        <w:t>Other opiate use problems accounted for 4.2% of treatment admissions in 2016. 60% were male and nearly 80% of admissions were white.</w:t>
      </w:r>
      <w:r w:rsidR="00E76B81" w:rsidRPr="0031775F">
        <w:rPr>
          <w:rFonts w:asciiTheme="minorHAnsi" w:hAnsiTheme="minorHAnsi"/>
          <w:sz w:val="22"/>
          <w:szCs w:val="22"/>
          <w:vertAlign w:val="superscript"/>
        </w:rPr>
        <w:t>3</w:t>
      </w:r>
      <w:r w:rsidR="00BC6ECF">
        <w:rPr>
          <w:rFonts w:asciiTheme="minorHAnsi" w:hAnsiTheme="minorHAnsi"/>
          <w:sz w:val="22"/>
          <w:szCs w:val="22"/>
        </w:rPr>
        <w:t xml:space="preserve"> </w:t>
      </w:r>
    </w:p>
    <w:p w14:paraId="43AD94E4" w14:textId="2357ACE6" w:rsidR="000700A1" w:rsidRPr="0031775F" w:rsidRDefault="000700A1" w:rsidP="000700A1">
      <w:pPr>
        <w:pStyle w:val="NoSpacing"/>
        <w:numPr>
          <w:ilvl w:val="0"/>
          <w:numId w:val="41"/>
        </w:numPr>
      </w:pPr>
      <w:r w:rsidRPr="0031775F">
        <w:t>Over half of other opi</w:t>
      </w:r>
      <w:r w:rsidR="00DC37DD" w:rsidRPr="0031775F">
        <w:t>ate treatment admissions in 2016</w:t>
      </w:r>
      <w:r w:rsidRPr="0031775F">
        <w:t xml:space="preserve"> wer</w:t>
      </w:r>
      <w:r w:rsidR="00DC37DD" w:rsidRPr="0031775F">
        <w:t>e between the ages of 21 and 35.</w:t>
      </w:r>
      <w:r w:rsidR="00E76B81" w:rsidRPr="0031775F">
        <w:rPr>
          <w:vertAlign w:val="superscript"/>
        </w:rPr>
        <w:t>3</w:t>
      </w:r>
      <w:r w:rsidR="00DC37DD" w:rsidRPr="0031775F">
        <w:t xml:space="preserve"> </w:t>
      </w:r>
    </w:p>
    <w:p w14:paraId="6EA30916" w14:textId="09257D87" w:rsidR="002B3B1D" w:rsidRPr="00392C1A" w:rsidRDefault="00540C39" w:rsidP="00D07AB0">
      <w:pPr>
        <w:pStyle w:val="NoSpacing"/>
        <w:numPr>
          <w:ilvl w:val="0"/>
          <w:numId w:val="40"/>
        </w:numPr>
      </w:pPr>
      <w:r>
        <w:t xml:space="preserve">A small, but not insignificant number of heroin users are </w:t>
      </w:r>
      <w:r w:rsidR="000700A1">
        <w:t>controlled prescription drug</w:t>
      </w:r>
      <w:r>
        <w:t xml:space="preserve"> </w:t>
      </w:r>
      <w:r w:rsidR="000700A1">
        <w:t xml:space="preserve">(CPD) </w:t>
      </w:r>
      <w:r>
        <w:t>users who began using heroin as a cheaper alternative to</w:t>
      </w:r>
      <w:r w:rsidR="000700A1">
        <w:t xml:space="preserve"> the high price of illicit CPDs</w:t>
      </w:r>
      <w:r>
        <w:t xml:space="preserve"> or when they were unable to obtain prescription drugs.</w:t>
      </w:r>
      <w:r w:rsidR="00E76B81">
        <w:rPr>
          <w:rStyle w:val="FootnoteReference"/>
        </w:rPr>
        <w:footnoteReference w:id="8"/>
      </w:r>
    </w:p>
    <w:p w14:paraId="4B3AE689" w14:textId="0E4965A4" w:rsidR="007F5667" w:rsidRPr="00392C1A" w:rsidRDefault="00A233AC" w:rsidP="00574F0C">
      <w:pPr>
        <w:pStyle w:val="NoSpacing"/>
        <w:numPr>
          <w:ilvl w:val="0"/>
          <w:numId w:val="41"/>
        </w:numPr>
      </w:pPr>
      <w:r>
        <w:t>Users of heroin and other opioids are at risk of developing opioid use disorders, including t</w:t>
      </w:r>
      <w:r w:rsidR="007F5667" w:rsidRPr="00392C1A">
        <w:t>olerance to the drug, requiring more to obtain the same physical effects, and physical dependence.</w:t>
      </w:r>
    </w:p>
    <w:p w14:paraId="45581798" w14:textId="4F0DD313" w:rsidR="002D7EA6" w:rsidRPr="000700A1" w:rsidRDefault="007F5667" w:rsidP="00130840">
      <w:pPr>
        <w:pStyle w:val="NoSpacing"/>
        <w:numPr>
          <w:ilvl w:val="0"/>
          <w:numId w:val="41"/>
        </w:numPr>
        <w:rPr>
          <w:rFonts w:cs="YaleNew-Roman"/>
        </w:rPr>
      </w:pPr>
      <w:r w:rsidRPr="00392C1A">
        <w:t xml:space="preserve">Severe respiratory depression, which can lead to hypoxia, reduced oxygen to the brain, </w:t>
      </w:r>
      <w:r w:rsidRPr="000700A1">
        <w:rPr>
          <w:lang w:val="en"/>
        </w:rPr>
        <w:t>can have short- and long-term psychological and neurological effects, including coma, permanent brain damage and death.</w:t>
      </w:r>
      <w:r w:rsidR="00E76B81">
        <w:rPr>
          <w:rStyle w:val="FootnoteReference"/>
          <w:lang w:val="en"/>
        </w:rPr>
        <w:footnoteReference w:id="9"/>
      </w:r>
      <w:r w:rsidR="00BC6ECF">
        <w:t xml:space="preserve"> </w:t>
      </w:r>
    </w:p>
    <w:p w14:paraId="6FCD3CD3" w14:textId="63152192" w:rsidR="002D7EA6" w:rsidRPr="000700A1" w:rsidRDefault="002D7EA6" w:rsidP="00AF055C">
      <w:pPr>
        <w:pStyle w:val="NoSpacing"/>
        <w:numPr>
          <w:ilvl w:val="0"/>
          <w:numId w:val="41"/>
        </w:numPr>
        <w:rPr>
          <w:lang w:val="en"/>
        </w:rPr>
      </w:pPr>
      <w:r w:rsidRPr="000700A1">
        <w:rPr>
          <w:rFonts w:cs="YaleNew-Roman"/>
        </w:rPr>
        <w:t xml:space="preserve">The changes in brain chemistry and function that occur and persist in individuals with opioid use disorder mean that short-term management such as detoxification is not a stand-alone treatment. </w:t>
      </w:r>
      <w:r w:rsidR="002B059D" w:rsidRPr="000700A1">
        <w:rPr>
          <w:rFonts w:cs="YaleNew-Roman"/>
        </w:rPr>
        <w:t>D</w:t>
      </w:r>
      <w:r w:rsidRPr="000700A1">
        <w:rPr>
          <w:rFonts w:cs="YaleNew-Roman"/>
        </w:rPr>
        <w:t>etoxification alone is associated with</w:t>
      </w:r>
      <w:r w:rsidR="00896BAD" w:rsidRPr="000700A1">
        <w:rPr>
          <w:rFonts w:cs="YaleNew-Roman"/>
        </w:rPr>
        <w:t xml:space="preserve"> </w:t>
      </w:r>
      <w:r w:rsidRPr="000700A1">
        <w:rPr>
          <w:rFonts w:cs="YaleNew-Roman"/>
        </w:rPr>
        <w:t xml:space="preserve">high rates of relapse and places </w:t>
      </w:r>
      <w:r w:rsidRPr="000700A1">
        <w:rPr>
          <w:rFonts w:cs="YaleNew-Roman"/>
        </w:rPr>
        <w:t>individuals at risk for overdose due to a lowered level of physical dependence.</w:t>
      </w:r>
    </w:p>
    <w:p w14:paraId="65C8543A" w14:textId="1E487D54" w:rsidR="002D7EA6" w:rsidRDefault="002D7EA6" w:rsidP="00B85CCA">
      <w:pPr>
        <w:pStyle w:val="NoSpacing"/>
        <w:numPr>
          <w:ilvl w:val="0"/>
          <w:numId w:val="41"/>
        </w:numPr>
        <w:rPr>
          <w:rFonts w:cs="YaleNew-Roman"/>
        </w:rPr>
      </w:pPr>
      <w:r w:rsidRPr="00392C1A">
        <w:rPr>
          <w:rFonts w:cs="YaleNew-Roman"/>
        </w:rPr>
        <w:t>Between 2012 and 2014</w:t>
      </w:r>
      <w:r w:rsidR="002B059D">
        <w:rPr>
          <w:rFonts w:cs="YaleNew-Roman"/>
        </w:rPr>
        <w:t xml:space="preserve">, the number of outside of the </w:t>
      </w:r>
      <w:r w:rsidRPr="00392C1A">
        <w:rPr>
          <w:rFonts w:cs="YaleNew-Roman"/>
        </w:rPr>
        <w:t xml:space="preserve">hospital, non-fatal opioid-related overdose events treated at </w:t>
      </w:r>
      <w:r w:rsidR="000700A1">
        <w:rPr>
          <w:rFonts w:cs="YaleNew-Roman"/>
        </w:rPr>
        <w:t>Connecticut’s</w:t>
      </w:r>
      <w:r w:rsidRPr="00392C1A">
        <w:rPr>
          <w:rFonts w:cs="YaleNew-Roman"/>
        </w:rPr>
        <w:t xml:space="preserve"> acute care hospitals and </w:t>
      </w:r>
      <w:r w:rsidR="000700A1">
        <w:rPr>
          <w:rFonts w:cs="YaleNew-Roman"/>
        </w:rPr>
        <w:t>e</w:t>
      </w:r>
      <w:r w:rsidRPr="00392C1A">
        <w:rPr>
          <w:rFonts w:cs="YaleNew-Roman"/>
        </w:rPr>
        <w:t xml:space="preserve">mergency </w:t>
      </w:r>
      <w:r w:rsidR="000700A1">
        <w:rPr>
          <w:rFonts w:cs="YaleNew-Roman"/>
        </w:rPr>
        <w:t>d</w:t>
      </w:r>
      <w:r w:rsidRPr="00392C1A">
        <w:rPr>
          <w:rFonts w:cs="YaleNew-Roman"/>
        </w:rPr>
        <w:t xml:space="preserve">epartments increased from 895 to 1217 </w:t>
      </w:r>
      <w:r w:rsidR="002B059D">
        <w:rPr>
          <w:rFonts w:cs="YaleNew-Roman"/>
        </w:rPr>
        <w:t xml:space="preserve">annually, a </w:t>
      </w:r>
      <w:r w:rsidRPr="00392C1A">
        <w:rPr>
          <w:rFonts w:cs="YaleNew-Roman"/>
        </w:rPr>
        <w:t>36% increase</w:t>
      </w:r>
      <w:r w:rsidR="00527630">
        <w:rPr>
          <w:rFonts w:cs="YaleNew-Roman"/>
        </w:rPr>
        <w:t>.</w:t>
      </w:r>
      <w:r w:rsidR="00E76B81">
        <w:rPr>
          <w:rStyle w:val="FootnoteReference"/>
          <w:rFonts w:cs="YaleNew-Roman"/>
        </w:rPr>
        <w:footnoteReference w:id="10"/>
      </w:r>
      <w:r w:rsidR="00BC6ECF">
        <w:rPr>
          <w:rFonts w:cs="YaleNew-Roman"/>
        </w:rPr>
        <w:t xml:space="preserve"> </w:t>
      </w:r>
    </w:p>
    <w:p w14:paraId="74C26177" w14:textId="52934F17" w:rsidR="00C83AA5" w:rsidRDefault="00C83AA5" w:rsidP="00B85CCA">
      <w:pPr>
        <w:pStyle w:val="NoSpacing"/>
        <w:numPr>
          <w:ilvl w:val="0"/>
          <w:numId w:val="41"/>
        </w:numPr>
        <w:rPr>
          <w:rFonts w:cs="YaleNew-Roman"/>
        </w:rPr>
      </w:pPr>
      <w:r>
        <w:rPr>
          <w:rFonts w:cs="YaleNew-Roman"/>
        </w:rPr>
        <w:t>The rate of opioid-related inpatient stays in Connecticut was 337.5 per 100,000 population in 2014, which was ranked 7</w:t>
      </w:r>
      <w:r w:rsidRPr="00C83AA5">
        <w:rPr>
          <w:rFonts w:cs="YaleNew-Roman"/>
          <w:vertAlign w:val="superscript"/>
        </w:rPr>
        <w:t>th</w:t>
      </w:r>
      <w:r>
        <w:rPr>
          <w:rFonts w:cs="YaleNew-Roman"/>
        </w:rPr>
        <w:t xml:space="preserve"> </w:t>
      </w:r>
      <w:r w:rsidR="0022430B">
        <w:rPr>
          <w:rFonts w:cs="YaleNew-Roman"/>
        </w:rPr>
        <w:t xml:space="preserve">highest </w:t>
      </w:r>
      <w:r>
        <w:rPr>
          <w:rFonts w:cs="YaleNew-Roman"/>
        </w:rPr>
        <w:t>in the nation</w:t>
      </w:r>
      <w:r w:rsidR="0022430B">
        <w:rPr>
          <w:rFonts w:cs="YaleNew-Roman"/>
        </w:rPr>
        <w:t>. The national rate for inpatient stays was 224.6 per 100,000 in 2014.</w:t>
      </w:r>
      <w:r w:rsidR="006D10C5">
        <w:rPr>
          <w:rStyle w:val="FootnoteReference"/>
          <w:rFonts w:cs="YaleNew-Roman"/>
        </w:rPr>
        <w:footnoteReference w:id="11"/>
      </w:r>
      <w:r w:rsidR="00BC6ECF">
        <w:rPr>
          <w:rFonts w:cs="YaleNew-Roman"/>
        </w:rPr>
        <w:t xml:space="preserve"> </w:t>
      </w:r>
    </w:p>
    <w:p w14:paraId="02D93EAB" w14:textId="16BE0589" w:rsidR="0022430B" w:rsidRPr="0070217C" w:rsidRDefault="0022430B" w:rsidP="0070217C">
      <w:pPr>
        <w:pStyle w:val="NoSpacing"/>
        <w:numPr>
          <w:ilvl w:val="0"/>
          <w:numId w:val="41"/>
        </w:numPr>
        <w:rPr>
          <w:rFonts w:cs="YaleNew-Roman"/>
        </w:rPr>
      </w:pPr>
      <w:r>
        <w:rPr>
          <w:rFonts w:cs="YaleNew-Roman"/>
        </w:rPr>
        <w:t>The rate of opioid-related emergency department visits in Connecticut was 254.56 per 100,000 population in 2014. This was higher than the national average of 177.7, and Connecticut ranked 5</w:t>
      </w:r>
      <w:r w:rsidRPr="0022430B">
        <w:rPr>
          <w:rFonts w:cs="YaleNew-Roman"/>
          <w:vertAlign w:val="superscript"/>
        </w:rPr>
        <w:t>th</w:t>
      </w:r>
      <w:r>
        <w:rPr>
          <w:rFonts w:cs="YaleNew-Roman"/>
        </w:rPr>
        <w:t xml:space="preserve"> in the nation for highest rate of ED visits.</w:t>
      </w:r>
      <w:r w:rsidR="006D10C5">
        <w:rPr>
          <w:rFonts w:cs="YaleNew-Roman"/>
          <w:vertAlign w:val="superscript"/>
        </w:rPr>
        <w:t>7</w:t>
      </w:r>
      <w:r w:rsidR="00BC6ECF">
        <w:rPr>
          <w:rFonts w:cs="YaleNew-Roman"/>
        </w:rPr>
        <w:t xml:space="preserve"> </w:t>
      </w:r>
    </w:p>
    <w:p w14:paraId="685354B9" w14:textId="00314A87" w:rsidR="000C6B2A" w:rsidRPr="00392C1A" w:rsidRDefault="000C6B2A" w:rsidP="00B85CCA">
      <w:pPr>
        <w:pStyle w:val="NoSpacing"/>
        <w:numPr>
          <w:ilvl w:val="0"/>
          <w:numId w:val="42"/>
        </w:numPr>
      </w:pPr>
      <w:r w:rsidRPr="00392C1A">
        <w:t>Most newborns of mothers who used opioids during pregnancy develop symptoms of N</w:t>
      </w:r>
      <w:r w:rsidR="00AC30F9">
        <w:t xml:space="preserve">eonatal </w:t>
      </w:r>
      <w:r w:rsidRPr="00392C1A">
        <w:t>A</w:t>
      </w:r>
      <w:r w:rsidR="00AC30F9">
        <w:t xml:space="preserve">bstinence </w:t>
      </w:r>
      <w:r w:rsidRPr="00392C1A">
        <w:t>S</w:t>
      </w:r>
      <w:r w:rsidR="00AC30F9">
        <w:t>yndrome (NAS)</w:t>
      </w:r>
      <w:r w:rsidRPr="00392C1A">
        <w:t>, a postnatal drug withdrawal syndrome, primarily caused by maternal opioid use</w:t>
      </w:r>
      <w:r w:rsidR="00F06952">
        <w:t>.</w:t>
      </w:r>
      <w:r w:rsidR="00B85CCA">
        <w:t xml:space="preserve"> There was a 2.7-fold increase in NAS among children born in Connecticut from 2002 to 2011 (0.27% to 0.73%).  </w:t>
      </w:r>
    </w:p>
    <w:p w14:paraId="01B51745" w14:textId="49FBBECF" w:rsidR="00871D0B" w:rsidRPr="009F1B08" w:rsidRDefault="00871D0B" w:rsidP="00B85CCA">
      <w:pPr>
        <w:pStyle w:val="NoSpacing"/>
        <w:numPr>
          <w:ilvl w:val="0"/>
          <w:numId w:val="42"/>
        </w:numPr>
        <w:rPr>
          <w:b/>
        </w:rPr>
      </w:pPr>
      <w:r w:rsidRPr="00392C1A">
        <w:t xml:space="preserve">Abrupt discontinuation of opioid use during pregnancy can result in premature labor, </w:t>
      </w:r>
      <w:r w:rsidR="00586646">
        <w:t>fetal distress, and miscarriage.</w:t>
      </w:r>
      <w:r w:rsidR="00434A5A">
        <w:rPr>
          <w:vertAlign w:val="superscript"/>
        </w:rPr>
        <w:t>1</w:t>
      </w:r>
    </w:p>
    <w:p w14:paraId="70CE5B6E" w14:textId="4CC983D3" w:rsidR="009F1B08" w:rsidRDefault="009F1B08" w:rsidP="009F1B08">
      <w:pPr>
        <w:pStyle w:val="NoSpacing"/>
        <w:numPr>
          <w:ilvl w:val="0"/>
          <w:numId w:val="42"/>
        </w:numPr>
      </w:pPr>
      <w:r>
        <w:t xml:space="preserve">The number of NAS hospitalizations more than doubled in Connecticut from 2003 to 2014. </w:t>
      </w:r>
    </w:p>
    <w:p w14:paraId="224D8183" w14:textId="01DB051D" w:rsidR="009F1B08" w:rsidRDefault="009F1B08" w:rsidP="009F1B08">
      <w:pPr>
        <w:pStyle w:val="NoSpacing"/>
        <w:numPr>
          <w:ilvl w:val="0"/>
          <w:numId w:val="42"/>
        </w:numPr>
      </w:pPr>
      <w:r>
        <w:t>While 58% of all babies born in Connecticut from 2005-2014 were non-Hispanic White, they accounted for 75% of all NAS hospital discharges.</w:t>
      </w:r>
      <w:r w:rsidR="00434A5A">
        <w:rPr>
          <w:rStyle w:val="FootnoteReference"/>
        </w:rPr>
        <w:footnoteReference w:id="12"/>
      </w:r>
      <w:r w:rsidR="00BC6ECF">
        <w:t xml:space="preserve"> </w:t>
      </w:r>
    </w:p>
    <w:p w14:paraId="3D4906EB" w14:textId="77777777" w:rsidR="009F1B08" w:rsidRDefault="009F1B08" w:rsidP="009F1B08">
      <w:pPr>
        <w:pStyle w:val="NoSpacing"/>
        <w:numPr>
          <w:ilvl w:val="0"/>
          <w:numId w:val="42"/>
        </w:numPr>
      </w:pPr>
      <w:r>
        <w:t>In Connecticut during 2014</w:t>
      </w:r>
    </w:p>
    <w:p w14:paraId="5B0489A6" w14:textId="77777777" w:rsidR="009F1B08" w:rsidRDefault="009F1B08" w:rsidP="009F1B08">
      <w:pPr>
        <w:pStyle w:val="NoSpacing"/>
        <w:numPr>
          <w:ilvl w:val="1"/>
          <w:numId w:val="42"/>
        </w:numPr>
      </w:pPr>
      <w:r>
        <w:t>The average length of hospital stay for infants with NAS was four times longer than that for all newborns (15.8 days versus 3.8 days)</w:t>
      </w:r>
    </w:p>
    <w:p w14:paraId="649EF187" w14:textId="77777777" w:rsidR="009F1B08" w:rsidRDefault="009F1B08" w:rsidP="009F1B08">
      <w:pPr>
        <w:pStyle w:val="NoSpacing"/>
        <w:numPr>
          <w:ilvl w:val="1"/>
          <w:numId w:val="42"/>
        </w:numPr>
      </w:pPr>
      <w:r>
        <w:lastRenderedPageBreak/>
        <w:t>Median inpatient hospitalization cost for NAS was more than seven times higher than that for all newborns ($13,421 versus $1,862)</w:t>
      </w:r>
    </w:p>
    <w:p w14:paraId="0A8C60A7" w14:textId="7AFE5B43" w:rsidR="002D7EA6" w:rsidRPr="005E66E7" w:rsidRDefault="00B85CCA" w:rsidP="00B85CCA">
      <w:pPr>
        <w:pStyle w:val="NoSpacing"/>
        <w:numPr>
          <w:ilvl w:val="0"/>
          <w:numId w:val="43"/>
        </w:numPr>
      </w:pPr>
      <w:r>
        <w:t>I</w:t>
      </w:r>
      <w:r w:rsidR="002D7EA6" w:rsidRPr="00392C1A">
        <w:t xml:space="preserve">n 2014, 31% of people living with HIV in </w:t>
      </w:r>
      <w:r w:rsidR="002D7EA6" w:rsidRPr="005E66E7">
        <w:t xml:space="preserve">Connecticut </w:t>
      </w:r>
      <w:r w:rsidRPr="005E66E7">
        <w:t>were attributable</w:t>
      </w:r>
      <w:r w:rsidR="00586646" w:rsidRPr="005E66E7">
        <w:t xml:space="preserve"> to injection drug use.</w:t>
      </w:r>
      <w:r w:rsidR="00434A5A">
        <w:rPr>
          <w:rStyle w:val="FootnoteReference"/>
        </w:rPr>
        <w:footnoteReference w:id="13"/>
      </w:r>
      <w:r w:rsidR="00BC6ECF">
        <w:t xml:space="preserve"> </w:t>
      </w:r>
    </w:p>
    <w:p w14:paraId="409BCE40" w14:textId="282BF3FC" w:rsidR="00EE00B2" w:rsidRPr="005E66E7" w:rsidRDefault="005E66E7" w:rsidP="00B85CCA">
      <w:pPr>
        <w:pStyle w:val="NoSpacing"/>
        <w:numPr>
          <w:ilvl w:val="0"/>
          <w:numId w:val="43"/>
        </w:numPr>
      </w:pPr>
      <w:r w:rsidRPr="005E66E7">
        <w:t>Almost three-quarters (</w:t>
      </w:r>
      <w:r w:rsidR="007A1BBA" w:rsidRPr="005E66E7">
        <w:t>72.2%</w:t>
      </w:r>
      <w:r w:rsidRPr="005E66E7">
        <w:t>)</w:t>
      </w:r>
      <w:r w:rsidR="007A1BBA" w:rsidRPr="005E66E7">
        <w:t xml:space="preserve"> of New England Region respondents in the</w:t>
      </w:r>
      <w:r w:rsidR="00140695" w:rsidRPr="005E66E7">
        <w:t xml:space="preserve"> DEA 2016 Drug Threat Report</w:t>
      </w:r>
      <w:r w:rsidR="007A1BBA" w:rsidRPr="005E66E7">
        <w:t xml:space="preserve"> reported that </w:t>
      </w:r>
      <w:r w:rsidR="00140695" w:rsidRPr="005E66E7">
        <w:t>heroin contributes</w:t>
      </w:r>
      <w:r w:rsidR="007A1BBA" w:rsidRPr="005E66E7">
        <w:t xml:space="preserve"> </w:t>
      </w:r>
      <w:r w:rsidRPr="005E66E7">
        <w:t xml:space="preserve">most </w:t>
      </w:r>
      <w:r w:rsidR="007A1BBA" w:rsidRPr="005E66E7">
        <w:t xml:space="preserve">to property crime, </w:t>
      </w:r>
      <w:r w:rsidRPr="005E66E7">
        <w:t>while</w:t>
      </w:r>
      <w:r w:rsidR="00140695" w:rsidRPr="005E66E7">
        <w:t xml:space="preserve"> 14.3% </w:t>
      </w:r>
      <w:r w:rsidRPr="005E66E7">
        <w:t xml:space="preserve">believed </w:t>
      </w:r>
      <w:r w:rsidR="007A1BBA" w:rsidRPr="005E66E7">
        <w:t xml:space="preserve"> that CPDs contribute</w:t>
      </w:r>
      <w:r w:rsidRPr="005E66E7">
        <w:t xml:space="preserve"> most</w:t>
      </w:r>
      <w:r w:rsidR="00140695" w:rsidRPr="005E66E7">
        <w:t>.</w:t>
      </w:r>
    </w:p>
    <w:p w14:paraId="348F6AE8" w14:textId="602DBC4B" w:rsidR="007A1BBA" w:rsidRPr="005E66E7" w:rsidRDefault="005E66E7" w:rsidP="007A1BBA">
      <w:pPr>
        <w:pStyle w:val="NoSpacing"/>
        <w:numPr>
          <w:ilvl w:val="0"/>
          <w:numId w:val="43"/>
        </w:numPr>
      </w:pPr>
      <w:r w:rsidRPr="005E66E7">
        <w:t>Approximately one-in-three (</w:t>
      </w:r>
      <w:r w:rsidR="007A1BBA" w:rsidRPr="005E66E7">
        <w:t>31.6%</w:t>
      </w:r>
      <w:r w:rsidRPr="005E66E7">
        <w:t>)</w:t>
      </w:r>
      <w:r w:rsidR="007A1BBA" w:rsidRPr="005E66E7">
        <w:t xml:space="preserve"> of </w:t>
      </w:r>
      <w:r w:rsidRPr="005E66E7">
        <w:t xml:space="preserve">DEA </w:t>
      </w:r>
      <w:r w:rsidR="007A1BBA" w:rsidRPr="005E66E7">
        <w:t xml:space="preserve">respondents reported heroin as the drug </w:t>
      </w:r>
      <w:r w:rsidRPr="005E66E7">
        <w:t xml:space="preserve">that contributes the most </w:t>
      </w:r>
      <w:r w:rsidR="007A1BBA" w:rsidRPr="005E66E7">
        <w:t>for violent crime</w:t>
      </w:r>
      <w:r w:rsidRPr="005E66E7">
        <w:t>;</w:t>
      </w:r>
      <w:r w:rsidR="007A1BBA" w:rsidRPr="005E66E7">
        <w:t xml:space="preserve"> 10.7% reported CPDs as contributing</w:t>
      </w:r>
      <w:r w:rsidRPr="005E66E7">
        <w:t xml:space="preserve"> most to violent crime</w:t>
      </w:r>
      <w:r w:rsidR="007A1BBA" w:rsidRPr="005E66E7">
        <w:t>.</w:t>
      </w:r>
      <w:r w:rsidR="00434A5A">
        <w:rPr>
          <w:rStyle w:val="FootnoteReference"/>
        </w:rPr>
        <w:footnoteReference w:id="14"/>
      </w:r>
      <w:r w:rsidR="00BC6ECF">
        <w:t xml:space="preserve"> </w:t>
      </w:r>
    </w:p>
    <w:p w14:paraId="536BBA9E" w14:textId="3508FAEF" w:rsidR="00EB4A99" w:rsidRDefault="003C1517" w:rsidP="00B85CCA">
      <w:pPr>
        <w:pStyle w:val="NoSpacing"/>
        <w:numPr>
          <w:ilvl w:val="0"/>
          <w:numId w:val="43"/>
        </w:numPr>
      </w:pPr>
      <w:r w:rsidRPr="005E66E7">
        <w:t xml:space="preserve">In 2013, the total economic burden </w:t>
      </w:r>
      <w:r w:rsidR="00905559" w:rsidRPr="005E66E7">
        <w:t xml:space="preserve">nationwide </w:t>
      </w:r>
      <w:r w:rsidRPr="005E66E7">
        <w:t xml:space="preserve">of prescription </w:t>
      </w:r>
      <w:r>
        <w:t xml:space="preserve">drug overdose, abuse and dependence was estimated to be $78.5 billion. </w:t>
      </w:r>
    </w:p>
    <w:p w14:paraId="1BCC82E7" w14:textId="15FE4015" w:rsidR="00EB4A99" w:rsidRDefault="00EB4A99" w:rsidP="00EB4A99">
      <w:pPr>
        <w:pStyle w:val="NoSpacing"/>
        <w:numPr>
          <w:ilvl w:val="0"/>
          <w:numId w:val="44"/>
        </w:numPr>
        <w:rPr>
          <w:rFonts w:cs="YaleNew-Roman"/>
        </w:rPr>
      </w:pPr>
      <w:r>
        <w:rPr>
          <w:rFonts w:cs="YaleNew-Roman"/>
        </w:rPr>
        <w:t>In 2015, Connecticut spent over $294 million on heal</w:t>
      </w:r>
      <w:r w:rsidR="00905559">
        <w:rPr>
          <w:rFonts w:cs="YaleNew-Roman"/>
        </w:rPr>
        <w:t xml:space="preserve">th care costs from opioid use, an estimated </w:t>
      </w:r>
      <w:r>
        <w:rPr>
          <w:rFonts w:cs="YaleNew-Roman"/>
        </w:rPr>
        <w:t>1.2%</w:t>
      </w:r>
      <w:r w:rsidR="00905559">
        <w:rPr>
          <w:rFonts w:cs="YaleNew-Roman"/>
        </w:rPr>
        <w:t xml:space="preserve"> of the state’s total health care costs</w:t>
      </w:r>
      <w:r>
        <w:rPr>
          <w:rFonts w:cs="YaleNew-Roman"/>
        </w:rPr>
        <w:t>.</w:t>
      </w:r>
      <w:r w:rsidR="00434A5A">
        <w:rPr>
          <w:rStyle w:val="FootnoteReference"/>
          <w:rFonts w:cs="YaleNew-Roman"/>
        </w:rPr>
        <w:footnoteReference w:id="15"/>
      </w:r>
      <w:r>
        <w:rPr>
          <w:rFonts w:cs="YaleNew-Roman"/>
        </w:rPr>
        <w:t xml:space="preserve"> (24)</w:t>
      </w:r>
    </w:p>
    <w:p w14:paraId="0FC6A253" w14:textId="554F8A0D" w:rsidR="00EB4A99" w:rsidRPr="00AC7C53" w:rsidRDefault="00EB4A99" w:rsidP="00EB4A99">
      <w:pPr>
        <w:pStyle w:val="NoSpacing"/>
        <w:numPr>
          <w:ilvl w:val="0"/>
          <w:numId w:val="44"/>
        </w:numPr>
        <w:rPr>
          <w:rFonts w:cs="YaleNew-Roman"/>
        </w:rPr>
      </w:pPr>
      <w:r w:rsidRPr="005E66E7">
        <w:rPr>
          <w:bCs/>
        </w:rPr>
        <w:t>$55 billion</w:t>
      </w:r>
      <w:r>
        <w:rPr>
          <w:b/>
          <w:bCs/>
        </w:rPr>
        <w:t xml:space="preserve"> </w:t>
      </w:r>
      <w:r>
        <w:rPr>
          <w:rFonts w:cs="Helvetica"/>
        </w:rPr>
        <w:t>in health and social costs related to prescrip</w:t>
      </w:r>
      <w:r w:rsidR="00BC6ECF">
        <w:rPr>
          <w:rFonts w:cs="Helvetica"/>
        </w:rPr>
        <w:t>tion opioid abuse each year</w:t>
      </w:r>
      <w:r>
        <w:rPr>
          <w:rFonts w:cs="Helvetica"/>
        </w:rPr>
        <w:t>.</w:t>
      </w:r>
      <w:r w:rsidR="00434A5A">
        <w:rPr>
          <w:rStyle w:val="FootnoteReference"/>
          <w:rFonts w:cs="Helvetica"/>
        </w:rPr>
        <w:footnoteReference w:id="16"/>
      </w:r>
    </w:p>
    <w:p w14:paraId="524E0BCA" w14:textId="6A6FF8AD" w:rsidR="00EB4A99" w:rsidRDefault="00EB4A99" w:rsidP="00EB4A99">
      <w:pPr>
        <w:pStyle w:val="NoSpacing"/>
        <w:numPr>
          <w:ilvl w:val="0"/>
          <w:numId w:val="44"/>
        </w:numPr>
        <w:rPr>
          <w:rFonts w:cs="YaleNew-Roman"/>
        </w:rPr>
      </w:pPr>
      <w:r w:rsidRPr="005E66E7">
        <w:t>$</w:t>
      </w:r>
      <w:r w:rsidRPr="005E66E7">
        <w:rPr>
          <w:bCs/>
        </w:rPr>
        <w:t>20 billion</w:t>
      </w:r>
      <w:r>
        <w:rPr>
          <w:b/>
          <w:bCs/>
        </w:rPr>
        <w:t xml:space="preserve"> </w:t>
      </w:r>
      <w:r>
        <w:rPr>
          <w:rFonts w:cs="Helvetica"/>
        </w:rPr>
        <w:t>in emergency department and inpatient</w:t>
      </w:r>
      <w:r w:rsidR="00BC6ECF">
        <w:rPr>
          <w:rFonts w:cs="Helvetica"/>
        </w:rPr>
        <w:t xml:space="preserve"> care for opioid poisonings</w:t>
      </w:r>
      <w:r>
        <w:rPr>
          <w:rFonts w:cs="Helvetica"/>
        </w:rPr>
        <w:t>.</w:t>
      </w:r>
      <w:r w:rsidR="00434A5A">
        <w:rPr>
          <w:rFonts w:cs="Helvetica"/>
          <w:vertAlign w:val="superscript"/>
        </w:rPr>
        <w:t>12</w:t>
      </w:r>
    </w:p>
    <w:p w14:paraId="60BFFBE6" w14:textId="089EA6FD" w:rsidR="00C55117" w:rsidRDefault="00C55117" w:rsidP="00C414E3">
      <w:pPr>
        <w:pStyle w:val="NoSpacing"/>
        <w:rPr>
          <w:b/>
          <w:highlight w:val="lightGray"/>
        </w:rPr>
      </w:pPr>
    </w:p>
    <w:p w14:paraId="41CDE114" w14:textId="31673DF0" w:rsidR="007F5667" w:rsidRPr="00042E72" w:rsidRDefault="007F5667" w:rsidP="00C414E3">
      <w:pPr>
        <w:pStyle w:val="NoSpacing"/>
        <w:rPr>
          <w:b/>
          <w:u w:val="single"/>
        </w:rPr>
      </w:pPr>
      <w:r w:rsidRPr="00042E72">
        <w:rPr>
          <w:b/>
          <w:u w:val="single"/>
        </w:rPr>
        <w:t>Selected Indicators</w:t>
      </w:r>
    </w:p>
    <w:p w14:paraId="12409CC7" w14:textId="77777777" w:rsidR="007F5667" w:rsidRPr="00042E72" w:rsidRDefault="007F5667" w:rsidP="00C414E3">
      <w:pPr>
        <w:pStyle w:val="NoSpacing"/>
      </w:pPr>
    </w:p>
    <w:p w14:paraId="699273BD" w14:textId="77777777" w:rsidR="004A3F14" w:rsidRPr="00042E72" w:rsidRDefault="004A3F14" w:rsidP="004A3F14">
      <w:pPr>
        <w:pStyle w:val="NoSpacing"/>
        <w:numPr>
          <w:ilvl w:val="0"/>
          <w:numId w:val="33"/>
        </w:numPr>
      </w:pPr>
      <w:r w:rsidRPr="00042E72">
        <w:t>NSDUH</w:t>
      </w:r>
    </w:p>
    <w:p w14:paraId="2AE47B8E" w14:textId="2281FFE6" w:rsidR="004A3F14" w:rsidRPr="00042E72" w:rsidRDefault="00A93247" w:rsidP="004A3F14">
      <w:pPr>
        <w:pStyle w:val="NoSpacing"/>
        <w:numPr>
          <w:ilvl w:val="0"/>
          <w:numId w:val="33"/>
        </w:numPr>
      </w:pPr>
      <w:r>
        <w:t>Connecticut School Health Survey (</w:t>
      </w:r>
      <w:r w:rsidR="004A3F14" w:rsidRPr="00042E72">
        <w:t>YRBSS</w:t>
      </w:r>
      <w:r>
        <w:t>)</w:t>
      </w:r>
    </w:p>
    <w:p w14:paraId="53CB2FF8" w14:textId="10F4E96A" w:rsidR="007F5667" w:rsidRPr="00042E72" w:rsidRDefault="007F5667" w:rsidP="00234C84">
      <w:pPr>
        <w:pStyle w:val="NoSpacing"/>
        <w:numPr>
          <w:ilvl w:val="0"/>
          <w:numId w:val="33"/>
        </w:numPr>
      </w:pPr>
      <w:r w:rsidRPr="00042E72">
        <w:t>Subst</w:t>
      </w:r>
      <w:r w:rsidR="007702F4" w:rsidRPr="00042E72">
        <w:t>ance Abuse Treatment Admissions</w:t>
      </w:r>
    </w:p>
    <w:p w14:paraId="34FC2758" w14:textId="69D13C9A" w:rsidR="007F5667" w:rsidRPr="00042E72" w:rsidRDefault="007F5667" w:rsidP="00234C84">
      <w:pPr>
        <w:pStyle w:val="NoSpacing"/>
        <w:numPr>
          <w:ilvl w:val="0"/>
          <w:numId w:val="33"/>
        </w:numPr>
      </w:pPr>
      <w:r w:rsidRPr="00042E72">
        <w:t>Emergency Room Visits</w:t>
      </w:r>
      <w:r w:rsidR="004A3F14" w:rsidRPr="00042E72">
        <w:t xml:space="preserve"> Involving Opioids Overdoses</w:t>
      </w:r>
    </w:p>
    <w:p w14:paraId="2A3E9795" w14:textId="3467C32F" w:rsidR="001F5FEA" w:rsidRPr="00042E72" w:rsidRDefault="002C10D2" w:rsidP="00234C84">
      <w:pPr>
        <w:pStyle w:val="NoSpacing"/>
        <w:numPr>
          <w:ilvl w:val="0"/>
          <w:numId w:val="33"/>
        </w:numPr>
      </w:pPr>
      <w:r w:rsidRPr="00042E72">
        <w:t>Opioid</w:t>
      </w:r>
      <w:r w:rsidR="007702F4" w:rsidRPr="00042E72">
        <w:t xml:space="preserve"> Overdose Deaths</w:t>
      </w:r>
    </w:p>
    <w:p w14:paraId="1882F3E6" w14:textId="40E86F20" w:rsidR="00D7199E" w:rsidRPr="00042E72" w:rsidRDefault="00D7199E" w:rsidP="00D7199E">
      <w:pPr>
        <w:pStyle w:val="NoSpacing"/>
        <w:numPr>
          <w:ilvl w:val="0"/>
          <w:numId w:val="33"/>
        </w:numPr>
      </w:pPr>
      <w:r w:rsidRPr="00042E72">
        <w:t xml:space="preserve">CT Prescription Monitoring and Reporting System </w:t>
      </w:r>
    </w:p>
    <w:p w14:paraId="12E30A79" w14:textId="1A64B7DA" w:rsidR="0064103B" w:rsidRPr="00042E72" w:rsidRDefault="009A771C" w:rsidP="00234C84">
      <w:pPr>
        <w:pStyle w:val="NoSpacing"/>
        <w:numPr>
          <w:ilvl w:val="0"/>
          <w:numId w:val="33"/>
        </w:numPr>
      </w:pPr>
      <w:r w:rsidRPr="00042E72">
        <w:t>Drug Arrest</w:t>
      </w:r>
      <w:r w:rsidR="004A3F14" w:rsidRPr="00042E72">
        <w:t>s</w:t>
      </w:r>
    </w:p>
    <w:p w14:paraId="24EDE1B1" w14:textId="6122B9FC" w:rsidR="004A3F14" w:rsidRPr="00042E72" w:rsidRDefault="004A3F14" w:rsidP="00234C84">
      <w:pPr>
        <w:pStyle w:val="NoSpacing"/>
        <w:numPr>
          <w:ilvl w:val="0"/>
          <w:numId w:val="33"/>
        </w:numPr>
      </w:pPr>
      <w:r w:rsidRPr="00042E72">
        <w:t>NAS Rates</w:t>
      </w:r>
    </w:p>
    <w:p w14:paraId="0C45E8DE" w14:textId="4F5D6A3D" w:rsidR="005122F6" w:rsidRDefault="005122F6" w:rsidP="00234C84">
      <w:pPr>
        <w:pStyle w:val="NoSpacing"/>
        <w:numPr>
          <w:ilvl w:val="0"/>
          <w:numId w:val="33"/>
        </w:numPr>
      </w:pPr>
      <w:r w:rsidRPr="00042E72">
        <w:t>DEA Drug Threat Report</w:t>
      </w:r>
    </w:p>
    <w:p w14:paraId="664A2DA0" w14:textId="784882FF" w:rsidR="00905559" w:rsidRDefault="00905559" w:rsidP="00234C84">
      <w:pPr>
        <w:pStyle w:val="NoSpacing"/>
        <w:numPr>
          <w:ilvl w:val="0"/>
          <w:numId w:val="33"/>
        </w:numPr>
      </w:pPr>
      <w:r>
        <w:t xml:space="preserve">School Attendance </w:t>
      </w:r>
    </w:p>
    <w:p w14:paraId="04D79C23" w14:textId="7A192FDD" w:rsidR="00905559" w:rsidRPr="00042E72" w:rsidRDefault="00905559" w:rsidP="00EE00B2">
      <w:pPr>
        <w:pStyle w:val="NoSpacing"/>
        <w:numPr>
          <w:ilvl w:val="0"/>
          <w:numId w:val="33"/>
        </w:numPr>
      </w:pPr>
      <w:r>
        <w:t>School Suspensions/Expulsions</w:t>
      </w:r>
    </w:p>
    <w:p w14:paraId="4C7620D0" w14:textId="1D9AA330" w:rsidR="000B204F" w:rsidRPr="000B204F" w:rsidRDefault="000B204F" w:rsidP="00C414E3">
      <w:pPr>
        <w:pStyle w:val="NoSpacing"/>
      </w:pPr>
    </w:p>
    <w:p w14:paraId="22B7C74A" w14:textId="7B1678D6" w:rsidR="00555614" w:rsidRPr="00527630" w:rsidRDefault="00FD21DA" w:rsidP="00C414E3">
      <w:pPr>
        <w:pStyle w:val="NoSpacing"/>
        <w:rPr>
          <w:b/>
          <w:u w:val="single"/>
        </w:rPr>
      </w:pPr>
      <w:r>
        <w:rPr>
          <w:b/>
          <w:u w:val="single"/>
        </w:rPr>
        <w:t xml:space="preserve">Additional </w:t>
      </w:r>
      <w:r w:rsidR="00586646" w:rsidRPr="00527630">
        <w:rPr>
          <w:b/>
          <w:u w:val="single"/>
        </w:rPr>
        <w:t>Sources</w:t>
      </w:r>
      <w:r>
        <w:rPr>
          <w:b/>
          <w:u w:val="single"/>
        </w:rPr>
        <w:t xml:space="preserve"> for Information</w:t>
      </w:r>
    </w:p>
    <w:p w14:paraId="266B467F" w14:textId="34930486" w:rsidR="00586646" w:rsidRDefault="00586646" w:rsidP="00C414E3">
      <w:pPr>
        <w:pStyle w:val="NoSpacing"/>
      </w:pPr>
    </w:p>
    <w:p w14:paraId="49B00534" w14:textId="181C5008" w:rsidR="00586646" w:rsidRPr="007C418C" w:rsidRDefault="00810783" w:rsidP="004336FC">
      <w:pPr>
        <w:pStyle w:val="NoSpacing"/>
        <w:numPr>
          <w:ilvl w:val="0"/>
          <w:numId w:val="34"/>
        </w:numPr>
        <w:rPr>
          <w:rStyle w:val="Hyperlink"/>
          <w:color w:val="auto"/>
          <w:u w:val="none"/>
        </w:rPr>
      </w:pPr>
      <w:hyperlink r:id="rId13" w:history="1">
        <w:r w:rsidR="00586646" w:rsidRPr="007C418C">
          <w:rPr>
            <w:rStyle w:val="Hyperlink"/>
          </w:rPr>
          <w:t>http://das.ct.gov/Digest/Digest_2016/Mental%20Health%20and%20Addiction%20Services,%20Department%20of.pdf</w:t>
        </w:r>
      </w:hyperlink>
    </w:p>
    <w:p w14:paraId="00C47E33" w14:textId="280F0E9B" w:rsidR="00586646" w:rsidRPr="007C418C" w:rsidRDefault="00810783" w:rsidP="004336FC">
      <w:pPr>
        <w:pStyle w:val="NoSpacing"/>
        <w:numPr>
          <w:ilvl w:val="0"/>
          <w:numId w:val="34"/>
        </w:numPr>
        <w:rPr>
          <w:rStyle w:val="Hyperlink"/>
          <w:color w:val="auto"/>
          <w:u w:val="none"/>
        </w:rPr>
      </w:pPr>
      <w:hyperlink r:id="rId14" w:history="1">
        <w:r w:rsidR="00586646" w:rsidRPr="007C418C">
          <w:rPr>
            <w:rStyle w:val="Hyperlink"/>
            <w:b/>
          </w:rPr>
          <w:t>https://wwwn.cdc.gov/psr/</w:t>
        </w:r>
      </w:hyperlink>
    </w:p>
    <w:p w14:paraId="2599C959" w14:textId="645E69A3" w:rsidR="00586646" w:rsidRPr="007C418C" w:rsidRDefault="00810783" w:rsidP="004336FC">
      <w:pPr>
        <w:pStyle w:val="NoSpacing"/>
        <w:numPr>
          <w:ilvl w:val="0"/>
          <w:numId w:val="34"/>
        </w:numPr>
      </w:pPr>
      <w:hyperlink r:id="rId15" w:history="1">
        <w:r w:rsidR="00586646" w:rsidRPr="007C418C">
          <w:rPr>
            <w:rStyle w:val="Hyperlink"/>
          </w:rPr>
          <w:t>http://www.ct.gov/dmhas/lib/dmhas/publications/CT-STR_to_Opioid_Crisis.pdf</w:t>
        </w:r>
      </w:hyperlink>
    </w:p>
    <w:p w14:paraId="216D1903" w14:textId="56E4C2A8" w:rsidR="00586646" w:rsidRPr="007C418C" w:rsidRDefault="00810783" w:rsidP="004336FC">
      <w:pPr>
        <w:pStyle w:val="NoSpacing"/>
        <w:numPr>
          <w:ilvl w:val="0"/>
          <w:numId w:val="34"/>
        </w:numPr>
        <w:rPr>
          <w:rStyle w:val="Hyperlink"/>
          <w:color w:val="auto"/>
          <w:u w:val="none"/>
        </w:rPr>
      </w:pPr>
      <w:hyperlink r:id="rId16" w:history="1">
        <w:r w:rsidR="00586646" w:rsidRPr="007C418C">
          <w:rPr>
            <w:rStyle w:val="Hyperlink"/>
          </w:rPr>
          <w:t>https://www.cdc.gov/drugoverdose/data/statedeaths.html</w:t>
        </w:r>
      </w:hyperlink>
    </w:p>
    <w:p w14:paraId="567F5AC2" w14:textId="644E99CD" w:rsidR="00586646" w:rsidRPr="007C418C" w:rsidRDefault="003C1517" w:rsidP="004336FC">
      <w:pPr>
        <w:pStyle w:val="NoSpacing"/>
        <w:numPr>
          <w:ilvl w:val="0"/>
          <w:numId w:val="34"/>
        </w:numPr>
      </w:pPr>
      <w:r w:rsidRPr="007C418C">
        <w:rPr>
          <w:kern w:val="36"/>
        </w:rPr>
        <w:t>Tadros MD, et al., (2015). Emergency visits for prescription opioid p</w:t>
      </w:r>
      <w:r w:rsidR="00586646" w:rsidRPr="007C418C">
        <w:rPr>
          <w:kern w:val="36"/>
        </w:rPr>
        <w:t xml:space="preserve">oisonings, </w:t>
      </w:r>
      <w:hyperlink r:id="rId17" w:tooltip="Go to The Journal of Emergency Medicine on ScienceDirect" w:history="1">
        <w:r w:rsidR="00586646" w:rsidRPr="007C418C">
          <w:rPr>
            <w:u w:val="single"/>
            <w:bdr w:val="none" w:sz="0" w:space="0" w:color="auto" w:frame="1"/>
          </w:rPr>
          <w:t>The Journal of Emergency Medicine</w:t>
        </w:r>
      </w:hyperlink>
      <w:r w:rsidR="00586646" w:rsidRPr="007C418C">
        <w:t xml:space="preserve">, </w:t>
      </w:r>
      <w:hyperlink r:id="rId18" w:tooltip="Go to table of contents for this volume/issue" w:history="1">
        <w:r w:rsidR="00586646" w:rsidRPr="007C418C">
          <w:t>49</w:t>
        </w:r>
        <w:r w:rsidRPr="007C418C">
          <w:t>(</w:t>
        </w:r>
        <w:r w:rsidR="00586646" w:rsidRPr="007C418C">
          <w:t>6</w:t>
        </w:r>
      </w:hyperlink>
      <w:r w:rsidRPr="007C418C">
        <w:t>)</w:t>
      </w:r>
      <w:r w:rsidR="00586646" w:rsidRPr="007C418C">
        <w:t>, 871–877</w:t>
      </w:r>
    </w:p>
    <w:p w14:paraId="47586045" w14:textId="27554CE3" w:rsidR="00586646" w:rsidRPr="007C418C" w:rsidRDefault="00810783" w:rsidP="004336FC">
      <w:pPr>
        <w:pStyle w:val="NoSpacing"/>
        <w:numPr>
          <w:ilvl w:val="0"/>
          <w:numId w:val="34"/>
        </w:numPr>
        <w:rPr>
          <w:rFonts w:cs="Arial"/>
          <w:shd w:val="clear" w:color="auto" w:fill="FFFFFF"/>
        </w:rPr>
      </w:pPr>
      <w:hyperlink r:id="rId19" w:history="1">
        <w:r w:rsidR="003C1517" w:rsidRPr="007C418C">
          <w:rPr>
            <w:rStyle w:val="Hyperlink"/>
            <w:rFonts w:cs="Arial"/>
            <w:color w:val="660066"/>
          </w:rPr>
          <w:t>Birnbaum HG</w:t>
        </w:r>
      </w:hyperlink>
      <w:r w:rsidR="003C1517" w:rsidRPr="007C418C">
        <w:rPr>
          <w:rFonts w:cs="Arial"/>
        </w:rPr>
        <w:t>, </w:t>
      </w:r>
      <w:hyperlink r:id="rId20" w:history="1">
        <w:r w:rsidR="003C1517" w:rsidRPr="007C418C">
          <w:rPr>
            <w:rStyle w:val="Hyperlink"/>
            <w:rFonts w:cs="Arial"/>
            <w:color w:val="660066"/>
          </w:rPr>
          <w:t>White AG</w:t>
        </w:r>
      </w:hyperlink>
      <w:r w:rsidR="003C1517" w:rsidRPr="007C418C">
        <w:rPr>
          <w:rFonts w:cs="Arial"/>
        </w:rPr>
        <w:t>, </w:t>
      </w:r>
      <w:hyperlink r:id="rId21" w:history="1">
        <w:r w:rsidR="003C1517" w:rsidRPr="007C418C">
          <w:rPr>
            <w:rStyle w:val="Hyperlink"/>
            <w:rFonts w:cs="Arial"/>
            <w:color w:val="660066"/>
          </w:rPr>
          <w:t>Schiller M</w:t>
        </w:r>
      </w:hyperlink>
      <w:r w:rsidR="003C1517" w:rsidRPr="007C418C">
        <w:rPr>
          <w:rFonts w:cs="Arial"/>
        </w:rPr>
        <w:t>, </w:t>
      </w:r>
      <w:hyperlink r:id="rId22" w:history="1">
        <w:r w:rsidR="003C1517" w:rsidRPr="007C418C">
          <w:rPr>
            <w:rStyle w:val="Hyperlink"/>
            <w:rFonts w:cs="Arial"/>
            <w:color w:val="660066"/>
          </w:rPr>
          <w:t>Waldman T</w:t>
        </w:r>
      </w:hyperlink>
      <w:r w:rsidR="003C1517" w:rsidRPr="007C418C">
        <w:rPr>
          <w:rFonts w:cs="Arial"/>
        </w:rPr>
        <w:t>, </w:t>
      </w:r>
      <w:hyperlink r:id="rId23" w:history="1">
        <w:r w:rsidR="003C1517" w:rsidRPr="007C418C">
          <w:rPr>
            <w:rStyle w:val="Hyperlink"/>
            <w:rFonts w:cs="Arial"/>
            <w:color w:val="660066"/>
          </w:rPr>
          <w:t>Cleveland JM</w:t>
        </w:r>
      </w:hyperlink>
      <w:r w:rsidR="003C1517" w:rsidRPr="007C418C">
        <w:rPr>
          <w:rFonts w:cs="Arial"/>
        </w:rPr>
        <w:t>, </w:t>
      </w:r>
      <w:hyperlink r:id="rId24" w:history="1">
        <w:r w:rsidR="003C1517" w:rsidRPr="007C418C">
          <w:rPr>
            <w:rStyle w:val="Hyperlink"/>
            <w:rFonts w:cs="Arial"/>
            <w:color w:val="660066"/>
          </w:rPr>
          <w:t>Roland CL</w:t>
        </w:r>
      </w:hyperlink>
      <w:r w:rsidR="003C1517" w:rsidRPr="007C418C">
        <w:rPr>
          <w:rStyle w:val="Hyperlink"/>
          <w:rFonts w:cs="Arial"/>
          <w:color w:val="660066"/>
        </w:rPr>
        <w:t>. (2011).</w:t>
      </w:r>
      <w:r w:rsidR="003C1517" w:rsidRPr="007C418C">
        <w:rPr>
          <w:rFonts w:cs="Arial"/>
          <w:shd w:val="clear" w:color="auto" w:fill="FFFFFF"/>
        </w:rPr>
        <w:t xml:space="preserve"> </w:t>
      </w:r>
      <w:r w:rsidR="003C1517" w:rsidRPr="007C418C">
        <w:rPr>
          <w:rFonts w:cs="Arial"/>
        </w:rPr>
        <w:t>Societal costs of prescription opioid abuse, dependence, and misuse in the United States.</w:t>
      </w:r>
      <w:r w:rsidR="003C1517" w:rsidRPr="007C418C">
        <w:rPr>
          <w:rFonts w:cs="Arial"/>
          <w:shd w:val="clear" w:color="auto" w:fill="FFFFFF"/>
        </w:rPr>
        <w:t xml:space="preserve"> </w:t>
      </w:r>
      <w:hyperlink r:id="rId25" w:tooltip="Pain medicine (Malden, Mass.)." w:history="1">
        <w:r w:rsidR="00586646" w:rsidRPr="007C418C">
          <w:rPr>
            <w:rStyle w:val="Hyperlink"/>
            <w:rFonts w:cs="Arial"/>
            <w:color w:val="660066"/>
          </w:rPr>
          <w:t>Pain Med</w:t>
        </w:r>
        <w:r w:rsidR="003C1517" w:rsidRPr="007C418C">
          <w:rPr>
            <w:rStyle w:val="Hyperlink"/>
            <w:rFonts w:cs="Arial"/>
            <w:color w:val="660066"/>
          </w:rPr>
          <w:t>icine</w:t>
        </w:r>
        <w:r w:rsidR="00586646" w:rsidRPr="007C418C">
          <w:rPr>
            <w:rStyle w:val="Hyperlink"/>
            <w:rFonts w:cs="Arial"/>
            <w:color w:val="660066"/>
          </w:rPr>
          <w:t>.</w:t>
        </w:r>
      </w:hyperlink>
      <w:r w:rsidR="00586646" w:rsidRPr="007C418C">
        <w:rPr>
          <w:rFonts w:cs="Arial"/>
        </w:rPr>
        <w:t xml:space="preserve"> 12(4):657-67. </w:t>
      </w:r>
      <w:r w:rsidR="003C1517" w:rsidRPr="007C418C">
        <w:rPr>
          <w:rFonts w:cs="Arial"/>
        </w:rPr>
        <w:t>(</w:t>
      </w:r>
      <w:r w:rsidR="00586646" w:rsidRPr="007C418C">
        <w:rPr>
          <w:rFonts w:cs="Arial"/>
        </w:rPr>
        <w:t>doi: 10.1111/j.1526-4637.2011.01075.x.)</w:t>
      </w:r>
    </w:p>
    <w:p w14:paraId="7C1FB6EC" w14:textId="77777777" w:rsidR="003C1517" w:rsidRPr="007C418C" w:rsidRDefault="003C1517" w:rsidP="004336FC">
      <w:pPr>
        <w:pStyle w:val="NoSpacing"/>
        <w:numPr>
          <w:ilvl w:val="0"/>
          <w:numId w:val="34"/>
        </w:numPr>
      </w:pPr>
      <w:r w:rsidRPr="007C418C">
        <w:t xml:space="preserve">Birnbaum et al.  </w:t>
      </w:r>
    </w:p>
    <w:p w14:paraId="24721BFF" w14:textId="67B97BA3" w:rsidR="00586646" w:rsidRPr="007C418C" w:rsidRDefault="00810783" w:rsidP="004336FC">
      <w:pPr>
        <w:pStyle w:val="NoSpacing"/>
        <w:numPr>
          <w:ilvl w:val="0"/>
          <w:numId w:val="34"/>
        </w:numPr>
        <w:rPr>
          <w:rStyle w:val="Hyperlink"/>
          <w:color w:val="auto"/>
          <w:u w:val="none"/>
        </w:rPr>
      </w:pPr>
      <w:hyperlink r:id="rId26" w:history="1">
        <w:r w:rsidR="00586646" w:rsidRPr="007C418C">
          <w:rPr>
            <w:rStyle w:val="Hyperlink"/>
          </w:rPr>
          <w:t>http://www.ct.gov/dph/lib/dph/family_health/mchbg/ct_dph_mch_needs_assessment_data_report.pdf</w:t>
        </w:r>
      </w:hyperlink>
    </w:p>
    <w:p w14:paraId="10E2E339" w14:textId="03CC3E07" w:rsidR="00D03CF6" w:rsidRPr="007C418C" w:rsidRDefault="00D03CF6" w:rsidP="00D03CF6">
      <w:pPr>
        <w:pStyle w:val="NoSpacing"/>
        <w:numPr>
          <w:ilvl w:val="0"/>
          <w:numId w:val="34"/>
        </w:numPr>
        <w:rPr>
          <w:rStyle w:val="Hyperlink"/>
          <w:color w:val="auto"/>
          <w:u w:val="none"/>
        </w:rPr>
      </w:pPr>
      <w:r w:rsidRPr="007C418C">
        <w:rPr>
          <w:rStyle w:val="Hyperlink"/>
          <w:rFonts w:cs="Arial"/>
          <w:color w:val="auto"/>
          <w:u w:val="none"/>
        </w:rPr>
        <w:t xml:space="preserve">Unified Crime Report, 2015 </w:t>
      </w:r>
      <w:hyperlink r:id="rId27" w:history="1">
        <w:r w:rsidRPr="007C418C">
          <w:rPr>
            <w:rStyle w:val="Hyperlink"/>
            <w:rFonts w:cs="Arial"/>
          </w:rPr>
          <w:t>http://www.dpsdata.ct.gov/dps/ucr/data/2015/Crime%20in%20Connecticut%202015.pdf</w:t>
        </w:r>
      </w:hyperlink>
    </w:p>
    <w:p w14:paraId="4D743708" w14:textId="36EDF95A" w:rsidR="00E231D6" w:rsidRPr="007C418C" w:rsidRDefault="00810783" w:rsidP="00E231D6">
      <w:pPr>
        <w:pStyle w:val="NoSpacing"/>
        <w:numPr>
          <w:ilvl w:val="0"/>
          <w:numId w:val="34"/>
        </w:numPr>
        <w:rPr>
          <w:rStyle w:val="Hyperlink"/>
          <w:color w:val="auto"/>
          <w:u w:val="none"/>
        </w:rPr>
      </w:pPr>
      <w:hyperlink r:id="rId28" w:history="1">
        <w:r w:rsidR="002B3B1D" w:rsidRPr="007C418C">
          <w:rPr>
            <w:rStyle w:val="Hyperlink"/>
          </w:rPr>
          <w:t>https://www.bjs.gov/content/dcf/enforce.cfm</w:t>
        </w:r>
      </w:hyperlink>
    </w:p>
    <w:p w14:paraId="2FAFBB7D" w14:textId="18F7FF5B" w:rsidR="00D03CF6" w:rsidRPr="007C418C" w:rsidRDefault="00810783" w:rsidP="00C47CBD">
      <w:pPr>
        <w:pStyle w:val="NoSpacing"/>
        <w:numPr>
          <w:ilvl w:val="0"/>
          <w:numId w:val="34"/>
        </w:numPr>
        <w:rPr>
          <w:rStyle w:val="Hyperlink"/>
          <w:color w:val="auto"/>
          <w:u w:val="none"/>
        </w:rPr>
      </w:pPr>
      <w:hyperlink r:id="rId29" w:history="1">
        <w:r w:rsidR="001A6F16" w:rsidRPr="007C418C">
          <w:rPr>
            <w:rStyle w:val="Hyperlink"/>
          </w:rPr>
          <w:t>http://www.ct.gov/dmhas/lib/dmhas/eqmi/annualreportsfy2016.pdf</w:t>
        </w:r>
      </w:hyperlink>
    </w:p>
    <w:p w14:paraId="35841839" w14:textId="1D3847F1" w:rsidR="003C1517" w:rsidRPr="007C418C" w:rsidRDefault="003C1517" w:rsidP="00AC7C53">
      <w:pPr>
        <w:pStyle w:val="NoSpacing"/>
        <w:numPr>
          <w:ilvl w:val="0"/>
          <w:numId w:val="34"/>
        </w:numPr>
      </w:pPr>
      <w:r w:rsidRPr="007C418C">
        <w:t>Florence, CS, Zhou, C, Luo, F &amp; Xu, L. (2016). The economic burden of prescription opioid overdose, abuse, and dependence in the United States, 2013. Medical Care, 54(10):901-906. (doi:10:1097/MLR.0000000000000625.)</w:t>
      </w:r>
    </w:p>
    <w:p w14:paraId="44958560" w14:textId="77777777" w:rsidR="001366A4" w:rsidRPr="007C418C" w:rsidRDefault="001366A4" w:rsidP="001366A4">
      <w:pPr>
        <w:pStyle w:val="ListParagraph"/>
        <w:numPr>
          <w:ilvl w:val="0"/>
          <w:numId w:val="34"/>
        </w:numPr>
        <w:contextualSpacing w:val="0"/>
        <w:rPr>
          <w:rFonts w:asciiTheme="minorHAnsi" w:hAnsiTheme="minorHAnsi"/>
          <w:sz w:val="22"/>
          <w:szCs w:val="22"/>
        </w:rPr>
      </w:pPr>
      <w:r w:rsidRPr="007C418C">
        <w:rPr>
          <w:rFonts w:asciiTheme="minorHAnsi" w:hAnsiTheme="minorHAnsi"/>
          <w:sz w:val="22"/>
          <w:szCs w:val="22"/>
        </w:rPr>
        <w:t xml:space="preserve">Office of Justice Program, Bureau of Justice Statistics, </w:t>
      </w:r>
      <w:hyperlink r:id="rId30" w:history="1">
        <w:r w:rsidRPr="007C418C">
          <w:rPr>
            <w:rStyle w:val="Hyperlink"/>
            <w:rFonts w:asciiTheme="minorHAnsi" w:hAnsiTheme="minorHAnsi"/>
            <w:sz w:val="22"/>
            <w:szCs w:val="22"/>
          </w:rPr>
          <w:t>http://www.bjs.gov/content/dcf/duc.cfm</w:t>
        </w:r>
      </w:hyperlink>
    </w:p>
    <w:p w14:paraId="5B5A5BE4" w14:textId="77777777" w:rsidR="00810783" w:rsidRPr="00810783" w:rsidRDefault="00810783" w:rsidP="007C418C">
      <w:pPr>
        <w:pStyle w:val="ListParagraph"/>
        <w:numPr>
          <w:ilvl w:val="0"/>
          <w:numId w:val="34"/>
        </w:numPr>
        <w:rPr>
          <w:rFonts w:asciiTheme="minorHAnsi" w:hAnsiTheme="minorHAnsi"/>
          <w:color w:val="2C2C2C"/>
          <w:sz w:val="22"/>
          <w:szCs w:val="22"/>
        </w:rPr>
      </w:pPr>
      <w:hyperlink r:id="rId31" w:history="1">
        <w:r w:rsidRPr="00BA438F">
          <w:rPr>
            <w:rStyle w:val="Hyperlink"/>
            <w:rFonts w:asciiTheme="minorHAnsi" w:hAnsiTheme="minorHAnsi"/>
            <w:sz w:val="22"/>
            <w:szCs w:val="22"/>
            <w:lang w:val="ru-RU"/>
          </w:rPr>
          <w:t>http://aibolita.com/nervous-diseases/5051-opioids-and-crime.htm</w:t>
        </w:r>
        <w:r w:rsidRPr="00BA438F">
          <w:rPr>
            <w:rStyle w:val="Hyperlink"/>
            <w:rFonts w:asciiTheme="minorHAnsi" w:hAnsiTheme="minorHAnsi"/>
            <w:sz w:val="22"/>
            <w:szCs w:val="22"/>
          </w:rPr>
          <w:t>l</w:t>
        </w:r>
      </w:hyperlink>
      <w:r>
        <w:rPr>
          <w:rFonts w:asciiTheme="minorHAnsi" w:hAnsiTheme="minorHAnsi"/>
          <w:sz w:val="22"/>
          <w:szCs w:val="22"/>
        </w:rPr>
        <w:t xml:space="preserve"> </w:t>
      </w:r>
    </w:p>
    <w:p w14:paraId="32ECB270" w14:textId="77777777" w:rsidR="00810783" w:rsidRDefault="00810783" w:rsidP="00810783">
      <w:pPr>
        <w:pStyle w:val="ListParagraph"/>
        <w:rPr>
          <w:rFonts w:asciiTheme="minorHAnsi" w:hAnsiTheme="minorHAnsi"/>
          <w:sz w:val="22"/>
          <w:szCs w:val="22"/>
        </w:rPr>
      </w:pPr>
    </w:p>
    <w:p w14:paraId="719EACFA" w14:textId="7382CDB8" w:rsidR="007C418C" w:rsidRPr="007C418C" w:rsidRDefault="00810783" w:rsidP="00810783">
      <w:pPr>
        <w:pStyle w:val="ListParagraph"/>
        <w:jc w:val="right"/>
        <w:rPr>
          <w:rFonts w:asciiTheme="minorHAnsi" w:hAnsiTheme="minorHAnsi"/>
          <w:color w:val="2C2C2C"/>
          <w:sz w:val="22"/>
          <w:szCs w:val="22"/>
        </w:rPr>
        <w:sectPr w:rsidR="007C418C" w:rsidRPr="007C418C" w:rsidSect="00143B45">
          <w:type w:val="continuous"/>
          <w:pgSz w:w="12240" w:h="15840"/>
          <w:pgMar w:top="1260" w:right="720" w:bottom="1530" w:left="720" w:header="720" w:footer="720" w:gutter="0"/>
          <w:cols w:num="2" w:space="720"/>
          <w:docGrid w:linePitch="360"/>
        </w:sectPr>
      </w:pPr>
      <w:r>
        <w:rPr>
          <w:rFonts w:asciiTheme="minorHAnsi" w:hAnsiTheme="minorHAnsi"/>
          <w:sz w:val="22"/>
          <w:szCs w:val="22"/>
        </w:rPr>
        <w:t>Updated September 2017</w:t>
      </w:r>
    </w:p>
    <w:p w14:paraId="675FB0A0" w14:textId="2C711C43" w:rsidR="00504F99" w:rsidRPr="000B204F" w:rsidRDefault="00504F99" w:rsidP="007C418C">
      <w:pPr>
        <w:rPr>
          <w:sz w:val="24"/>
          <w:szCs w:val="24"/>
        </w:rPr>
        <w:sectPr w:rsidR="00504F99" w:rsidRPr="000B204F" w:rsidSect="00A33E9C">
          <w:type w:val="continuous"/>
          <w:pgSz w:w="12240" w:h="15840"/>
          <w:pgMar w:top="1440" w:right="720" w:bottom="1440" w:left="720" w:header="720" w:footer="720" w:gutter="0"/>
          <w:cols w:space="720"/>
          <w:docGrid w:linePitch="360"/>
        </w:sectPr>
      </w:pPr>
    </w:p>
    <w:p w14:paraId="1143D1E3" w14:textId="263CFD37" w:rsidR="009B4D6B" w:rsidRPr="0029740D" w:rsidRDefault="009B4D6B" w:rsidP="00810783">
      <w:pPr>
        <w:rPr>
          <w:color w:val="1F4E79" w:themeColor="accent1" w:themeShade="80"/>
        </w:rPr>
      </w:pPr>
      <w:bookmarkStart w:id="0" w:name="_GoBack"/>
      <w:bookmarkEnd w:id="0"/>
    </w:p>
    <w:sectPr w:rsidR="009B4D6B" w:rsidRPr="0029740D" w:rsidSect="001866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B1807" w14:textId="77777777" w:rsidR="008C19BB" w:rsidRDefault="008C19BB" w:rsidP="008C19BB">
      <w:r>
        <w:separator/>
      </w:r>
    </w:p>
  </w:endnote>
  <w:endnote w:type="continuationSeparator" w:id="0">
    <w:p w14:paraId="166EFF21" w14:textId="77777777" w:rsidR="008C19BB" w:rsidRDefault="008C19BB" w:rsidP="008C1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YaleNew-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4233300"/>
      <w:docPartObj>
        <w:docPartGallery w:val="Page Numbers (Bottom of Page)"/>
        <w:docPartUnique/>
      </w:docPartObj>
    </w:sdtPr>
    <w:sdtEndPr>
      <w:rPr>
        <w:noProof/>
      </w:rPr>
    </w:sdtEndPr>
    <w:sdtContent>
      <w:p w14:paraId="540BF900" w14:textId="621D1A0F" w:rsidR="003F66F9" w:rsidRDefault="003F66F9">
        <w:pPr>
          <w:pStyle w:val="Footer"/>
        </w:pPr>
        <w:r>
          <w:fldChar w:fldCharType="begin"/>
        </w:r>
        <w:r>
          <w:instrText xml:space="preserve"> PAGE   \* MERGEFORMAT </w:instrText>
        </w:r>
        <w:r>
          <w:fldChar w:fldCharType="separate"/>
        </w:r>
        <w:r w:rsidR="00810783">
          <w:rPr>
            <w:noProof/>
          </w:rPr>
          <w:t>5</w:t>
        </w:r>
        <w:r>
          <w:rPr>
            <w:noProof/>
          </w:rPr>
          <w:fldChar w:fldCharType="end"/>
        </w:r>
      </w:p>
    </w:sdtContent>
  </w:sdt>
  <w:p w14:paraId="4457EDCB" w14:textId="77777777" w:rsidR="003F66F9" w:rsidRDefault="003F6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9B868" w14:textId="77777777" w:rsidR="008C19BB" w:rsidRDefault="008C19BB" w:rsidP="008C19BB">
      <w:r>
        <w:separator/>
      </w:r>
    </w:p>
  </w:footnote>
  <w:footnote w:type="continuationSeparator" w:id="0">
    <w:p w14:paraId="58CC301E" w14:textId="77777777" w:rsidR="008C19BB" w:rsidRDefault="008C19BB" w:rsidP="008C19BB">
      <w:r>
        <w:continuationSeparator/>
      </w:r>
    </w:p>
  </w:footnote>
  <w:footnote w:id="1">
    <w:p w14:paraId="1DD5D42D" w14:textId="19941A30" w:rsidR="00E76B81" w:rsidRPr="008549EF" w:rsidRDefault="00E76B81" w:rsidP="00E76B81">
      <w:pPr>
        <w:pStyle w:val="NoSpacing"/>
        <w:rPr>
          <w:rStyle w:val="Hyperlink"/>
          <w:color w:val="auto"/>
          <w:u w:val="none"/>
        </w:rPr>
      </w:pPr>
      <w:r>
        <w:rPr>
          <w:rStyle w:val="FootnoteReference"/>
        </w:rPr>
        <w:footnoteRef/>
      </w:r>
      <w:r>
        <w:t xml:space="preserve"> </w:t>
      </w:r>
      <w:hyperlink r:id="rId1" w:history="1">
        <w:r w:rsidRPr="00E76B81">
          <w:rPr>
            <w:rStyle w:val="Hyperlink"/>
            <w:sz w:val="16"/>
            <w:szCs w:val="16"/>
          </w:rPr>
          <w:t>https://www.ncsacw.samhsa.gov/files/Collaborative_Approach_508.pdf</w:t>
        </w:r>
      </w:hyperlink>
    </w:p>
    <w:p w14:paraId="6DDA51CD" w14:textId="53F3F694" w:rsidR="00E76B81" w:rsidRDefault="00E76B81">
      <w:pPr>
        <w:pStyle w:val="FootnoteText"/>
      </w:pPr>
    </w:p>
  </w:footnote>
  <w:footnote w:id="2">
    <w:p w14:paraId="3CA1AB70" w14:textId="77777777" w:rsidR="00E76B81" w:rsidRDefault="00E76B81" w:rsidP="00E76B81">
      <w:pPr>
        <w:pStyle w:val="NoSpacing"/>
        <w:rPr>
          <w:rStyle w:val="Hyperlink"/>
          <w:color w:val="auto"/>
          <w:u w:val="none"/>
        </w:rPr>
      </w:pPr>
      <w:r>
        <w:rPr>
          <w:rStyle w:val="FootnoteReference"/>
        </w:rPr>
        <w:footnoteRef/>
      </w:r>
      <w:r>
        <w:t xml:space="preserve"> </w:t>
      </w:r>
      <w:hyperlink r:id="rId2" w:history="1">
        <w:r w:rsidRPr="00E76B81">
          <w:rPr>
            <w:rStyle w:val="Hyperlink"/>
            <w:sz w:val="16"/>
            <w:szCs w:val="16"/>
          </w:rPr>
          <w:t>http://www.iaclea.org/visitors/PDFs/DEA-Drugs_of_Abuse_2017.pdf</w:t>
        </w:r>
      </w:hyperlink>
    </w:p>
    <w:p w14:paraId="019D678E" w14:textId="524A9C81" w:rsidR="00E76B81" w:rsidRDefault="00E76B81">
      <w:pPr>
        <w:pStyle w:val="FootnoteText"/>
      </w:pPr>
    </w:p>
  </w:footnote>
  <w:footnote w:id="3">
    <w:p w14:paraId="3A926E58" w14:textId="0145EFAC" w:rsidR="00434A5A" w:rsidRDefault="00434A5A" w:rsidP="00434A5A">
      <w:pPr>
        <w:pStyle w:val="NoSpacing"/>
      </w:pPr>
      <w:r>
        <w:rPr>
          <w:rStyle w:val="FootnoteReference"/>
        </w:rPr>
        <w:footnoteRef/>
      </w:r>
      <w:r>
        <w:t xml:space="preserve"> </w:t>
      </w:r>
      <w:r w:rsidRPr="00434A5A">
        <w:rPr>
          <w:rFonts w:cs="YaleNew-Roman"/>
          <w:sz w:val="16"/>
          <w:szCs w:val="16"/>
        </w:rPr>
        <w:t>Bohnert AS, Valenstein M, Bair MJ, et al. (2011). Association between opioid prescribing patterns and opioid overdose-related deaths. JAMA, 305:1315-21.</w:t>
      </w:r>
    </w:p>
  </w:footnote>
  <w:footnote w:id="4">
    <w:p w14:paraId="48ADF74A" w14:textId="77777777" w:rsidR="00434A5A" w:rsidRPr="008549EF" w:rsidRDefault="00434A5A" w:rsidP="00434A5A">
      <w:pPr>
        <w:pStyle w:val="NoSpacing"/>
        <w:rPr>
          <w:rFonts w:cs="YaleNew-Roman"/>
        </w:rPr>
      </w:pPr>
      <w:r>
        <w:rPr>
          <w:rStyle w:val="FootnoteReference"/>
        </w:rPr>
        <w:footnoteRef/>
      </w:r>
      <w:r>
        <w:t xml:space="preserve"> </w:t>
      </w:r>
      <w:hyperlink r:id="rId3" w:history="1">
        <w:r w:rsidRPr="00434A5A">
          <w:rPr>
            <w:rStyle w:val="Hyperlink"/>
            <w:rFonts w:cs="YaleNew-Roman"/>
            <w:sz w:val="16"/>
            <w:szCs w:val="16"/>
          </w:rPr>
          <w:t>https://www.cdc.gov/hepatitis/populations/idu.htm</w:t>
        </w:r>
      </w:hyperlink>
    </w:p>
    <w:p w14:paraId="3AB60AFD" w14:textId="77EDDEAA" w:rsidR="00434A5A" w:rsidRDefault="00434A5A">
      <w:pPr>
        <w:pStyle w:val="FootnoteText"/>
      </w:pPr>
    </w:p>
  </w:footnote>
  <w:footnote w:id="5">
    <w:p w14:paraId="72A20B79" w14:textId="77777777" w:rsidR="00434A5A" w:rsidRPr="00434A5A" w:rsidRDefault="00434A5A" w:rsidP="00434A5A">
      <w:pPr>
        <w:pStyle w:val="NoSpacing"/>
        <w:rPr>
          <w:color w:val="111111"/>
          <w:sz w:val="16"/>
          <w:szCs w:val="16"/>
          <w:lang w:val="en"/>
        </w:rPr>
      </w:pPr>
      <w:r>
        <w:rPr>
          <w:rStyle w:val="FootnoteReference"/>
        </w:rPr>
        <w:footnoteRef/>
      </w:r>
      <w:r>
        <w:t xml:space="preserve"> </w:t>
      </w:r>
      <w:r w:rsidRPr="00434A5A">
        <w:rPr>
          <w:color w:val="111111"/>
          <w:sz w:val="16"/>
          <w:szCs w:val="16"/>
          <w:lang w:val="en"/>
        </w:rPr>
        <w:t>Risks, Management, and Monitoring of Combination Opioid, Benzodiazepines, and/or Alcohol Use. (PDF available from: https://www.researchgate.net/publication/255735103_Risks_Management_and_Monitoring_of_Combination_Opioid_Benzodiazepines_andor_Alcohol_Use [accessed Jun 21, 2017].</w:t>
      </w:r>
    </w:p>
    <w:p w14:paraId="77C75A59" w14:textId="3B29449F" w:rsidR="00434A5A" w:rsidRDefault="00434A5A">
      <w:pPr>
        <w:pStyle w:val="FootnoteText"/>
      </w:pPr>
    </w:p>
  </w:footnote>
  <w:footnote w:id="6">
    <w:p w14:paraId="212C6343" w14:textId="63D01AE8" w:rsidR="00434A5A" w:rsidRDefault="00434A5A" w:rsidP="00AF3C6C">
      <w:pPr>
        <w:pStyle w:val="NoSpacing"/>
      </w:pPr>
      <w:r>
        <w:rPr>
          <w:rStyle w:val="FootnoteReference"/>
        </w:rPr>
        <w:footnoteRef/>
      </w:r>
      <w:r>
        <w:t xml:space="preserve"> </w:t>
      </w:r>
      <w:r w:rsidRPr="00AF3C6C">
        <w:rPr>
          <w:sz w:val="16"/>
          <w:szCs w:val="16"/>
        </w:rPr>
        <w:t>CT OCME Accidental Drug OD Death 2012-2015, 9.22.16</w:t>
      </w:r>
    </w:p>
  </w:footnote>
  <w:footnote w:id="7">
    <w:p w14:paraId="182074C6" w14:textId="02337C3A" w:rsidR="00E76B81" w:rsidRDefault="00E76B81" w:rsidP="00E76B81">
      <w:pPr>
        <w:pStyle w:val="NoSpacing"/>
      </w:pPr>
      <w:r>
        <w:rPr>
          <w:rStyle w:val="FootnoteReference"/>
        </w:rPr>
        <w:footnoteRef/>
      </w:r>
      <w:r>
        <w:t xml:space="preserve"> </w:t>
      </w:r>
      <w:r w:rsidRPr="00E76B81">
        <w:rPr>
          <w:sz w:val="16"/>
          <w:szCs w:val="16"/>
        </w:rPr>
        <w:t>Treatment Episode Data Set, CT https://wwwdasis.samhsa.gov/webt/quicklink/CT15.htm</w:t>
      </w:r>
    </w:p>
  </w:footnote>
  <w:footnote w:id="8">
    <w:p w14:paraId="72F3B0C8" w14:textId="7F3AE26A" w:rsidR="00E76B81" w:rsidRDefault="00E76B81" w:rsidP="00E76B81">
      <w:pPr>
        <w:pStyle w:val="NoSpacing"/>
      </w:pPr>
      <w:r>
        <w:rPr>
          <w:rStyle w:val="FootnoteReference"/>
        </w:rPr>
        <w:footnoteRef/>
      </w:r>
      <w:r>
        <w:t xml:space="preserve"> </w:t>
      </w:r>
      <w:hyperlink r:id="rId4" w:history="1">
        <w:r w:rsidRPr="00E76B81">
          <w:rPr>
            <w:rStyle w:val="Hyperlink"/>
            <w:sz w:val="16"/>
            <w:szCs w:val="16"/>
          </w:rPr>
          <w:t>https://www.dea.gov/resource-center/2016%20NDTA%20Summary.pdf</w:t>
        </w:r>
      </w:hyperlink>
    </w:p>
  </w:footnote>
  <w:footnote w:id="9">
    <w:p w14:paraId="42192D77" w14:textId="339B5CFA" w:rsidR="00E76B81" w:rsidRPr="006D10C5" w:rsidRDefault="00E76B81" w:rsidP="006D10C5">
      <w:pPr>
        <w:pStyle w:val="NoSpacing"/>
        <w:rPr>
          <w:sz w:val="16"/>
          <w:szCs w:val="16"/>
        </w:rPr>
      </w:pPr>
      <w:r>
        <w:rPr>
          <w:rStyle w:val="FootnoteReference"/>
        </w:rPr>
        <w:footnoteRef/>
      </w:r>
      <w:r>
        <w:t xml:space="preserve"> </w:t>
      </w:r>
      <w:r w:rsidRPr="00E76B81">
        <w:rPr>
          <w:sz w:val="16"/>
          <w:szCs w:val="16"/>
        </w:rPr>
        <w:t>NIDA-“What are the consequences of Opioid Abuse?” November 2014  https://www.drugabuse.gov/publications/research-reports/prescription-drugs/opioids/what-are-possible-consequences-opioid-use-abuse</w:t>
      </w:r>
    </w:p>
  </w:footnote>
  <w:footnote w:id="10">
    <w:p w14:paraId="258ADE36" w14:textId="568E1138" w:rsidR="00E76B81" w:rsidRDefault="00E76B81" w:rsidP="006D10C5">
      <w:pPr>
        <w:pStyle w:val="NoSpacing"/>
      </w:pPr>
      <w:r>
        <w:rPr>
          <w:rStyle w:val="FootnoteReference"/>
        </w:rPr>
        <w:footnoteRef/>
      </w:r>
      <w:r>
        <w:t xml:space="preserve"> </w:t>
      </w:r>
      <w:r w:rsidRPr="00E76B81">
        <w:rPr>
          <w:rFonts w:cs="YaleNew-Roman"/>
          <w:sz w:val="16"/>
          <w:szCs w:val="16"/>
        </w:rPr>
        <w:t>CT Opioid Response Initiative</w:t>
      </w:r>
    </w:p>
  </w:footnote>
  <w:footnote w:id="11">
    <w:p w14:paraId="3945DC6F" w14:textId="0582F1A4" w:rsidR="006D10C5" w:rsidRPr="00434A5A" w:rsidRDefault="006D10C5" w:rsidP="00434A5A">
      <w:pPr>
        <w:rPr>
          <w:color w:val="2C2C2C"/>
        </w:rPr>
      </w:pPr>
      <w:r>
        <w:rPr>
          <w:rStyle w:val="FootnoteReference"/>
        </w:rPr>
        <w:footnoteRef/>
      </w:r>
      <w:r>
        <w:t xml:space="preserve"> </w:t>
      </w:r>
      <w:r w:rsidRPr="006D10C5">
        <w:rPr>
          <w:color w:val="2C2C2C"/>
          <w:sz w:val="16"/>
          <w:szCs w:val="16"/>
        </w:rPr>
        <w:t>https://www.ahrq.gov/news/opioid-hospitalization-map.html?utm_source=AHRQ&amp;utm_medium=STAKEHOLDER&amp;utm_campaign=AHRQ_OPIODSMAP_2017&amp;utm_term=Opiods&amp;utm_content=9</w:t>
      </w:r>
    </w:p>
  </w:footnote>
  <w:footnote w:id="12">
    <w:p w14:paraId="0746BF34" w14:textId="2ADDAD8F" w:rsidR="00434A5A" w:rsidRPr="00AF3C6C" w:rsidRDefault="00434A5A" w:rsidP="00AF3C6C">
      <w:pPr>
        <w:pStyle w:val="NoSpacing"/>
        <w:rPr>
          <w:sz w:val="16"/>
          <w:szCs w:val="16"/>
        </w:rPr>
      </w:pPr>
      <w:r>
        <w:rPr>
          <w:rStyle w:val="FootnoteReference"/>
        </w:rPr>
        <w:footnoteRef/>
      </w:r>
      <w:r>
        <w:rPr>
          <w:sz w:val="16"/>
          <w:szCs w:val="16"/>
        </w:rPr>
        <w:t xml:space="preserve"> </w:t>
      </w:r>
      <w:hyperlink r:id="rId5" w:history="1">
        <w:r w:rsidRPr="00434A5A">
          <w:rPr>
            <w:rStyle w:val="Hyperlink"/>
            <w:sz w:val="16"/>
            <w:szCs w:val="16"/>
          </w:rPr>
          <w:t>http://www.ct.gov/dph/lib/dph/publications/family_health/nas_fact_sheet_2016.pdf</w:t>
        </w:r>
      </w:hyperlink>
    </w:p>
  </w:footnote>
  <w:footnote w:id="13">
    <w:p w14:paraId="75B4CC19" w14:textId="40C49B29" w:rsidR="00434A5A" w:rsidRDefault="00434A5A" w:rsidP="00434A5A">
      <w:pPr>
        <w:pStyle w:val="NoSpacing"/>
      </w:pPr>
      <w:r>
        <w:rPr>
          <w:rStyle w:val="FootnoteReference"/>
        </w:rPr>
        <w:footnoteRef/>
      </w:r>
      <w:r>
        <w:t xml:space="preserve"> </w:t>
      </w:r>
      <w:hyperlink r:id="rId6" w:history="1">
        <w:r w:rsidRPr="00434A5A">
          <w:rPr>
            <w:rStyle w:val="Hyperlink"/>
            <w:rFonts w:cs="Arial"/>
            <w:sz w:val="16"/>
            <w:szCs w:val="16"/>
          </w:rPr>
          <w:t>http://www.ct.gov/dph/lib/dph/aids_and_chronic/surveillance/epiprofile.pdf</w:t>
        </w:r>
      </w:hyperlink>
    </w:p>
  </w:footnote>
  <w:footnote w:id="14">
    <w:p w14:paraId="72C70850" w14:textId="77777777" w:rsidR="00434A5A" w:rsidRPr="00434A5A" w:rsidRDefault="00434A5A" w:rsidP="00434A5A">
      <w:pPr>
        <w:rPr>
          <w:color w:val="2C2C2C"/>
        </w:rPr>
      </w:pPr>
      <w:r>
        <w:rPr>
          <w:rStyle w:val="FootnoteReference"/>
        </w:rPr>
        <w:footnoteRef/>
      </w:r>
      <w:r>
        <w:t xml:space="preserve"> </w:t>
      </w:r>
      <w:r w:rsidRPr="00434A5A">
        <w:rPr>
          <w:color w:val="2C2C2C"/>
          <w:sz w:val="16"/>
          <w:szCs w:val="16"/>
        </w:rPr>
        <w:t>DEA 2016 Drug Threat Report Summary</w:t>
      </w:r>
    </w:p>
    <w:p w14:paraId="69A201EC" w14:textId="70E298FD" w:rsidR="00434A5A" w:rsidRDefault="00434A5A">
      <w:pPr>
        <w:pStyle w:val="FootnoteText"/>
      </w:pPr>
    </w:p>
  </w:footnote>
  <w:footnote w:id="15">
    <w:p w14:paraId="55ED1D99" w14:textId="769ED264" w:rsidR="00434A5A" w:rsidRDefault="00434A5A" w:rsidP="00434A5A">
      <w:pPr>
        <w:pStyle w:val="NoSpacing"/>
      </w:pPr>
      <w:r>
        <w:rPr>
          <w:rStyle w:val="FootnoteReference"/>
        </w:rPr>
        <w:footnoteRef/>
      </w:r>
      <w:r>
        <w:t xml:space="preserve"> </w:t>
      </w:r>
      <w:hyperlink r:id="rId7" w:history="1">
        <w:r w:rsidRPr="00434A5A">
          <w:rPr>
            <w:rStyle w:val="Hyperlink"/>
            <w:sz w:val="16"/>
            <w:szCs w:val="16"/>
          </w:rPr>
          <w:t>https://drugfree.org/wp-content/uploads/2015/04/Matrix_OpioidAbuse_040415.pdf</w:t>
        </w:r>
      </w:hyperlink>
    </w:p>
  </w:footnote>
  <w:footnote w:id="16">
    <w:p w14:paraId="74E6256A" w14:textId="77777777" w:rsidR="00434A5A" w:rsidRDefault="00434A5A" w:rsidP="00434A5A">
      <w:pPr>
        <w:pStyle w:val="NoSpacing"/>
      </w:pPr>
      <w:r>
        <w:rPr>
          <w:rStyle w:val="FootnoteReference"/>
        </w:rPr>
        <w:footnoteRef/>
      </w:r>
      <w:r>
        <w:t xml:space="preserve"> </w:t>
      </w:r>
      <w:hyperlink r:id="rId8" w:history="1">
        <w:r w:rsidRPr="00434A5A">
          <w:rPr>
            <w:rStyle w:val="Hyperlink"/>
            <w:sz w:val="16"/>
            <w:szCs w:val="16"/>
          </w:rPr>
          <w:t>https://www.hhs.gov/sites/default/files/Factsheet-opioids-061516.pdf</w:t>
        </w:r>
      </w:hyperlink>
    </w:p>
    <w:p w14:paraId="48B799F3" w14:textId="158D3832" w:rsidR="00434A5A" w:rsidRDefault="00434A5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738145"/>
      <w:docPartObj>
        <w:docPartGallery w:val="Watermarks"/>
        <w:docPartUnique/>
      </w:docPartObj>
    </w:sdtPr>
    <w:sdtEndPr/>
    <w:sdtContent>
      <w:p w14:paraId="14664095" w14:textId="44B0D422" w:rsidR="00CE4D68" w:rsidRDefault="00810783">
        <w:pPr>
          <w:pStyle w:val="Header"/>
        </w:pPr>
        <w:r>
          <w:rPr>
            <w:noProof/>
          </w:rPr>
          <w:pict w14:anchorId="3BF93B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2F13"/>
    <w:multiLevelType w:val="hybridMultilevel"/>
    <w:tmpl w:val="9B1887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52506C7"/>
    <w:multiLevelType w:val="hybridMultilevel"/>
    <w:tmpl w:val="67F0F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A05B2C"/>
    <w:multiLevelType w:val="hybridMultilevel"/>
    <w:tmpl w:val="36A2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A2C7DCC"/>
    <w:multiLevelType w:val="hybridMultilevel"/>
    <w:tmpl w:val="7ECE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0111391"/>
    <w:multiLevelType w:val="hybridMultilevel"/>
    <w:tmpl w:val="856CEF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360532"/>
    <w:multiLevelType w:val="hybridMultilevel"/>
    <w:tmpl w:val="BD029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701A2A"/>
    <w:multiLevelType w:val="hybridMultilevel"/>
    <w:tmpl w:val="E676C5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34E42AA"/>
    <w:multiLevelType w:val="hybridMultilevel"/>
    <w:tmpl w:val="AC66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0755F79"/>
    <w:multiLevelType w:val="hybridMultilevel"/>
    <w:tmpl w:val="BD029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F27453"/>
    <w:multiLevelType w:val="multilevel"/>
    <w:tmpl w:val="7C1827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9F979FA"/>
    <w:multiLevelType w:val="hybridMultilevel"/>
    <w:tmpl w:val="EC7A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F255C2D"/>
    <w:multiLevelType w:val="hybridMultilevel"/>
    <w:tmpl w:val="D8B88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3E22955"/>
    <w:multiLevelType w:val="hybridMultilevel"/>
    <w:tmpl w:val="C39E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416F108B"/>
    <w:multiLevelType w:val="hybridMultilevel"/>
    <w:tmpl w:val="AA7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C7001C"/>
    <w:multiLevelType w:val="hybridMultilevel"/>
    <w:tmpl w:val="BA3E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D64326"/>
    <w:multiLevelType w:val="hybridMultilevel"/>
    <w:tmpl w:val="9DBA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4AC30CA"/>
    <w:multiLevelType w:val="hybridMultilevel"/>
    <w:tmpl w:val="0540A4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3AF78F6"/>
    <w:multiLevelType w:val="hybridMultilevel"/>
    <w:tmpl w:val="89CA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260DD"/>
    <w:multiLevelType w:val="hybridMultilevel"/>
    <w:tmpl w:val="BD029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A470F1"/>
    <w:multiLevelType w:val="hybridMultilevel"/>
    <w:tmpl w:val="1F5202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35B427D"/>
    <w:multiLevelType w:val="hybridMultilevel"/>
    <w:tmpl w:val="7F5E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0F23B7"/>
    <w:multiLevelType w:val="hybridMultilevel"/>
    <w:tmpl w:val="153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6"/>
  </w:num>
  <w:num w:numId="2">
    <w:abstractNumId w:val="16"/>
  </w:num>
  <w:num w:numId="3">
    <w:abstractNumId w:val="11"/>
  </w:num>
  <w:num w:numId="4">
    <w:abstractNumId w:val="41"/>
  </w:num>
  <w:num w:numId="5">
    <w:abstractNumId w:val="21"/>
  </w:num>
  <w:num w:numId="6">
    <w:abstractNumId w:val="29"/>
  </w:num>
  <w:num w:numId="7">
    <w:abstractNumId w:val="3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4"/>
  </w:num>
  <w:num w:numId="19">
    <w:abstractNumId w:val="26"/>
  </w:num>
  <w:num w:numId="20">
    <w:abstractNumId w:val="37"/>
  </w:num>
  <w:num w:numId="21">
    <w:abstractNumId w:val="33"/>
  </w:num>
  <w:num w:numId="22">
    <w:abstractNumId w:val="14"/>
  </w:num>
  <w:num w:numId="23">
    <w:abstractNumId w:val="44"/>
  </w:num>
  <w:num w:numId="24">
    <w:abstractNumId w:val="40"/>
  </w:num>
  <w:num w:numId="25">
    <w:abstractNumId w:val="43"/>
  </w:num>
  <w:num w:numId="26">
    <w:abstractNumId w:val="19"/>
  </w:num>
  <w:num w:numId="27">
    <w:abstractNumId w:val="10"/>
  </w:num>
  <w:num w:numId="28">
    <w:abstractNumId w:val="27"/>
  </w:num>
  <w:num w:numId="29">
    <w:abstractNumId w:val="17"/>
  </w:num>
  <w:num w:numId="30">
    <w:abstractNumId w:val="34"/>
  </w:num>
  <w:num w:numId="31">
    <w:abstractNumId w:val="23"/>
  </w:num>
  <w:num w:numId="32">
    <w:abstractNumId w:val="25"/>
  </w:num>
  <w:num w:numId="33">
    <w:abstractNumId w:val="28"/>
  </w:num>
  <w:num w:numId="34">
    <w:abstractNumId w:val="18"/>
  </w:num>
  <w:num w:numId="35">
    <w:abstractNumId w:val="13"/>
  </w:num>
  <w:num w:numId="36">
    <w:abstractNumId w:val="38"/>
  </w:num>
  <w:num w:numId="37">
    <w:abstractNumId w:val="30"/>
  </w:num>
  <w:num w:numId="38">
    <w:abstractNumId w:val="31"/>
  </w:num>
  <w:num w:numId="39">
    <w:abstractNumId w:val="39"/>
  </w:num>
  <w:num w:numId="40">
    <w:abstractNumId w:val="42"/>
  </w:num>
  <w:num w:numId="41">
    <w:abstractNumId w:val="20"/>
  </w:num>
  <w:num w:numId="42">
    <w:abstractNumId w:val="12"/>
  </w:num>
  <w:num w:numId="43">
    <w:abstractNumId w:val="32"/>
  </w:num>
  <w:num w:numId="44">
    <w:abstractNumId w:val="15"/>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031"/>
    <w:rsid w:val="0000519D"/>
    <w:rsid w:val="00006031"/>
    <w:rsid w:val="000101A2"/>
    <w:rsid w:val="00015560"/>
    <w:rsid w:val="00026B38"/>
    <w:rsid w:val="00033A70"/>
    <w:rsid w:val="00042E72"/>
    <w:rsid w:val="00063937"/>
    <w:rsid w:val="00067BF9"/>
    <w:rsid w:val="000700A1"/>
    <w:rsid w:val="0008175F"/>
    <w:rsid w:val="00093861"/>
    <w:rsid w:val="00095304"/>
    <w:rsid w:val="000A0585"/>
    <w:rsid w:val="000A25D4"/>
    <w:rsid w:val="000B04DB"/>
    <w:rsid w:val="000B204F"/>
    <w:rsid w:val="000C51C2"/>
    <w:rsid w:val="000C6B2A"/>
    <w:rsid w:val="000E02C0"/>
    <w:rsid w:val="00107E45"/>
    <w:rsid w:val="00110A91"/>
    <w:rsid w:val="00117B5F"/>
    <w:rsid w:val="00125E22"/>
    <w:rsid w:val="00131C51"/>
    <w:rsid w:val="00132292"/>
    <w:rsid w:val="0013300B"/>
    <w:rsid w:val="00134FD3"/>
    <w:rsid w:val="001366A4"/>
    <w:rsid w:val="00140695"/>
    <w:rsid w:val="00141914"/>
    <w:rsid w:val="00143B45"/>
    <w:rsid w:val="00154339"/>
    <w:rsid w:val="001575F3"/>
    <w:rsid w:val="00174801"/>
    <w:rsid w:val="0018563A"/>
    <w:rsid w:val="00186681"/>
    <w:rsid w:val="001874D2"/>
    <w:rsid w:val="0019341E"/>
    <w:rsid w:val="001A2650"/>
    <w:rsid w:val="001A3D1B"/>
    <w:rsid w:val="001A6F16"/>
    <w:rsid w:val="001D1778"/>
    <w:rsid w:val="001D2336"/>
    <w:rsid w:val="001D4BEF"/>
    <w:rsid w:val="001E09C2"/>
    <w:rsid w:val="001E6C33"/>
    <w:rsid w:val="001F5FEA"/>
    <w:rsid w:val="0022430B"/>
    <w:rsid w:val="0022497C"/>
    <w:rsid w:val="00227204"/>
    <w:rsid w:val="00234C84"/>
    <w:rsid w:val="00246F32"/>
    <w:rsid w:val="0025160D"/>
    <w:rsid w:val="00252208"/>
    <w:rsid w:val="00265FEE"/>
    <w:rsid w:val="00266207"/>
    <w:rsid w:val="00270E46"/>
    <w:rsid w:val="002718DA"/>
    <w:rsid w:val="0027495F"/>
    <w:rsid w:val="002869A2"/>
    <w:rsid w:val="00297321"/>
    <w:rsid w:val="0029740D"/>
    <w:rsid w:val="002B059D"/>
    <w:rsid w:val="002B1C4D"/>
    <w:rsid w:val="002B3B1D"/>
    <w:rsid w:val="002C10D2"/>
    <w:rsid w:val="002D0E78"/>
    <w:rsid w:val="002D7EA6"/>
    <w:rsid w:val="002F4956"/>
    <w:rsid w:val="00301309"/>
    <w:rsid w:val="003100E4"/>
    <w:rsid w:val="0031775F"/>
    <w:rsid w:val="00317C10"/>
    <w:rsid w:val="003332AC"/>
    <w:rsid w:val="00336899"/>
    <w:rsid w:val="0034363F"/>
    <w:rsid w:val="00344444"/>
    <w:rsid w:val="003455B3"/>
    <w:rsid w:val="00353136"/>
    <w:rsid w:val="00375A9B"/>
    <w:rsid w:val="00386E04"/>
    <w:rsid w:val="00390CB1"/>
    <w:rsid w:val="003917D9"/>
    <w:rsid w:val="00392C1A"/>
    <w:rsid w:val="00396C5F"/>
    <w:rsid w:val="003A2A74"/>
    <w:rsid w:val="003A4A6A"/>
    <w:rsid w:val="003A7019"/>
    <w:rsid w:val="003C1517"/>
    <w:rsid w:val="003D11C4"/>
    <w:rsid w:val="003E19C6"/>
    <w:rsid w:val="003F66F9"/>
    <w:rsid w:val="00414677"/>
    <w:rsid w:val="00421BC6"/>
    <w:rsid w:val="00423F72"/>
    <w:rsid w:val="00427AB0"/>
    <w:rsid w:val="004336FC"/>
    <w:rsid w:val="00434A5A"/>
    <w:rsid w:val="0046116D"/>
    <w:rsid w:val="0046574E"/>
    <w:rsid w:val="00474E5D"/>
    <w:rsid w:val="004753E2"/>
    <w:rsid w:val="00487901"/>
    <w:rsid w:val="00491D5B"/>
    <w:rsid w:val="00494E1D"/>
    <w:rsid w:val="00497AB7"/>
    <w:rsid w:val="004A3F14"/>
    <w:rsid w:val="004A5348"/>
    <w:rsid w:val="004D6DA8"/>
    <w:rsid w:val="004F3E09"/>
    <w:rsid w:val="004F69FD"/>
    <w:rsid w:val="00504F99"/>
    <w:rsid w:val="00507525"/>
    <w:rsid w:val="005122F6"/>
    <w:rsid w:val="0052478A"/>
    <w:rsid w:val="005271FF"/>
    <w:rsid w:val="00527630"/>
    <w:rsid w:val="00540C39"/>
    <w:rsid w:val="00552667"/>
    <w:rsid w:val="00552BA2"/>
    <w:rsid w:val="00552C2A"/>
    <w:rsid w:val="00552CA7"/>
    <w:rsid w:val="00555614"/>
    <w:rsid w:val="0056613E"/>
    <w:rsid w:val="0057337B"/>
    <w:rsid w:val="00574DCB"/>
    <w:rsid w:val="0057727A"/>
    <w:rsid w:val="005811E5"/>
    <w:rsid w:val="00586646"/>
    <w:rsid w:val="005B0175"/>
    <w:rsid w:val="005B0CDA"/>
    <w:rsid w:val="005B14D8"/>
    <w:rsid w:val="005B4441"/>
    <w:rsid w:val="005D18B3"/>
    <w:rsid w:val="005E26B7"/>
    <w:rsid w:val="005E66DB"/>
    <w:rsid w:val="005E66E7"/>
    <w:rsid w:val="00607E31"/>
    <w:rsid w:val="006112A0"/>
    <w:rsid w:val="0061324B"/>
    <w:rsid w:val="006215E8"/>
    <w:rsid w:val="0064103B"/>
    <w:rsid w:val="00643543"/>
    <w:rsid w:val="00645252"/>
    <w:rsid w:val="0065243F"/>
    <w:rsid w:val="0066041D"/>
    <w:rsid w:val="00683A8D"/>
    <w:rsid w:val="00686B65"/>
    <w:rsid w:val="006918D6"/>
    <w:rsid w:val="006924B4"/>
    <w:rsid w:val="00694D91"/>
    <w:rsid w:val="006974D4"/>
    <w:rsid w:val="006A027B"/>
    <w:rsid w:val="006A0EEC"/>
    <w:rsid w:val="006A279B"/>
    <w:rsid w:val="006C3568"/>
    <w:rsid w:val="006D10C5"/>
    <w:rsid w:val="006D3D74"/>
    <w:rsid w:val="006E02EF"/>
    <w:rsid w:val="006E4F01"/>
    <w:rsid w:val="0070217C"/>
    <w:rsid w:val="00711B6C"/>
    <w:rsid w:val="0072664D"/>
    <w:rsid w:val="007334F1"/>
    <w:rsid w:val="00745028"/>
    <w:rsid w:val="007566A8"/>
    <w:rsid w:val="00761E05"/>
    <w:rsid w:val="007702F4"/>
    <w:rsid w:val="00773576"/>
    <w:rsid w:val="00776353"/>
    <w:rsid w:val="00777D3E"/>
    <w:rsid w:val="00781653"/>
    <w:rsid w:val="00783DDF"/>
    <w:rsid w:val="00785449"/>
    <w:rsid w:val="007A19D3"/>
    <w:rsid w:val="007A1BBA"/>
    <w:rsid w:val="007C1482"/>
    <w:rsid w:val="007C418C"/>
    <w:rsid w:val="007C4A7A"/>
    <w:rsid w:val="007D2AAB"/>
    <w:rsid w:val="007F1C7F"/>
    <w:rsid w:val="007F5667"/>
    <w:rsid w:val="00810783"/>
    <w:rsid w:val="0081163D"/>
    <w:rsid w:val="00816CD2"/>
    <w:rsid w:val="0083226C"/>
    <w:rsid w:val="00836169"/>
    <w:rsid w:val="00840467"/>
    <w:rsid w:val="008406A7"/>
    <w:rsid w:val="0084192C"/>
    <w:rsid w:val="00843A03"/>
    <w:rsid w:val="00846503"/>
    <w:rsid w:val="00851A44"/>
    <w:rsid w:val="008549EF"/>
    <w:rsid w:val="008637EC"/>
    <w:rsid w:val="00866528"/>
    <w:rsid w:val="00867156"/>
    <w:rsid w:val="00871D0B"/>
    <w:rsid w:val="00872189"/>
    <w:rsid w:val="00880600"/>
    <w:rsid w:val="00882E67"/>
    <w:rsid w:val="00884EFA"/>
    <w:rsid w:val="00892228"/>
    <w:rsid w:val="00896BAD"/>
    <w:rsid w:val="008A1F03"/>
    <w:rsid w:val="008C19BB"/>
    <w:rsid w:val="008C689D"/>
    <w:rsid w:val="008E33E6"/>
    <w:rsid w:val="008F0705"/>
    <w:rsid w:val="008F1B06"/>
    <w:rsid w:val="00905559"/>
    <w:rsid w:val="00905757"/>
    <w:rsid w:val="00922CE4"/>
    <w:rsid w:val="00926BA1"/>
    <w:rsid w:val="009377EB"/>
    <w:rsid w:val="0094267E"/>
    <w:rsid w:val="00946145"/>
    <w:rsid w:val="0095218F"/>
    <w:rsid w:val="0095339C"/>
    <w:rsid w:val="00961AC2"/>
    <w:rsid w:val="009640D7"/>
    <w:rsid w:val="009706C0"/>
    <w:rsid w:val="00977724"/>
    <w:rsid w:val="00982F2B"/>
    <w:rsid w:val="00986631"/>
    <w:rsid w:val="00996A9C"/>
    <w:rsid w:val="009A39F2"/>
    <w:rsid w:val="009A7658"/>
    <w:rsid w:val="009A771C"/>
    <w:rsid w:val="009B0202"/>
    <w:rsid w:val="009B4B46"/>
    <w:rsid w:val="009B4D6B"/>
    <w:rsid w:val="009B6460"/>
    <w:rsid w:val="009D0C87"/>
    <w:rsid w:val="009D4860"/>
    <w:rsid w:val="009F1B08"/>
    <w:rsid w:val="00A15EEC"/>
    <w:rsid w:val="00A233AC"/>
    <w:rsid w:val="00A32262"/>
    <w:rsid w:val="00A33E9C"/>
    <w:rsid w:val="00A34657"/>
    <w:rsid w:val="00A346F7"/>
    <w:rsid w:val="00A40E04"/>
    <w:rsid w:val="00A446B7"/>
    <w:rsid w:val="00A473F5"/>
    <w:rsid w:val="00A516FF"/>
    <w:rsid w:val="00A51DBB"/>
    <w:rsid w:val="00A545ED"/>
    <w:rsid w:val="00A574F0"/>
    <w:rsid w:val="00A62B23"/>
    <w:rsid w:val="00A905BE"/>
    <w:rsid w:val="00A9204E"/>
    <w:rsid w:val="00A92E74"/>
    <w:rsid w:val="00A93247"/>
    <w:rsid w:val="00A95558"/>
    <w:rsid w:val="00AB5144"/>
    <w:rsid w:val="00AB5426"/>
    <w:rsid w:val="00AC2CA4"/>
    <w:rsid w:val="00AC2EC3"/>
    <w:rsid w:val="00AC30F9"/>
    <w:rsid w:val="00AC7C53"/>
    <w:rsid w:val="00AE0C3F"/>
    <w:rsid w:val="00AF00ED"/>
    <w:rsid w:val="00AF3C6C"/>
    <w:rsid w:val="00B019E7"/>
    <w:rsid w:val="00B2155C"/>
    <w:rsid w:val="00B27AE0"/>
    <w:rsid w:val="00B30D52"/>
    <w:rsid w:val="00B4601E"/>
    <w:rsid w:val="00B5062F"/>
    <w:rsid w:val="00B51534"/>
    <w:rsid w:val="00B521CF"/>
    <w:rsid w:val="00B543E0"/>
    <w:rsid w:val="00B61D23"/>
    <w:rsid w:val="00B70BB3"/>
    <w:rsid w:val="00B72C2A"/>
    <w:rsid w:val="00B8413E"/>
    <w:rsid w:val="00B85CCA"/>
    <w:rsid w:val="00B86B3F"/>
    <w:rsid w:val="00B943D0"/>
    <w:rsid w:val="00BA5C5E"/>
    <w:rsid w:val="00BB0446"/>
    <w:rsid w:val="00BB270F"/>
    <w:rsid w:val="00BC6ECF"/>
    <w:rsid w:val="00BD363E"/>
    <w:rsid w:val="00BD42DF"/>
    <w:rsid w:val="00C16B19"/>
    <w:rsid w:val="00C21D78"/>
    <w:rsid w:val="00C23783"/>
    <w:rsid w:val="00C326EB"/>
    <w:rsid w:val="00C336E3"/>
    <w:rsid w:val="00C35C9E"/>
    <w:rsid w:val="00C414E3"/>
    <w:rsid w:val="00C45548"/>
    <w:rsid w:val="00C47CBD"/>
    <w:rsid w:val="00C47F4A"/>
    <w:rsid w:val="00C55117"/>
    <w:rsid w:val="00C64066"/>
    <w:rsid w:val="00C650CF"/>
    <w:rsid w:val="00C70375"/>
    <w:rsid w:val="00C815B4"/>
    <w:rsid w:val="00C8201B"/>
    <w:rsid w:val="00C83AA5"/>
    <w:rsid w:val="00C85E05"/>
    <w:rsid w:val="00C92A41"/>
    <w:rsid w:val="00C92DDB"/>
    <w:rsid w:val="00CA090C"/>
    <w:rsid w:val="00CA6329"/>
    <w:rsid w:val="00CA6D71"/>
    <w:rsid w:val="00CB208C"/>
    <w:rsid w:val="00CE1148"/>
    <w:rsid w:val="00CE47C2"/>
    <w:rsid w:val="00CE4D68"/>
    <w:rsid w:val="00D03BBB"/>
    <w:rsid w:val="00D03CF6"/>
    <w:rsid w:val="00D046A7"/>
    <w:rsid w:val="00D04C69"/>
    <w:rsid w:val="00D1383E"/>
    <w:rsid w:val="00D158F6"/>
    <w:rsid w:val="00D160C0"/>
    <w:rsid w:val="00D25828"/>
    <w:rsid w:val="00D30AD5"/>
    <w:rsid w:val="00D32EFF"/>
    <w:rsid w:val="00D642AE"/>
    <w:rsid w:val="00D6719D"/>
    <w:rsid w:val="00D70CD8"/>
    <w:rsid w:val="00D7199E"/>
    <w:rsid w:val="00D72A2A"/>
    <w:rsid w:val="00D871A7"/>
    <w:rsid w:val="00D93AEC"/>
    <w:rsid w:val="00DA7BDE"/>
    <w:rsid w:val="00DB24BE"/>
    <w:rsid w:val="00DB6C18"/>
    <w:rsid w:val="00DC1FC6"/>
    <w:rsid w:val="00DC37DD"/>
    <w:rsid w:val="00DE02B5"/>
    <w:rsid w:val="00E04F1B"/>
    <w:rsid w:val="00E06201"/>
    <w:rsid w:val="00E16123"/>
    <w:rsid w:val="00E231D6"/>
    <w:rsid w:val="00E25BCE"/>
    <w:rsid w:val="00E567F9"/>
    <w:rsid w:val="00E5775F"/>
    <w:rsid w:val="00E6563B"/>
    <w:rsid w:val="00E73B56"/>
    <w:rsid w:val="00E76B81"/>
    <w:rsid w:val="00E76DB3"/>
    <w:rsid w:val="00E80F70"/>
    <w:rsid w:val="00E81CBA"/>
    <w:rsid w:val="00E94761"/>
    <w:rsid w:val="00E96612"/>
    <w:rsid w:val="00E97143"/>
    <w:rsid w:val="00EA4177"/>
    <w:rsid w:val="00EB4A99"/>
    <w:rsid w:val="00EC486C"/>
    <w:rsid w:val="00ED00D1"/>
    <w:rsid w:val="00ED346D"/>
    <w:rsid w:val="00EE00B2"/>
    <w:rsid w:val="00EF6180"/>
    <w:rsid w:val="00F06952"/>
    <w:rsid w:val="00F15ACD"/>
    <w:rsid w:val="00F3245F"/>
    <w:rsid w:val="00F43B17"/>
    <w:rsid w:val="00F5647C"/>
    <w:rsid w:val="00F6608C"/>
    <w:rsid w:val="00F7061F"/>
    <w:rsid w:val="00F76CD2"/>
    <w:rsid w:val="00F830A1"/>
    <w:rsid w:val="00FB7DFF"/>
    <w:rsid w:val="00FD21DA"/>
    <w:rsid w:val="00FD7A75"/>
    <w:rsid w:val="00FE1CCF"/>
    <w:rsid w:val="00FE1FF3"/>
    <w:rsid w:val="00FF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46194E"/>
  <w15:chartTrackingRefBased/>
  <w15:docId w15:val="{32553722-89CF-4D29-ACBD-A30E05B1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unhideWhenUsed/>
    <w:rsid w:val="00645252"/>
    <w:rPr>
      <w:szCs w:val="20"/>
    </w:rPr>
  </w:style>
  <w:style w:type="character" w:customStyle="1" w:styleId="CommentTextChar">
    <w:name w:val="Comment Text Char"/>
    <w:basedOn w:val="DefaultParagraphFont"/>
    <w:link w:val="CommentText"/>
    <w:uiPriority w:val="99"/>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unhideWhenUsed/>
    <w:rsid w:val="00645252"/>
    <w:rPr>
      <w:szCs w:val="20"/>
    </w:rPr>
  </w:style>
  <w:style w:type="character" w:customStyle="1" w:styleId="FootnoteTextChar">
    <w:name w:val="Footnote Text Char"/>
    <w:basedOn w:val="DefaultParagraphFont"/>
    <w:link w:val="FootnoteText"/>
    <w:uiPriority w:val="99"/>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character" w:styleId="FootnoteReference">
    <w:name w:val="footnote reference"/>
    <w:uiPriority w:val="99"/>
    <w:rsid w:val="008C19BB"/>
    <w:rPr>
      <w:vertAlign w:val="superscript"/>
    </w:rPr>
  </w:style>
  <w:style w:type="paragraph" w:styleId="ListParagraph">
    <w:name w:val="List Paragraph"/>
    <w:basedOn w:val="Normal"/>
    <w:uiPriority w:val="34"/>
    <w:qFormat/>
    <w:rsid w:val="008C19BB"/>
    <w:pPr>
      <w:ind w:left="720"/>
      <w:contextualSpacing/>
    </w:pPr>
    <w:rPr>
      <w:rFonts w:ascii="Times New Roman" w:eastAsia="Times New Roman" w:hAnsi="Times New Roman" w:cs="Times New Roman"/>
      <w:sz w:val="24"/>
      <w:szCs w:val="24"/>
    </w:rPr>
  </w:style>
  <w:style w:type="character" w:customStyle="1" w:styleId="A8">
    <w:name w:val="A8"/>
    <w:uiPriority w:val="99"/>
    <w:rsid w:val="00A62B23"/>
    <w:rPr>
      <w:rFonts w:cs="Myriad Pro"/>
      <w:color w:val="000000"/>
      <w:sz w:val="12"/>
      <w:szCs w:val="12"/>
    </w:rPr>
  </w:style>
  <w:style w:type="paragraph" w:customStyle="1" w:styleId="Pa4">
    <w:name w:val="Pa4"/>
    <w:basedOn w:val="Normal"/>
    <w:next w:val="Normal"/>
    <w:uiPriority w:val="99"/>
    <w:rsid w:val="00C85E05"/>
    <w:pPr>
      <w:autoSpaceDE w:val="0"/>
      <w:autoSpaceDN w:val="0"/>
      <w:adjustRightInd w:val="0"/>
      <w:spacing w:line="221" w:lineRule="atLeast"/>
    </w:pPr>
    <w:rPr>
      <w:rFonts w:ascii="Myriad Pro" w:hAnsi="Myriad Pro"/>
      <w:sz w:val="24"/>
      <w:szCs w:val="24"/>
    </w:rPr>
  </w:style>
  <w:style w:type="paragraph" w:customStyle="1" w:styleId="Default">
    <w:name w:val="Default"/>
    <w:rsid w:val="00CA6D71"/>
    <w:pPr>
      <w:autoSpaceDE w:val="0"/>
      <w:autoSpaceDN w:val="0"/>
      <w:adjustRightInd w:val="0"/>
    </w:pPr>
    <w:rPr>
      <w:rFonts w:ascii="Calibri" w:hAnsi="Calibri" w:cs="Calibri"/>
      <w:color w:val="000000"/>
      <w:sz w:val="24"/>
      <w:szCs w:val="24"/>
    </w:rPr>
  </w:style>
  <w:style w:type="paragraph" w:customStyle="1" w:styleId="wordsection1">
    <w:name w:val="wordsection1"/>
    <w:basedOn w:val="Normal"/>
    <w:rsid w:val="00B521CF"/>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C414E3"/>
  </w:style>
  <w:style w:type="character" w:customStyle="1" w:styleId="A4">
    <w:name w:val="A4"/>
    <w:uiPriority w:val="99"/>
    <w:rsid w:val="00AC7C53"/>
    <w:rPr>
      <w:rFonts w:cs="Helvetica"/>
      <w:color w:val="000000"/>
      <w:sz w:val="12"/>
      <w:szCs w:val="12"/>
    </w:rPr>
  </w:style>
  <w:style w:type="table" w:styleId="TableGrid">
    <w:name w:val="Table Grid"/>
    <w:basedOn w:val="TableNormal"/>
    <w:uiPriority w:val="39"/>
    <w:rsid w:val="00702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86468">
      <w:bodyDiv w:val="1"/>
      <w:marLeft w:val="0"/>
      <w:marRight w:val="0"/>
      <w:marTop w:val="0"/>
      <w:marBottom w:val="0"/>
      <w:divBdr>
        <w:top w:val="none" w:sz="0" w:space="0" w:color="auto"/>
        <w:left w:val="none" w:sz="0" w:space="0" w:color="auto"/>
        <w:bottom w:val="none" w:sz="0" w:space="0" w:color="auto"/>
        <w:right w:val="none" w:sz="0" w:space="0" w:color="auto"/>
      </w:divBdr>
    </w:div>
    <w:div w:id="334384136">
      <w:bodyDiv w:val="1"/>
      <w:marLeft w:val="0"/>
      <w:marRight w:val="0"/>
      <w:marTop w:val="0"/>
      <w:marBottom w:val="0"/>
      <w:divBdr>
        <w:top w:val="none" w:sz="0" w:space="0" w:color="auto"/>
        <w:left w:val="none" w:sz="0" w:space="0" w:color="auto"/>
        <w:bottom w:val="none" w:sz="0" w:space="0" w:color="auto"/>
        <w:right w:val="none" w:sz="0" w:space="0" w:color="auto"/>
      </w:divBdr>
      <w:divsChild>
        <w:div w:id="710687769">
          <w:marLeft w:val="0"/>
          <w:marRight w:val="0"/>
          <w:marTop w:val="0"/>
          <w:marBottom w:val="0"/>
          <w:divBdr>
            <w:top w:val="none" w:sz="0" w:space="0" w:color="auto"/>
            <w:left w:val="none" w:sz="0" w:space="0" w:color="auto"/>
            <w:bottom w:val="none" w:sz="0" w:space="0" w:color="auto"/>
            <w:right w:val="none" w:sz="0" w:space="0" w:color="auto"/>
          </w:divBdr>
          <w:divsChild>
            <w:div w:id="210073152">
              <w:marLeft w:val="0"/>
              <w:marRight w:val="0"/>
              <w:marTop w:val="0"/>
              <w:marBottom w:val="0"/>
              <w:divBdr>
                <w:top w:val="none" w:sz="0" w:space="0" w:color="auto"/>
                <w:left w:val="none" w:sz="0" w:space="0" w:color="auto"/>
                <w:bottom w:val="none" w:sz="0" w:space="0" w:color="auto"/>
                <w:right w:val="none" w:sz="0" w:space="0" w:color="auto"/>
              </w:divBdr>
              <w:divsChild>
                <w:div w:id="1682856783">
                  <w:marLeft w:val="0"/>
                  <w:marRight w:val="0"/>
                  <w:marTop w:val="900"/>
                  <w:marBottom w:val="0"/>
                  <w:divBdr>
                    <w:top w:val="none" w:sz="0" w:space="0" w:color="auto"/>
                    <w:left w:val="none" w:sz="0" w:space="0" w:color="auto"/>
                    <w:bottom w:val="none" w:sz="0" w:space="0" w:color="auto"/>
                    <w:right w:val="none" w:sz="0" w:space="0" w:color="auto"/>
                  </w:divBdr>
                  <w:divsChild>
                    <w:div w:id="1743216773">
                      <w:marLeft w:val="0"/>
                      <w:marRight w:val="0"/>
                      <w:marTop w:val="0"/>
                      <w:marBottom w:val="0"/>
                      <w:divBdr>
                        <w:top w:val="none" w:sz="0" w:space="0" w:color="auto"/>
                        <w:left w:val="none" w:sz="0" w:space="0" w:color="auto"/>
                        <w:bottom w:val="none" w:sz="0" w:space="0" w:color="auto"/>
                        <w:right w:val="none" w:sz="0" w:space="0" w:color="auto"/>
                      </w:divBdr>
                      <w:divsChild>
                        <w:div w:id="1194414912">
                          <w:marLeft w:val="0"/>
                          <w:marRight w:val="0"/>
                          <w:marTop w:val="0"/>
                          <w:marBottom w:val="0"/>
                          <w:divBdr>
                            <w:top w:val="none" w:sz="0" w:space="0" w:color="auto"/>
                            <w:left w:val="none" w:sz="0" w:space="0" w:color="auto"/>
                            <w:bottom w:val="none" w:sz="0" w:space="0" w:color="auto"/>
                            <w:right w:val="none" w:sz="0" w:space="0" w:color="auto"/>
                          </w:divBdr>
                          <w:divsChild>
                            <w:div w:id="885720173">
                              <w:marLeft w:val="300"/>
                              <w:marRight w:val="300"/>
                              <w:marTop w:val="0"/>
                              <w:marBottom w:val="0"/>
                              <w:divBdr>
                                <w:top w:val="none" w:sz="0" w:space="0" w:color="auto"/>
                                <w:left w:val="none" w:sz="0" w:space="0" w:color="auto"/>
                                <w:bottom w:val="none" w:sz="0" w:space="0" w:color="auto"/>
                                <w:right w:val="none" w:sz="0" w:space="0" w:color="auto"/>
                              </w:divBdr>
                              <w:divsChild>
                                <w:div w:id="1956910009">
                                  <w:marLeft w:val="0"/>
                                  <w:marRight w:val="0"/>
                                  <w:marTop w:val="0"/>
                                  <w:marBottom w:val="0"/>
                                  <w:divBdr>
                                    <w:top w:val="none" w:sz="0" w:space="0" w:color="auto"/>
                                    <w:left w:val="none" w:sz="0" w:space="0" w:color="auto"/>
                                    <w:bottom w:val="none" w:sz="0" w:space="0" w:color="auto"/>
                                    <w:right w:val="none" w:sz="0" w:space="0" w:color="auto"/>
                                  </w:divBdr>
                                  <w:divsChild>
                                    <w:div w:id="1176843644">
                                      <w:marLeft w:val="0"/>
                                      <w:marRight w:val="0"/>
                                      <w:marTop w:val="0"/>
                                      <w:marBottom w:val="0"/>
                                      <w:divBdr>
                                        <w:top w:val="none" w:sz="0" w:space="0" w:color="auto"/>
                                        <w:left w:val="none" w:sz="0" w:space="0" w:color="auto"/>
                                        <w:bottom w:val="none" w:sz="0" w:space="0" w:color="auto"/>
                                        <w:right w:val="none" w:sz="0" w:space="0" w:color="auto"/>
                                      </w:divBdr>
                                      <w:divsChild>
                                        <w:div w:id="1166629162">
                                          <w:marLeft w:val="0"/>
                                          <w:marRight w:val="0"/>
                                          <w:marTop w:val="0"/>
                                          <w:marBottom w:val="0"/>
                                          <w:divBdr>
                                            <w:top w:val="none" w:sz="0" w:space="0" w:color="auto"/>
                                            <w:left w:val="none" w:sz="0" w:space="0" w:color="auto"/>
                                            <w:bottom w:val="none" w:sz="0" w:space="0" w:color="auto"/>
                                            <w:right w:val="none" w:sz="0" w:space="0" w:color="auto"/>
                                          </w:divBdr>
                                          <w:divsChild>
                                            <w:div w:id="1598901842">
                                              <w:marLeft w:val="0"/>
                                              <w:marRight w:val="0"/>
                                              <w:marTop w:val="0"/>
                                              <w:marBottom w:val="0"/>
                                              <w:divBdr>
                                                <w:top w:val="none" w:sz="0" w:space="0" w:color="auto"/>
                                                <w:left w:val="none" w:sz="0" w:space="0" w:color="auto"/>
                                                <w:bottom w:val="none" w:sz="0" w:space="0" w:color="auto"/>
                                                <w:right w:val="none" w:sz="0" w:space="0" w:color="auto"/>
                                              </w:divBdr>
                                              <w:divsChild>
                                                <w:div w:id="191920849">
                                                  <w:marLeft w:val="0"/>
                                                  <w:marRight w:val="0"/>
                                                  <w:marTop w:val="0"/>
                                                  <w:marBottom w:val="0"/>
                                                  <w:divBdr>
                                                    <w:top w:val="none" w:sz="0" w:space="0" w:color="auto"/>
                                                    <w:left w:val="none" w:sz="0" w:space="0" w:color="auto"/>
                                                    <w:bottom w:val="none" w:sz="0" w:space="0" w:color="auto"/>
                                                    <w:right w:val="none" w:sz="0" w:space="0" w:color="auto"/>
                                                  </w:divBdr>
                                                  <w:divsChild>
                                                    <w:div w:id="1445081378">
                                                      <w:marLeft w:val="0"/>
                                                      <w:marRight w:val="0"/>
                                                      <w:marTop w:val="0"/>
                                                      <w:marBottom w:val="0"/>
                                                      <w:divBdr>
                                                        <w:top w:val="none" w:sz="0" w:space="0" w:color="auto"/>
                                                        <w:left w:val="none" w:sz="0" w:space="0" w:color="auto"/>
                                                        <w:bottom w:val="none" w:sz="0" w:space="0" w:color="auto"/>
                                                        <w:right w:val="none" w:sz="0" w:space="0" w:color="auto"/>
                                                      </w:divBdr>
                                                      <w:divsChild>
                                                        <w:div w:id="235088193">
                                                          <w:marLeft w:val="0"/>
                                                          <w:marRight w:val="0"/>
                                                          <w:marTop w:val="0"/>
                                                          <w:marBottom w:val="0"/>
                                                          <w:divBdr>
                                                            <w:top w:val="none" w:sz="0" w:space="0" w:color="auto"/>
                                                            <w:left w:val="none" w:sz="0" w:space="0" w:color="auto"/>
                                                            <w:bottom w:val="none" w:sz="0" w:space="0" w:color="auto"/>
                                                            <w:right w:val="none" w:sz="0" w:space="0" w:color="auto"/>
                                                          </w:divBdr>
                                                        </w:div>
                                                        <w:div w:id="992609823">
                                                          <w:marLeft w:val="0"/>
                                                          <w:marRight w:val="0"/>
                                                          <w:marTop w:val="0"/>
                                                          <w:marBottom w:val="0"/>
                                                          <w:divBdr>
                                                            <w:top w:val="none" w:sz="0" w:space="0" w:color="auto"/>
                                                            <w:left w:val="none" w:sz="0" w:space="0" w:color="auto"/>
                                                            <w:bottom w:val="none" w:sz="0" w:space="0" w:color="auto"/>
                                                            <w:right w:val="none" w:sz="0" w:space="0" w:color="auto"/>
                                                          </w:divBdr>
                                                        </w:div>
                                                        <w:div w:id="12417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9370633">
      <w:bodyDiv w:val="1"/>
      <w:marLeft w:val="0"/>
      <w:marRight w:val="0"/>
      <w:marTop w:val="0"/>
      <w:marBottom w:val="0"/>
      <w:divBdr>
        <w:top w:val="none" w:sz="0" w:space="0" w:color="auto"/>
        <w:left w:val="none" w:sz="0" w:space="0" w:color="auto"/>
        <w:bottom w:val="none" w:sz="0" w:space="0" w:color="auto"/>
        <w:right w:val="none" w:sz="0" w:space="0" w:color="auto"/>
      </w:divBdr>
    </w:div>
    <w:div w:id="475411549">
      <w:bodyDiv w:val="1"/>
      <w:marLeft w:val="0"/>
      <w:marRight w:val="0"/>
      <w:marTop w:val="0"/>
      <w:marBottom w:val="0"/>
      <w:divBdr>
        <w:top w:val="none" w:sz="0" w:space="0" w:color="auto"/>
        <w:left w:val="none" w:sz="0" w:space="0" w:color="auto"/>
        <w:bottom w:val="none" w:sz="0" w:space="0" w:color="auto"/>
        <w:right w:val="none" w:sz="0" w:space="0" w:color="auto"/>
      </w:divBdr>
    </w:div>
    <w:div w:id="586043406">
      <w:bodyDiv w:val="1"/>
      <w:marLeft w:val="0"/>
      <w:marRight w:val="0"/>
      <w:marTop w:val="0"/>
      <w:marBottom w:val="0"/>
      <w:divBdr>
        <w:top w:val="none" w:sz="0" w:space="0" w:color="auto"/>
        <w:left w:val="none" w:sz="0" w:space="0" w:color="auto"/>
        <w:bottom w:val="none" w:sz="0" w:space="0" w:color="auto"/>
        <w:right w:val="none" w:sz="0" w:space="0" w:color="auto"/>
      </w:divBdr>
      <w:divsChild>
        <w:div w:id="1185555923">
          <w:marLeft w:val="0"/>
          <w:marRight w:val="0"/>
          <w:marTop w:val="0"/>
          <w:marBottom w:val="0"/>
          <w:divBdr>
            <w:top w:val="none" w:sz="0" w:space="0" w:color="auto"/>
            <w:left w:val="none" w:sz="0" w:space="0" w:color="auto"/>
            <w:bottom w:val="none" w:sz="0" w:space="0" w:color="auto"/>
            <w:right w:val="none" w:sz="0" w:space="0" w:color="auto"/>
          </w:divBdr>
          <w:divsChild>
            <w:div w:id="722143254">
              <w:marLeft w:val="0"/>
              <w:marRight w:val="0"/>
              <w:marTop w:val="0"/>
              <w:marBottom w:val="0"/>
              <w:divBdr>
                <w:top w:val="none" w:sz="0" w:space="0" w:color="auto"/>
                <w:left w:val="none" w:sz="0" w:space="0" w:color="auto"/>
                <w:bottom w:val="none" w:sz="0" w:space="0" w:color="auto"/>
                <w:right w:val="none" w:sz="0" w:space="0" w:color="auto"/>
              </w:divBdr>
              <w:divsChild>
                <w:div w:id="1971783231">
                  <w:marLeft w:val="0"/>
                  <w:marRight w:val="0"/>
                  <w:marTop w:val="900"/>
                  <w:marBottom w:val="0"/>
                  <w:divBdr>
                    <w:top w:val="none" w:sz="0" w:space="0" w:color="auto"/>
                    <w:left w:val="none" w:sz="0" w:space="0" w:color="auto"/>
                    <w:bottom w:val="none" w:sz="0" w:space="0" w:color="auto"/>
                    <w:right w:val="none" w:sz="0" w:space="0" w:color="auto"/>
                  </w:divBdr>
                  <w:divsChild>
                    <w:div w:id="234172562">
                      <w:marLeft w:val="0"/>
                      <w:marRight w:val="0"/>
                      <w:marTop w:val="0"/>
                      <w:marBottom w:val="0"/>
                      <w:divBdr>
                        <w:top w:val="none" w:sz="0" w:space="0" w:color="auto"/>
                        <w:left w:val="none" w:sz="0" w:space="0" w:color="auto"/>
                        <w:bottom w:val="none" w:sz="0" w:space="0" w:color="auto"/>
                        <w:right w:val="none" w:sz="0" w:space="0" w:color="auto"/>
                      </w:divBdr>
                      <w:divsChild>
                        <w:div w:id="638415954">
                          <w:marLeft w:val="0"/>
                          <w:marRight w:val="0"/>
                          <w:marTop w:val="0"/>
                          <w:marBottom w:val="0"/>
                          <w:divBdr>
                            <w:top w:val="none" w:sz="0" w:space="0" w:color="auto"/>
                            <w:left w:val="none" w:sz="0" w:space="0" w:color="auto"/>
                            <w:bottom w:val="none" w:sz="0" w:space="0" w:color="auto"/>
                            <w:right w:val="none" w:sz="0" w:space="0" w:color="auto"/>
                          </w:divBdr>
                          <w:divsChild>
                            <w:div w:id="1554733690">
                              <w:marLeft w:val="300"/>
                              <w:marRight w:val="300"/>
                              <w:marTop w:val="0"/>
                              <w:marBottom w:val="0"/>
                              <w:divBdr>
                                <w:top w:val="none" w:sz="0" w:space="0" w:color="auto"/>
                                <w:left w:val="none" w:sz="0" w:space="0" w:color="auto"/>
                                <w:bottom w:val="none" w:sz="0" w:space="0" w:color="auto"/>
                                <w:right w:val="none" w:sz="0" w:space="0" w:color="auto"/>
                              </w:divBdr>
                              <w:divsChild>
                                <w:div w:id="1776972674">
                                  <w:marLeft w:val="0"/>
                                  <w:marRight w:val="0"/>
                                  <w:marTop w:val="0"/>
                                  <w:marBottom w:val="0"/>
                                  <w:divBdr>
                                    <w:top w:val="none" w:sz="0" w:space="0" w:color="auto"/>
                                    <w:left w:val="none" w:sz="0" w:space="0" w:color="auto"/>
                                    <w:bottom w:val="none" w:sz="0" w:space="0" w:color="auto"/>
                                    <w:right w:val="none" w:sz="0" w:space="0" w:color="auto"/>
                                  </w:divBdr>
                                  <w:divsChild>
                                    <w:div w:id="668872203">
                                      <w:marLeft w:val="0"/>
                                      <w:marRight w:val="0"/>
                                      <w:marTop w:val="0"/>
                                      <w:marBottom w:val="0"/>
                                      <w:divBdr>
                                        <w:top w:val="none" w:sz="0" w:space="0" w:color="auto"/>
                                        <w:left w:val="none" w:sz="0" w:space="0" w:color="auto"/>
                                        <w:bottom w:val="none" w:sz="0" w:space="0" w:color="auto"/>
                                        <w:right w:val="none" w:sz="0" w:space="0" w:color="auto"/>
                                      </w:divBdr>
                                      <w:divsChild>
                                        <w:div w:id="674261891">
                                          <w:marLeft w:val="0"/>
                                          <w:marRight w:val="0"/>
                                          <w:marTop w:val="0"/>
                                          <w:marBottom w:val="0"/>
                                          <w:divBdr>
                                            <w:top w:val="none" w:sz="0" w:space="0" w:color="auto"/>
                                            <w:left w:val="none" w:sz="0" w:space="0" w:color="auto"/>
                                            <w:bottom w:val="none" w:sz="0" w:space="0" w:color="auto"/>
                                            <w:right w:val="none" w:sz="0" w:space="0" w:color="auto"/>
                                          </w:divBdr>
                                          <w:divsChild>
                                            <w:div w:id="1753162495">
                                              <w:marLeft w:val="0"/>
                                              <w:marRight w:val="0"/>
                                              <w:marTop w:val="0"/>
                                              <w:marBottom w:val="0"/>
                                              <w:divBdr>
                                                <w:top w:val="none" w:sz="0" w:space="0" w:color="auto"/>
                                                <w:left w:val="none" w:sz="0" w:space="0" w:color="auto"/>
                                                <w:bottom w:val="none" w:sz="0" w:space="0" w:color="auto"/>
                                                <w:right w:val="none" w:sz="0" w:space="0" w:color="auto"/>
                                              </w:divBdr>
                                              <w:divsChild>
                                                <w:div w:id="1848059986">
                                                  <w:marLeft w:val="0"/>
                                                  <w:marRight w:val="0"/>
                                                  <w:marTop w:val="0"/>
                                                  <w:marBottom w:val="0"/>
                                                  <w:divBdr>
                                                    <w:top w:val="none" w:sz="0" w:space="0" w:color="auto"/>
                                                    <w:left w:val="none" w:sz="0" w:space="0" w:color="auto"/>
                                                    <w:bottom w:val="none" w:sz="0" w:space="0" w:color="auto"/>
                                                    <w:right w:val="none" w:sz="0" w:space="0" w:color="auto"/>
                                                  </w:divBdr>
                                                  <w:divsChild>
                                                    <w:div w:id="1696343572">
                                                      <w:marLeft w:val="0"/>
                                                      <w:marRight w:val="0"/>
                                                      <w:marTop w:val="0"/>
                                                      <w:marBottom w:val="0"/>
                                                      <w:divBdr>
                                                        <w:top w:val="none" w:sz="0" w:space="0" w:color="auto"/>
                                                        <w:left w:val="none" w:sz="0" w:space="0" w:color="auto"/>
                                                        <w:bottom w:val="none" w:sz="0" w:space="0" w:color="auto"/>
                                                        <w:right w:val="none" w:sz="0" w:space="0" w:color="auto"/>
                                                      </w:divBdr>
                                                      <w:divsChild>
                                                        <w:div w:id="895697538">
                                                          <w:marLeft w:val="0"/>
                                                          <w:marRight w:val="0"/>
                                                          <w:marTop w:val="0"/>
                                                          <w:marBottom w:val="0"/>
                                                          <w:divBdr>
                                                            <w:top w:val="none" w:sz="0" w:space="0" w:color="auto"/>
                                                            <w:left w:val="none" w:sz="0" w:space="0" w:color="auto"/>
                                                            <w:bottom w:val="none" w:sz="0" w:space="0" w:color="auto"/>
                                                            <w:right w:val="none" w:sz="0" w:space="0" w:color="auto"/>
                                                          </w:divBdr>
                                                        </w:div>
                                                        <w:div w:id="234054246">
                                                          <w:marLeft w:val="0"/>
                                                          <w:marRight w:val="0"/>
                                                          <w:marTop w:val="0"/>
                                                          <w:marBottom w:val="0"/>
                                                          <w:divBdr>
                                                            <w:top w:val="none" w:sz="0" w:space="0" w:color="auto"/>
                                                            <w:left w:val="none" w:sz="0" w:space="0" w:color="auto"/>
                                                            <w:bottom w:val="none" w:sz="0" w:space="0" w:color="auto"/>
                                                            <w:right w:val="none" w:sz="0" w:space="0" w:color="auto"/>
                                                          </w:divBdr>
                                                        </w:div>
                                                        <w:div w:id="861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6679329">
      <w:bodyDiv w:val="1"/>
      <w:marLeft w:val="0"/>
      <w:marRight w:val="0"/>
      <w:marTop w:val="0"/>
      <w:marBottom w:val="0"/>
      <w:divBdr>
        <w:top w:val="none" w:sz="0" w:space="0" w:color="auto"/>
        <w:left w:val="none" w:sz="0" w:space="0" w:color="auto"/>
        <w:bottom w:val="none" w:sz="0" w:space="0" w:color="auto"/>
        <w:right w:val="none" w:sz="0" w:space="0" w:color="auto"/>
      </w:divBdr>
    </w:div>
    <w:div w:id="1394155017">
      <w:bodyDiv w:val="1"/>
      <w:marLeft w:val="0"/>
      <w:marRight w:val="0"/>
      <w:marTop w:val="0"/>
      <w:marBottom w:val="0"/>
      <w:divBdr>
        <w:top w:val="none" w:sz="0" w:space="0" w:color="auto"/>
        <w:left w:val="none" w:sz="0" w:space="0" w:color="auto"/>
        <w:bottom w:val="none" w:sz="0" w:space="0" w:color="auto"/>
        <w:right w:val="none" w:sz="0" w:space="0" w:color="auto"/>
      </w:divBdr>
    </w:div>
    <w:div w:id="1640182817">
      <w:bodyDiv w:val="1"/>
      <w:marLeft w:val="0"/>
      <w:marRight w:val="0"/>
      <w:marTop w:val="0"/>
      <w:marBottom w:val="0"/>
      <w:divBdr>
        <w:top w:val="none" w:sz="0" w:space="0" w:color="auto"/>
        <w:left w:val="none" w:sz="0" w:space="0" w:color="auto"/>
        <w:bottom w:val="none" w:sz="0" w:space="0" w:color="auto"/>
        <w:right w:val="none" w:sz="0" w:space="0" w:color="auto"/>
      </w:divBdr>
      <w:divsChild>
        <w:div w:id="34042547">
          <w:marLeft w:val="0"/>
          <w:marRight w:val="0"/>
          <w:marTop w:val="0"/>
          <w:marBottom w:val="0"/>
          <w:divBdr>
            <w:top w:val="none" w:sz="0" w:space="0" w:color="auto"/>
            <w:left w:val="none" w:sz="0" w:space="0" w:color="auto"/>
            <w:bottom w:val="none" w:sz="0" w:space="0" w:color="auto"/>
            <w:right w:val="none" w:sz="0" w:space="0" w:color="auto"/>
          </w:divBdr>
          <w:divsChild>
            <w:div w:id="605115801">
              <w:marLeft w:val="0"/>
              <w:marRight w:val="0"/>
              <w:marTop w:val="0"/>
              <w:marBottom w:val="0"/>
              <w:divBdr>
                <w:top w:val="none" w:sz="0" w:space="0" w:color="auto"/>
                <w:left w:val="none" w:sz="0" w:space="0" w:color="auto"/>
                <w:bottom w:val="none" w:sz="0" w:space="0" w:color="auto"/>
                <w:right w:val="none" w:sz="0" w:space="0" w:color="auto"/>
              </w:divBdr>
              <w:divsChild>
                <w:div w:id="1781677068">
                  <w:marLeft w:val="0"/>
                  <w:marRight w:val="0"/>
                  <w:marTop w:val="0"/>
                  <w:marBottom w:val="0"/>
                  <w:divBdr>
                    <w:top w:val="none" w:sz="0" w:space="0" w:color="auto"/>
                    <w:left w:val="none" w:sz="0" w:space="0" w:color="auto"/>
                    <w:bottom w:val="none" w:sz="0" w:space="0" w:color="auto"/>
                    <w:right w:val="none" w:sz="0" w:space="0" w:color="auto"/>
                  </w:divBdr>
                  <w:divsChild>
                    <w:div w:id="7259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6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as.ct.gov/Digest/Digest_2016/Mental%20Health%20and%20Addiction%20Services,%20Department%20of.pdf" TargetMode="External"/><Relationship Id="rId18" Type="http://schemas.openxmlformats.org/officeDocument/2006/relationships/hyperlink" Target="http://www.sciencedirect.com/science/journal/07364679/49/6" TargetMode="External"/><Relationship Id="rId26" Type="http://schemas.openxmlformats.org/officeDocument/2006/relationships/hyperlink" Target="http://www.ct.gov/dph/lib/dph/family_health/mchbg/ct_dph_mch_needs_assessment_data_report.pdf" TargetMode="External"/><Relationship Id="rId3" Type="http://schemas.openxmlformats.org/officeDocument/2006/relationships/customXml" Target="../customXml/item3.xml"/><Relationship Id="rId21" Type="http://schemas.openxmlformats.org/officeDocument/2006/relationships/hyperlink" Target="https://www.ncbi.nlm.nih.gov/pubmed/?term=Schiller%20M%5BAuthor%5D&amp;cauthor=true&amp;cauthor_uid=21392250"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sciencedirect.com/science/journal/07364679" TargetMode="External"/><Relationship Id="rId25" Type="http://schemas.openxmlformats.org/officeDocument/2006/relationships/hyperlink" Target="https://www.ncbi.nlm.nih.gov/pubmed/2139225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dc.gov/drugoverdose/data/statedeaths.html" TargetMode="External"/><Relationship Id="rId20" Type="http://schemas.openxmlformats.org/officeDocument/2006/relationships/hyperlink" Target="https://www.ncbi.nlm.nih.gov/pubmed/?term=White%20AG%5BAuthor%5D&amp;cauthor=true&amp;cauthor_uid=21392250" TargetMode="External"/><Relationship Id="rId29" Type="http://schemas.openxmlformats.org/officeDocument/2006/relationships/hyperlink" Target="http://www.ct.gov/dmhas/lib/dmhas/eqmi/annualreportsfy2016.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ncbi.nlm.nih.gov/pubmed/?term=Roland%20CL%5BAuthor%5D&amp;cauthor=true&amp;cauthor_uid=21392250"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ct.gov/dmhas/lib/dmhas/publications/CT-STR_to_Opioid_Crisis.pdf" TargetMode="External"/><Relationship Id="rId23" Type="http://schemas.openxmlformats.org/officeDocument/2006/relationships/hyperlink" Target="https://www.ncbi.nlm.nih.gov/pubmed/?term=Cleveland%20JM%5BAuthor%5D&amp;cauthor=true&amp;cauthor_uid=21392250" TargetMode="External"/><Relationship Id="rId28" Type="http://schemas.openxmlformats.org/officeDocument/2006/relationships/hyperlink" Target="https://www.bjs.gov/content/dcf/enforce.cfm" TargetMode="External"/><Relationship Id="rId10" Type="http://schemas.openxmlformats.org/officeDocument/2006/relationships/endnotes" Target="endnotes.xml"/><Relationship Id="rId19" Type="http://schemas.openxmlformats.org/officeDocument/2006/relationships/hyperlink" Target="https://www.ncbi.nlm.nih.gov/pubmed/?term=Birnbaum%20HG%5BAuthor%5D&amp;cauthor=true&amp;cauthor_uid=21392250" TargetMode="External"/><Relationship Id="rId31" Type="http://schemas.openxmlformats.org/officeDocument/2006/relationships/hyperlink" Target="http://aibolita.com/nervous-diseases/5051-opioids-and-crim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cdc.gov/psr/" TargetMode="External"/><Relationship Id="rId22" Type="http://schemas.openxmlformats.org/officeDocument/2006/relationships/hyperlink" Target="https://www.ncbi.nlm.nih.gov/pubmed/?term=Waldman%20T%5BAuthor%5D&amp;cauthor=true&amp;cauthor_uid=21392250" TargetMode="External"/><Relationship Id="rId27" Type="http://schemas.openxmlformats.org/officeDocument/2006/relationships/hyperlink" Target="http://www.dpsdata.ct.gov/dps/ucr/data/2015/Crime%20in%20Connecticut%202015.pdf" TargetMode="External"/><Relationship Id="rId30" Type="http://schemas.openxmlformats.org/officeDocument/2006/relationships/hyperlink" Target="http://www.bjs.gov/content/dcf/duc.cf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hhs.gov/sites/default/files/Factsheet-opioids-061516.pdf" TargetMode="External"/><Relationship Id="rId3" Type="http://schemas.openxmlformats.org/officeDocument/2006/relationships/hyperlink" Target="https://www.cdc.gov/hepatitis/populations/idu.htm" TargetMode="External"/><Relationship Id="rId7" Type="http://schemas.openxmlformats.org/officeDocument/2006/relationships/hyperlink" Target="https://drugfree.org/wp-content/uploads/2015/04/Matrix_OpioidAbuse_040415.pdf" TargetMode="External"/><Relationship Id="rId2" Type="http://schemas.openxmlformats.org/officeDocument/2006/relationships/hyperlink" Target="http://www.iaclea.org/visitors/PDFs/DEA-Drugs_of_Abuse_2017.pdf" TargetMode="External"/><Relationship Id="rId1" Type="http://schemas.openxmlformats.org/officeDocument/2006/relationships/hyperlink" Target="https://www.ncsacw.samhsa.gov/files/Collaborative_Approach_508.pdf" TargetMode="External"/><Relationship Id="rId6" Type="http://schemas.openxmlformats.org/officeDocument/2006/relationships/hyperlink" Target="http://www.ct.gov/dph/lib/dph/aids_and_chronic/surveillance/epiprofile.pdf" TargetMode="External"/><Relationship Id="rId5" Type="http://schemas.openxmlformats.org/officeDocument/2006/relationships/hyperlink" Target="http://www.ct.gov/dph/lib/dph/publications/family_health/nas_fact_sheet_2016.pdf" TargetMode="External"/><Relationship Id="rId4" Type="http://schemas.openxmlformats.org/officeDocument/2006/relationships/hyperlink" Target="https://www.dea.gov/resource-center/2016%20NDTA%20Summar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rsk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purl.org/dc/dcmitype/"/>
    <ds:schemaRef ds:uri="http://schemas.microsoft.com/office/infopath/2007/PartnerControls"/>
    <ds:schemaRef ds:uri="http://purl.org/dc/elements/1.1/"/>
    <ds:schemaRef ds:uri="http://purl.org/dc/terms/"/>
    <ds:schemaRef ds:uri="http://schemas.microsoft.com/office/2006/documentManagement/types"/>
    <ds:schemaRef ds:uri="http://www.w3.org/XML/1998/namespace"/>
    <ds:schemaRef ds:uri="4873beb7-5857-4685-be1f-d57550cc96cc"/>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C1DC3F65-8517-43E4-963C-8E92C1EC2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TotalTime>
  <Pages>5</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Gorski,Alexandra</dc:creator>
  <cp:keywords/>
  <dc:description/>
  <cp:lastModifiedBy>Sussman,Jennifer E.</cp:lastModifiedBy>
  <cp:revision>4</cp:revision>
  <cp:lastPrinted>2017-07-25T19:10:00Z</cp:lastPrinted>
  <dcterms:created xsi:type="dcterms:W3CDTF">2017-09-19T20:24:00Z</dcterms:created>
  <dcterms:modified xsi:type="dcterms:W3CDTF">2017-09-19T20:37:00Z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