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Engineering Report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 xml:space="preserve">The migration project made steady progress this quarter.   We reduced deployment time and improved reliability.    </w:t>
      </w:r>
    </w:p>
    <w:p>
      <w:r>
        <w:t>CONFIDENTIAL - INTERNAL USE ONLY</w:t>
      </w:r>
    </w:p>
    <w:p>
      <w:r>
        <w:t>CONFIDENTIAL - INTERNAL USE ONLY</w:t>
      </w:r>
    </w:p>
    <w:p>
      <w:r>
        <w:t>CONFIDENTIAL - INTERNAL USE ONLY</w:t>
      </w:r>
    </w:p>
    <w:p>
      <w:r>
        <w:t>CONFIDENTIAL - INTERNAL USE ONLY</w:t>
      </w:r>
    </w:p>
    <w:p>
      <w:r>
        <w:t>CONFIDENTIAL - INTERNAL USE ONLY</w:t>
      </w:r>
    </w:p>
    <w:p>
      <w:r>
        <w:t>Unique closing action: ship the release on Friday.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Uptime</w:t>
            </w:r>
          </w:p>
        </w:tc>
        <w:tc>
          <w:tcPr>
            <w:tcW w:type="dxa" w:w="4320"/>
          </w:tcPr>
          <w:p>
            <w:r>
              <w:t>99.95%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