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595959"/>
          <w:sz w:val="16"/>
        </w:rPr>
        <w:t>IG Finance  |  Buy-side competitive analysis  |  29 September 2026</w:t>
      </w:r>
    </w:p>
    <w:p>
      <w:pPr>
        <w:spacing w:after="0"/>
      </w:pPr>
      <w:r>
        <w:rPr>
          <w:b/>
          <w:i w:val="0"/>
          <w:color w:val="1F3A5F"/>
          <w:sz w:val="36"/>
        </w:rPr>
        <w:t>eToro Group Ltd (NASDAQ: ETOR)</w:t>
      </w:r>
    </w:p>
    <w:p>
      <w:pPr>
        <w:spacing w:after="80"/>
      </w:pPr>
      <w:r>
        <w:rPr>
          <w:b w:val="0"/>
          <w:i w:val="0"/>
          <w:color w:val="595959"/>
          <w:sz w:val="22"/>
        </w:rPr>
        <w:t>Competitive-positioning and valuation thesis vs similarly sized peers</w:t>
      </w:r>
    </w:p>
    <w:tbl>
      <w:tblPr>
        <w:tblW w:type="auto" w:w="0"/>
        <w:tblLook w:firstColumn="1" w:firstRow="1" w:lastColumn="0" w:lastRow="0" w:noHBand="0" w:noVBand="1" w:val="04A0"/>
        <w:tblBorders>
          <w:top w:val="single" w:sz="4" w:color="1F3A5F"/>
          <w:left w:val="single" w:sz="4" w:color="1F3A5F"/>
          <w:bottom w:val="single" w:sz="4" w:color="1F3A5F"/>
          <w:right w:val="single" w:sz="4" w:color="1F3A5F"/>
          <w:insideH w:val="single" w:sz="4" w:color="1F3A5F"/>
          <w:insideV w:val="single" w:sz="4" w:color="1F3A5F"/>
        </w:tblBorders>
      </w:tblPr>
      <w:tblGrid>
        <w:gridCol w:w="10092"/>
      </w:tblGrid>
      <w:tr>
        <w:tc>
          <w:tcPr>
            <w:tcW w:type="dxa" w:w="10091"/>
            <w:shd w:val="clear" w:color="auto" w:fill="FBE9DD"/>
          </w:tcPr>
          <w:p>
            <w:r>
              <w:rPr>
                <w:b/>
                <w:i w:val="0"/>
                <w:color w:val="C55A11"/>
                <w:sz w:val="21"/>
              </w:rPr>
              <w:t>Conflict of interest and data-basis notice</w:t>
            </w:r>
          </w:p>
          <w:p>
            <w:pPr>
              <w:spacing w:after="30"/>
            </w:pPr>
            <w:r>
              <w:rPr>
                <w:b w:val="0"/>
                <w:i w:val="0"/>
                <w:sz w:val="18"/>
              </w:rPr>
              <w:t>The requester works in IG Group Finance (IG Australia). IG Group is a direct competitor of eToro in the UK, EU and Australia. IG is included as a benchmark in the peer table only. At the user's instruction it is excluded from the growth-strategy matrix. Conclusions touching IG's own positioning should be reviewed by someone independent of IG strategy.</w:t>
            </w:r>
          </w:p>
          <w:p>
            <w:pPr>
              <w:spacing w:after="30"/>
            </w:pPr>
            <w:r>
              <w:rPr>
                <w:b/>
                <w:i w:val="0"/>
                <w:sz w:val="18"/>
              </w:rPr>
              <w:t>Data basis:</w:t>
            </w:r>
            <w:r>
              <w:rPr>
                <w:b w:val="0"/>
                <w:i w:val="0"/>
                <w:sz w:val="18"/>
              </w:rPr>
              <w:t xml:space="preserve"> the network egress proxy blocked WebFetch for every primary source tried (investors.etoro.com, sec.gov, globenewswire and others). Every figure comes from web-search summaries of the cited URLs and has not been read in the primary filing. See Section 12.</w:t>
            </w:r>
          </w:p>
        </w:tc>
      </w:tr>
    </w:tbl>
    <w:p>
      <w:pPr>
        <w:spacing w:after="40"/>
      </w:pPr>
    </w:p>
    <w:p>
      <w:pPr>
        <w:pStyle w:val="Heading1"/>
      </w:pPr>
      <w:r>
        <w:t>1. Verdict and executive summary</w:t>
      </w:r>
    </w:p>
    <w:tbl>
      <w:tblPr>
        <w:tblW w:type="auto" w:w="0"/>
        <w:tblLook w:firstColumn="1" w:firstRow="1" w:lastColumn="0" w:lastRow="0" w:noHBand="0" w:noVBand="1" w:val="04A0"/>
        <w:tblBorders>
          <w:top w:val="single" w:sz="4" w:color="1F3A5F"/>
          <w:left w:val="single" w:sz="4" w:color="1F3A5F"/>
          <w:bottom w:val="single" w:sz="4" w:color="1F3A5F"/>
          <w:right w:val="single" w:sz="4" w:color="1F3A5F"/>
          <w:insideH w:val="single" w:sz="4" w:color="1F3A5F"/>
          <w:insideV w:val="single" w:sz="4" w:color="1F3A5F"/>
        </w:tblBorders>
      </w:tblPr>
      <w:tblGrid>
        <w:gridCol w:w="10092"/>
      </w:tblGrid>
      <w:tr>
        <w:tc>
          <w:tcPr>
            <w:tcW w:type="dxa" w:w="10091"/>
            <w:shd w:val="clear" w:color="auto" w:fill="E7ECF2"/>
          </w:tcPr>
          <w:p>
            <w:r>
              <w:rPr>
                <w:b/>
                <w:i w:val="0"/>
                <w:color w:val="1F3A5F"/>
                <w:sz w:val="21"/>
              </w:rPr>
              <w:t>Verdict box</w:t>
            </w:r>
          </w:p>
          <w:p>
            <w:pPr>
              <w:spacing w:after="30"/>
            </w:pPr>
            <w:r>
              <w:rPr>
                <w:b/>
                <w:i w:val="0"/>
                <w:sz w:val="18"/>
              </w:rPr>
              <w:t>Recommendation:</w:t>
            </w:r>
            <w:r>
              <w:rPr>
                <w:b w:val="0"/>
                <w:i w:val="0"/>
                <w:sz w:val="18"/>
              </w:rPr>
              <w:t xml:space="preserve"> eToro is a </w:t>
            </w:r>
            <w:r>
              <w:rPr>
                <w:b/>
                <w:i w:val="0"/>
                <w:sz w:val="18"/>
              </w:rPr>
              <w:t>cyclical value situation, not a compounding franchise</w:t>
            </w:r>
            <w:r>
              <w:rPr>
                <w:b w:val="0"/>
                <w:i w:val="0"/>
                <w:sz w:val="18"/>
              </w:rPr>
              <w:t xml:space="preserve">. It screens </w:t>
            </w:r>
            <w:r>
              <w:rPr>
                <w:b/>
                <w:i w:val="0"/>
                <w:sz w:val="18"/>
              </w:rPr>
              <w:t>undervalued</w:t>
            </w:r>
            <w:r>
              <w:rPr>
                <w:b w:val="0"/>
                <w:i w:val="0"/>
                <w:sz w:val="18"/>
              </w:rPr>
              <w:t xml:space="preserve"> against every listed peer. The probability-weighted value is </w:t>
            </w:r>
            <w:r>
              <w:rPr>
                <w:b/>
                <w:i w:val="0"/>
                <w:sz w:val="18"/>
              </w:rPr>
              <w:t>$37.07/share (+40% vs $26.40)</w:t>
            </w:r>
            <w:r>
              <w:rPr>
                <w:b w:val="0"/>
                <w:i w:val="0"/>
                <w:sz w:val="18"/>
              </w:rPr>
              <w:t xml:space="preserve">. It has </w:t>
            </w:r>
            <w:r>
              <w:rPr>
                <w:b/>
                <w:i w:val="0"/>
                <w:sz w:val="18"/>
              </w:rPr>
              <w:t>no durable competitive advantage</w:t>
            </w:r>
            <w:r>
              <w:rPr>
                <w:b w:val="0"/>
                <w:i w:val="0"/>
                <w:sz w:val="18"/>
              </w:rPr>
              <w:t>: no Strong moat rating in any category. On the Buffett-style scorecard it scores 1 PASS / 6 CAUTION / 1 FAIL.</w:t>
            </w:r>
          </w:p>
          <w:p>
            <w:pPr>
              <w:spacing w:after="30"/>
            </w:pPr>
            <w:r>
              <w:rPr>
                <w:b/>
                <w:i w:val="0"/>
                <w:sz w:val="18"/>
              </w:rPr>
              <w:t>Fair-value view:</w:t>
            </w:r>
            <w:r>
              <w:rPr>
                <w:b w:val="0"/>
                <w:i w:val="0"/>
                <w:sz w:val="18"/>
              </w:rPr>
              <w:t xml:space="preserve"> central EV $1.50bn (50% credit for the $1.2bn of cash), which is 1.61x LTM net contribution and 4.3x LTM adj. EBITDA. Plus500 trades at 7.3x EV/EBITDA and the peer median Mcap/revenue is 6.0x. The discount survives the most conservative case: at zero cash credit and a diluted share count, EV/EBITDA is 6.9x.</w:t>
            </w:r>
          </w:p>
          <w:p>
            <w:pPr>
              <w:spacing w:after="30"/>
            </w:pPr>
            <w:r>
              <w:rPr>
                <w:b/>
                <w:i w:val="0"/>
                <w:sz w:val="18"/>
              </w:rPr>
              <w:t>Top 3 findings:</w:t>
            </w:r>
          </w:p>
          <w:p>
            <w:pPr>
              <w:spacing w:after="30"/>
            </w:pPr>
            <w:r>
              <w:rPr>
                <w:b w:val="0"/>
                <w:i w:val="0"/>
                <w:sz w:val="18"/>
              </w:rPr>
              <w:t xml:space="preserve">1. </w:t>
            </w:r>
            <w:r>
              <w:rPr>
                <w:b/>
                <w:i w:val="0"/>
                <w:sz w:val="18"/>
              </w:rPr>
              <w:t>Cheap on every lens.</w:t>
            </w:r>
            <w:r>
              <w:rPr>
                <w:b w:val="0"/>
                <w:i w:val="0"/>
                <w:sz w:val="18"/>
              </w:rPr>
              <w:t xml:space="preserve"> P/E 8.1x vs a peer median of 11.9x. EV/EBITDA runs 2.6x–6.9x across all share-count and cash cases, every one below Plus500. Growth-adjusted, eToro is the second cheapest (EV/revenue per point of growth 0.115x, after XTB at 0.075x).</w:t>
            </w:r>
          </w:p>
          <w:p>
            <w:pPr>
              <w:spacing w:after="30"/>
            </w:pPr>
            <w:r>
              <w:rPr>
                <w:b w:val="0"/>
                <w:i w:val="0"/>
                <w:sz w:val="18"/>
              </w:rPr>
              <w:t xml:space="preserve">2. </w:t>
            </w:r>
            <w:r>
              <w:rPr>
                <w:b/>
                <w:i w:val="0"/>
                <w:sz w:val="18"/>
              </w:rPr>
              <w:t>Not the scale leader.</w:t>
            </w:r>
            <w:r>
              <w:rPr>
                <w:b w:val="0"/>
                <w:i w:val="0"/>
                <w:sz w:val="18"/>
              </w:rPr>
              <w:t xml:space="preserve"> eToro ranks #3 of 7 on accounts (behind Webull and Trading 212), #2 on revenue (behind IG) and #5 of 6 on client assets. It monetises trading activity (take-rate ~4.8% of AUA annualised), not assets.</w:t>
            </w:r>
          </w:p>
          <w:p>
            <w:pPr>
              <w:spacing w:after="30"/>
            </w:pPr>
            <w:r>
              <w:rPr>
                <w:b w:val="0"/>
                <w:i w:val="0"/>
                <w:sz w:val="18"/>
              </w:rPr>
              <w:t xml:space="preserve">3. </w:t>
            </w:r>
            <w:r>
              <w:rPr>
                <w:b/>
                <w:i w:val="0"/>
                <w:sz w:val="18"/>
              </w:rPr>
              <w:t>Earnings quality is volatile.</w:t>
            </w:r>
            <w:r>
              <w:rPr>
                <w:b w:val="0"/>
                <w:i w:val="0"/>
                <w:sz w:val="18"/>
              </w:rPr>
              <w:t xml:space="preserve"> The mix rotated from crypto (50% of commission in Q4 24, 11% in Q2 26) to commodities (Q1 26) to equities (Q2 26). Adj. EBITDA growth slowed from +35% to +9% between Q1 and Q2 26 (stated; +36% / +8% recomputed). Margins range 33–43%. The cross-check found 6 FLAGs.</w:t>
            </w:r>
          </w:p>
          <w:p>
            <w:pPr>
              <w:spacing w:after="30"/>
            </w:pPr>
            <w:r>
              <w:rPr>
                <w:b/>
                <w:i w:val="0"/>
                <w:sz w:val="18"/>
              </w:rPr>
              <w:t>Top 3 risks:</w:t>
            </w:r>
            <w:r>
              <w:rPr>
                <w:b w:val="0"/>
                <w:i w:val="0"/>
                <w:sz w:val="18"/>
              </w:rPr>
              <w:t xml:space="preserve"> (1) The </w:t>
            </w:r>
            <w:r>
              <w:rPr>
                <w:b/>
                <w:i w:val="0"/>
                <w:sz w:val="18"/>
              </w:rPr>
              <w:t>cash definition is unresolved</w:t>
            </w:r>
            <w:r>
              <w:rPr>
                <w:b w:val="0"/>
                <w:i w:val="0"/>
                <w:sz w:val="18"/>
              </w:rPr>
              <w:t xml:space="preserve">, so EV spans $0.90–2.41bn. (2) </w:t>
            </w:r>
            <w:r>
              <w:rPr>
                <w:b/>
                <w:i w:val="0"/>
                <w:sz w:val="18"/>
              </w:rPr>
              <w:t>Execution load</w:t>
            </w:r>
            <w:r>
              <w:rPr>
                <w:b w:val="0"/>
                <w:i w:val="0"/>
                <w:sz w:val="18"/>
              </w:rPr>
              <w:t xml:space="preserve">: eight concurrent initiatives, including TradeZero (priced at 1.8x eToro's own EV/NC and part-paid in shares) and a new-app migration from 4 Oct 2026. (3) </w:t>
            </w:r>
            <w:r>
              <w:rPr>
                <w:b/>
                <w:i w:val="0"/>
                <w:sz w:val="18"/>
              </w:rPr>
              <w:t>Regulatory and cyclical exposure</w:t>
            </w:r>
            <w:r>
              <w:rPr>
                <w:b w:val="0"/>
                <w:i w:val="0"/>
                <w:sz w:val="18"/>
              </w:rPr>
              <w:t>: ASIC's CFD design-and-distribution case is unresolved, crypto and CFD rules keep changing, and NII ($49m, 21% of Q2 NC) is rate-sensitive.</w:t>
            </w:r>
          </w:p>
        </w:tc>
      </w:tr>
    </w:tbl>
    <w:p>
      <w:pPr>
        <w:spacing w:after="40"/>
      </w:pPr>
    </w:p>
    <w:p>
      <w:r>
        <w:rPr>
          <w:b/>
          <w:i w:val="0"/>
        </w:rPr>
        <w:t>Executive summary.</w:t>
      </w:r>
      <w:r>
        <w:rPr>
          <w:b w:val="0"/>
          <w:i w:val="0"/>
        </w:rPr>
        <w:t xml:space="preserve"> eToro is a ~$2.1bn market-cap, multi-asset retail investing app with 4.28m funded accounts, $19.2bn AUA (June; $20.2bn in August) and LTM net contribution of $929m ($352m adj. EBITDA, $261m GAAP net income). Since the May 2025 IPO at $52 the shares have fallen 49%. That leaves the equity 80% below the 2021 SPAC valuation and 40% below the 2023 private round. Against six confirmed peers (IG Group, Plus500, Webull, XTB, Trading 212, Swissquote) eToro is mid-pack on scale and cheap on valuation. The discount is explained, but not fully justified, by four things: earnings cyclicality, the lack of a hard moat, an unusually heavy initiative slate and uncertainty over how much of its cash is free. The scorecard and the valuation cross-check </w:t>
      </w:r>
      <w:r>
        <w:rPr>
          <w:b/>
          <w:i w:val="0"/>
        </w:rPr>
        <w:t>conflict</w:t>
      </w:r>
      <w:r>
        <w:rPr>
          <w:b w:val="0"/>
          <w:i w:val="0"/>
        </w:rPr>
        <w:t>: the price passes and the durability tests mostly do not. That is the signature of a value trade whose upside depends on volumes holding, not on a franchise compounding.</w:t>
      </w:r>
    </w:p>
    <w:p>
      <w:pPr>
        <w:pStyle w:val="Heading1"/>
      </w:pPr>
      <w:r>
        <w:t>2. Target and transaction overview</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8164"/>
      </w:tblGrid>
      <w:tr>
        <w:tc>
          <w:tcPr>
            <w:tcW w:type="dxa" w:w="1928"/>
            <w:shd w:val="clear" w:color="auto" w:fill="1F3A5F"/>
          </w:tcPr>
          <w:p>
            <w:pPr>
              <w:spacing w:after="0"/>
            </w:pPr>
            <w:r>
              <w:rPr>
                <w:b/>
                <w:i w:val="0"/>
                <w:color w:val="FFFFFF"/>
                <w:sz w:val="16"/>
              </w:rPr>
              <w:t>Item</w:t>
            </w:r>
          </w:p>
        </w:tc>
        <w:tc>
          <w:tcPr>
            <w:tcW w:type="dxa" w:w="8164"/>
            <w:shd w:val="clear" w:color="auto" w:fill="1F3A5F"/>
          </w:tcPr>
          <w:p>
            <w:pPr>
              <w:spacing w:after="0"/>
            </w:pPr>
            <w:r>
              <w:rPr>
                <w:b/>
                <w:i w:val="0"/>
                <w:color w:val="FFFFFF"/>
                <w:sz w:val="16"/>
              </w:rPr>
              <w:t>Detail (source basis)</w:t>
            </w:r>
          </w:p>
        </w:tc>
      </w:tr>
      <w:tr>
        <w:tc>
          <w:tcPr>
            <w:tcW w:type="dxa" w:w="1928"/>
          </w:tcPr>
          <w:p>
            <w:pPr>
              <w:spacing w:after="0"/>
            </w:pPr>
            <w:r>
              <w:rPr>
                <w:b w:val="0"/>
                <w:i w:val="0"/>
                <w:sz w:val="16"/>
              </w:rPr>
              <w:t>Business</w:t>
            </w:r>
          </w:p>
        </w:tc>
        <w:tc>
          <w:tcPr>
            <w:tcW w:type="dxa" w:w="8164"/>
          </w:tcPr>
          <w:p>
            <w:pPr>
              <w:spacing w:after="0"/>
            </w:pPr>
            <w:r>
              <w:rPr>
                <w:b w:val="0"/>
                <w:i w:val="0"/>
                <w:sz w:val="16"/>
              </w:rPr>
              <w:t>Multi-asset retail investing and social/copy-trading app: equities, ETFs, commodities, FX, crypto, CFDs, futures, eToro Money. Licences include CySEC (incl. MiCA, Jan 2025), FCA and ASIC. Headcount ~1,500 after a 7% cut on 13 Jan 2026 (CO/PR).</w:t>
            </w:r>
          </w:p>
        </w:tc>
      </w:tr>
      <w:tr>
        <w:tc>
          <w:tcPr>
            <w:tcW w:type="dxa" w:w="1928"/>
            <w:shd w:val="clear" w:color="auto" w:fill="F2F4F7"/>
          </w:tcPr>
          <w:p>
            <w:pPr>
              <w:spacing w:after="0"/>
            </w:pPr>
            <w:r>
              <w:rPr>
                <w:b w:val="0"/>
                <w:i w:val="0"/>
                <w:sz w:val="16"/>
              </w:rPr>
              <w:t>Scale (30 Jun 2026)</w:t>
            </w:r>
          </w:p>
        </w:tc>
        <w:tc>
          <w:tcPr>
            <w:tcW w:type="dxa" w:w="8164"/>
            <w:shd w:val="clear" w:color="auto" w:fill="F2F4F7"/>
          </w:tcPr>
          <w:p>
            <w:pPr>
              <w:spacing w:after="0"/>
            </w:pPr>
            <w:r>
              <w:rPr>
                <w:b w:val="0"/>
                <w:i w:val="0"/>
                <w:sz w:val="16"/>
              </w:rPr>
              <w:t>Funded accounts 4.28m (+18% YoY); AUA $19.2bn (+10%); cash, cash equivalents and ST investments $1.2bn (CO).</w:t>
            </w:r>
          </w:p>
        </w:tc>
      </w:tr>
      <w:tr>
        <w:tc>
          <w:tcPr>
            <w:tcW w:type="dxa" w:w="1928"/>
          </w:tcPr>
          <w:p>
            <w:pPr>
              <w:spacing w:after="0"/>
            </w:pPr>
            <w:r>
              <w:rPr>
                <w:b w:val="0"/>
                <w:i w:val="0"/>
                <w:sz w:val="16"/>
              </w:rPr>
              <w:t>Q2 2026</w:t>
            </w:r>
          </w:p>
        </w:tc>
        <w:tc>
          <w:tcPr>
            <w:tcW w:type="dxa" w:w="8164"/>
          </w:tcPr>
          <w:p>
            <w:pPr>
              <w:spacing w:after="0"/>
            </w:pPr>
            <w:r>
              <w:rPr>
                <w:b w:val="0"/>
                <w:i w:val="0"/>
                <w:sz w:val="16"/>
              </w:rPr>
              <w:t>NC $229m (+9%): capital markets $142m, NII $49m, eToro Money $26m, crypto $11m (sums to $228m; ties within rounding). Adj. EBITDA $78m (34.1%). GAAP NI $53m (CO/PR).</w:t>
            </w:r>
          </w:p>
        </w:tc>
      </w:tr>
      <w:tr>
        <w:tc>
          <w:tcPr>
            <w:tcW w:type="dxa" w:w="1928"/>
            <w:shd w:val="clear" w:color="auto" w:fill="F2F4F7"/>
          </w:tcPr>
          <w:p>
            <w:pPr>
              <w:spacing w:after="0"/>
            </w:pPr>
            <w:r>
              <w:rPr>
                <w:b w:val="0"/>
                <w:i w:val="0"/>
                <w:sz w:val="16"/>
              </w:rPr>
              <w:t>LTM Q2 2026</w:t>
            </w:r>
          </w:p>
        </w:tc>
        <w:tc>
          <w:tcPr>
            <w:tcW w:type="dxa" w:w="8164"/>
            <w:shd w:val="clear" w:color="auto" w:fill="F2F4F7"/>
          </w:tcPr>
          <w:p>
            <w:pPr>
              <w:spacing w:after="0"/>
            </w:pPr>
            <w:r>
              <w:rPr>
                <w:b w:val="0"/>
                <w:i w:val="0"/>
                <w:sz w:val="16"/>
              </w:rPr>
              <w:t>NC $929m; adj. EBITDA $352m (37.9%); GAAP NI $260.8m (28.1% of NC). NC growth H1 26 vs H1 25 14.1%.</w:t>
            </w:r>
          </w:p>
        </w:tc>
      </w:tr>
      <w:tr>
        <w:tc>
          <w:tcPr>
            <w:tcW w:type="dxa" w:w="1928"/>
          </w:tcPr>
          <w:p>
            <w:pPr>
              <w:spacing w:after="0"/>
            </w:pPr>
            <w:r>
              <w:rPr>
                <w:b w:val="0"/>
                <w:i w:val="0"/>
                <w:sz w:val="16"/>
              </w:rPr>
              <w:t>Valuation history</w:t>
            </w:r>
          </w:p>
        </w:tc>
        <w:tc>
          <w:tcPr>
            <w:tcW w:type="dxa" w:w="8164"/>
          </w:tcPr>
          <w:p>
            <w:pPr>
              <w:spacing w:after="0"/>
            </w:pPr>
            <w:r>
              <w:rPr>
                <w:b w:val="0"/>
                <w:i w:val="0"/>
                <w:sz w:val="16"/>
              </w:rPr>
              <w:t>SPAC with FinTech Acquisition Corp V at $10.4bn (Mar 2021), cut to $8.8bn, terminated 5 Jul 2022 with no fee. $250m raised at $3.5bn (Mar 2023). IPO 13 May 2025 at $52 (~$4.2bn; 11.92m shares, 5.96m primary = ~$310m to the company). Now $26.40 (28 Sep 2026) (PR/AGG).</w:t>
            </w:r>
          </w:p>
        </w:tc>
      </w:tr>
      <w:tr>
        <w:tc>
          <w:tcPr>
            <w:tcW w:type="dxa" w:w="1928"/>
            <w:shd w:val="clear" w:color="auto" w:fill="F2F4F7"/>
          </w:tcPr>
          <w:p>
            <w:pPr>
              <w:spacing w:after="0"/>
            </w:pPr>
            <w:r>
              <w:rPr>
                <w:b w:val="0"/>
                <w:i w:val="0"/>
                <w:sz w:val="16"/>
              </w:rPr>
              <w:t>Capital returns</w:t>
            </w:r>
          </w:p>
        </w:tc>
        <w:tc>
          <w:tcPr>
            <w:tcW w:type="dxa" w:w="8164"/>
            <w:shd w:val="clear" w:color="auto" w:fill="F2F4F7"/>
          </w:tcPr>
          <w:p>
            <w:pPr>
              <w:spacing w:after="0"/>
            </w:pPr>
            <w:r>
              <w:rPr>
                <w:b w:val="0"/>
                <w:i w:val="0"/>
                <w:sz w:val="16"/>
              </w:rPr>
              <w:t>$50m accelerated share repurchase with Citi (18 Feb 2026). $100m of authorisation remains after it (CO).</w:t>
            </w:r>
          </w:p>
        </w:tc>
      </w:tr>
      <w:tr>
        <w:tc>
          <w:tcPr>
            <w:tcW w:type="dxa" w:w="1928"/>
          </w:tcPr>
          <w:p>
            <w:pPr>
              <w:spacing w:after="0"/>
            </w:pPr>
            <w:r>
              <w:rPr>
                <w:b w:val="0"/>
                <w:i w:val="0"/>
                <w:sz w:val="16"/>
              </w:rPr>
              <w:t>Live transaction</w:t>
            </w:r>
          </w:p>
        </w:tc>
        <w:tc>
          <w:tcPr>
            <w:tcW w:type="dxa" w:w="8164"/>
          </w:tcPr>
          <w:p>
            <w:pPr>
              <w:spacing w:after="0"/>
            </w:pPr>
            <w:r>
              <w:rPr>
                <w:b w:val="0"/>
                <w:i w:val="0"/>
                <w:sz w:val="16"/>
              </w:rPr>
              <w:t>Agreement to acquire TradeZero (US active-trader broker; ~$80m LTM revenue, 81% gross margin) for up to $231m in cash plus up to 2.5m new Class A shares (~$66m at today's price). That is 2.9x revenue. It needs regulatory approval, with close expected H1 2027. Stated to be accretive to adj. EPS in year 1 (CO).</w:t>
            </w:r>
          </w:p>
        </w:tc>
      </w:tr>
      <w:tr>
        <w:tc>
          <w:tcPr>
            <w:tcW w:type="dxa" w:w="1928"/>
            <w:shd w:val="clear" w:color="auto" w:fill="F2F4F7"/>
          </w:tcPr>
          <w:p>
            <w:pPr>
              <w:spacing w:after="0"/>
            </w:pPr>
            <w:r>
              <w:rPr>
                <w:b w:val="0"/>
                <w:i w:val="0"/>
                <w:sz w:val="16"/>
              </w:rPr>
              <w:t>Governance</w:t>
            </w:r>
          </w:p>
        </w:tc>
        <w:tc>
          <w:tcPr>
            <w:tcW w:type="dxa" w:w="8164"/>
            <w:shd w:val="clear" w:color="auto" w:fill="F2F4F7"/>
          </w:tcPr>
          <w:p>
            <w:pPr>
              <w:spacing w:after="0"/>
            </w:pPr>
            <w:r>
              <w:rPr>
                <w:b w:val="0"/>
                <w:i w:val="0"/>
                <w:sz w:val="16"/>
              </w:rPr>
              <w:t>Founder-CEO Yoni Assia holds 9.34% of votes post-IPO; Spark Capital ~14%; Nir Barkat and partners ~8.95% (PR).</w:t>
            </w:r>
          </w:p>
        </w:tc>
      </w:tr>
      <w:tr>
        <w:tc>
          <w:tcPr>
            <w:tcW w:type="dxa" w:w="1928"/>
          </w:tcPr>
          <w:p>
            <w:pPr>
              <w:spacing w:after="0"/>
            </w:pPr>
            <w:r>
              <w:rPr>
                <w:b w:val="0"/>
                <w:i w:val="0"/>
                <w:sz w:val="16"/>
              </w:rPr>
              <w:t>Timetable check</w:t>
            </w:r>
          </w:p>
        </w:tc>
        <w:tc>
          <w:tcPr>
            <w:tcW w:type="dxa" w:w="8164"/>
          </w:tcPr>
          <w:p>
            <w:pPr>
              <w:spacing w:after="0"/>
            </w:pPr>
            <w:r>
              <w:rPr>
                <w:b w:val="0"/>
                <w:i w:val="0"/>
                <w:sz w:val="16"/>
              </w:rPr>
              <w:t>No user-stated timetable. TradeZero close (H1 2027) is still ahead. IG's strategic-review 'autumn 2026' outcome was delivered early (Underdog, 30 Jul 2026). The ASIC v eToro Aus Capital DDO case (filed 2023) has no outcome found: N/D.</w:t>
            </w:r>
          </w:p>
        </w:tc>
      </w:tr>
    </w:tbl>
    <w:p>
      <w:pPr>
        <w:spacing w:after="40"/>
      </w:pPr>
    </w:p>
    <w:p>
      <w:pPr>
        <w:pStyle w:val="Heading1"/>
      </w:pPr>
      <w:r>
        <w:t>3. Peer benchmark</w:t>
      </w:r>
    </w:p>
    <w:p>
      <w:r>
        <w:rPr>
          <w:b w:val="0"/>
          <w:i w:val="0"/>
          <w:color w:val="595959"/>
          <w:sz w:val="16"/>
        </w:rPr>
        <w:t>US$m unless stated. FX: GBP 1.3245, EUR 1.146, CHF 1.2075, PLN 0.2695. eToro revenue = net contribution. Multiples on market cap unless corporate cash was sourced (eToro, Plus500). Full build: workbook 'Peer Benchmark'.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4"/>
        <w:gridCol w:w="907"/>
        <w:gridCol w:w="737"/>
        <w:gridCol w:w="794"/>
        <w:gridCol w:w="1247"/>
        <w:gridCol w:w="737"/>
        <w:gridCol w:w="737"/>
        <w:gridCol w:w="624"/>
        <w:gridCol w:w="567"/>
        <w:gridCol w:w="624"/>
        <w:gridCol w:w="1644"/>
      </w:tblGrid>
      <w:tr>
        <w:tc>
          <w:tcPr>
            <w:tcW w:type="dxa" w:w="1474"/>
            <w:shd w:val="clear" w:color="auto" w:fill="1F3A5F"/>
          </w:tcPr>
          <w:p>
            <w:pPr>
              <w:spacing w:after="0"/>
            </w:pPr>
            <w:r>
              <w:rPr>
                <w:b/>
                <w:i w:val="0"/>
                <w:color w:val="FFFFFF"/>
                <w:sz w:val="14"/>
              </w:rPr>
              <w:t>Company</w:t>
            </w:r>
          </w:p>
        </w:tc>
        <w:tc>
          <w:tcPr>
            <w:tcW w:type="dxa" w:w="907"/>
            <w:shd w:val="clear" w:color="auto" w:fill="1F3A5F"/>
          </w:tcPr>
          <w:p>
            <w:pPr>
              <w:spacing w:after="0"/>
            </w:pPr>
            <w:r>
              <w:rPr>
                <w:b/>
                <w:i w:val="0"/>
                <w:color w:val="FFFFFF"/>
                <w:sz w:val="14"/>
              </w:rPr>
              <w:t>Scale (m)</w:t>
            </w:r>
          </w:p>
        </w:tc>
        <w:tc>
          <w:tcPr>
            <w:tcW w:type="dxa" w:w="737"/>
            <w:shd w:val="clear" w:color="auto" w:fill="1F3A5F"/>
          </w:tcPr>
          <w:p>
            <w:pPr>
              <w:spacing w:after="0"/>
            </w:pPr>
            <w:r>
              <w:rPr>
                <w:b/>
                <w:i w:val="0"/>
                <w:color w:val="FFFFFF"/>
                <w:sz w:val="14"/>
              </w:rPr>
              <w:t>Client assets $bn</w:t>
            </w:r>
          </w:p>
        </w:tc>
        <w:tc>
          <w:tcPr>
            <w:tcW w:type="dxa" w:w="794"/>
            <w:shd w:val="clear" w:color="auto" w:fill="1F3A5F"/>
          </w:tcPr>
          <w:p>
            <w:pPr>
              <w:spacing w:after="0"/>
            </w:pPr>
            <w:r>
              <w:rPr>
                <w:b/>
                <w:i w:val="0"/>
                <w:color w:val="FFFFFF"/>
                <w:sz w:val="14"/>
              </w:rPr>
              <w:t>Revenue (LTM*)</w:t>
            </w:r>
          </w:p>
        </w:tc>
        <w:tc>
          <w:tcPr>
            <w:tcW w:type="dxa" w:w="1247"/>
            <w:shd w:val="clear" w:color="auto" w:fill="1F3A5F"/>
          </w:tcPr>
          <w:p>
            <w:pPr>
              <w:spacing w:after="0"/>
            </w:pPr>
            <w:r>
              <w:rPr>
                <w:b/>
                <w:i w:val="0"/>
                <w:color w:val="FFFFFF"/>
                <w:sz w:val="14"/>
              </w:rPr>
              <w:t>Profit measure</w:t>
            </w:r>
          </w:p>
        </w:tc>
        <w:tc>
          <w:tcPr>
            <w:tcW w:type="dxa" w:w="737"/>
            <w:shd w:val="clear" w:color="auto" w:fill="1F3A5F"/>
          </w:tcPr>
          <w:p>
            <w:pPr>
              <w:spacing w:after="0"/>
            </w:pPr>
            <w:r>
              <w:rPr>
                <w:b/>
                <w:i w:val="0"/>
                <w:color w:val="FFFFFF"/>
                <w:sz w:val="14"/>
              </w:rPr>
              <w:t>Mkt cap</w:t>
            </w:r>
          </w:p>
        </w:tc>
        <w:tc>
          <w:tcPr>
            <w:tcW w:type="dxa" w:w="737"/>
            <w:shd w:val="clear" w:color="auto" w:fill="1F3A5F"/>
          </w:tcPr>
          <w:p>
            <w:pPr>
              <w:spacing w:after="0"/>
            </w:pPr>
            <w:r>
              <w:rPr>
                <w:b/>
                <w:i w:val="0"/>
                <w:color w:val="FFFFFF"/>
                <w:sz w:val="14"/>
              </w:rPr>
              <w:t>EV</w:t>
            </w:r>
          </w:p>
        </w:tc>
        <w:tc>
          <w:tcPr>
            <w:tcW w:type="dxa" w:w="624"/>
            <w:shd w:val="clear" w:color="auto" w:fill="1F3A5F"/>
          </w:tcPr>
          <w:p>
            <w:pPr>
              <w:spacing w:after="0"/>
            </w:pPr>
            <w:r>
              <w:rPr>
                <w:b/>
                <w:i w:val="0"/>
                <w:color w:val="FFFFFF"/>
                <w:sz w:val="14"/>
              </w:rPr>
              <w:t>EV/Rev</w:t>
            </w:r>
          </w:p>
        </w:tc>
        <w:tc>
          <w:tcPr>
            <w:tcW w:type="dxa" w:w="567"/>
            <w:shd w:val="clear" w:color="auto" w:fill="1F3A5F"/>
          </w:tcPr>
          <w:p>
            <w:pPr>
              <w:spacing w:after="0"/>
            </w:pPr>
            <w:r>
              <w:rPr>
                <w:b/>
                <w:i w:val="0"/>
                <w:color w:val="FFFFFF"/>
                <w:sz w:val="14"/>
              </w:rPr>
              <w:t>P/E</w:t>
            </w:r>
          </w:p>
        </w:tc>
        <w:tc>
          <w:tcPr>
            <w:tcW w:type="dxa" w:w="624"/>
            <w:shd w:val="clear" w:color="auto" w:fill="1F3A5F"/>
          </w:tcPr>
          <w:p>
            <w:pPr>
              <w:spacing w:after="0"/>
            </w:pPr>
            <w:r>
              <w:rPr>
                <w:b/>
                <w:i w:val="0"/>
                <w:color w:val="FFFFFF"/>
                <w:sz w:val="14"/>
              </w:rPr>
              <w:t>Growth</w:t>
            </w:r>
          </w:p>
        </w:tc>
        <w:tc>
          <w:tcPr>
            <w:tcW w:type="dxa" w:w="1644"/>
            <w:shd w:val="clear" w:color="auto" w:fill="1F3A5F"/>
          </w:tcPr>
          <w:p>
            <w:pPr>
              <w:spacing w:after="0"/>
            </w:pPr>
            <w:r>
              <w:rPr>
                <w:b/>
                <w:i w:val="0"/>
                <w:color w:val="FFFFFF"/>
                <w:sz w:val="14"/>
              </w:rPr>
              <w:t>Data quality</w:t>
            </w:r>
          </w:p>
        </w:tc>
      </w:tr>
      <w:tr>
        <w:tc>
          <w:tcPr>
            <w:tcW w:type="dxa" w:w="1474"/>
            <w:shd w:val="clear" w:color="auto" w:fill="FDF0E6"/>
          </w:tcPr>
          <w:p>
            <w:pPr>
              <w:spacing w:after="0"/>
            </w:pPr>
            <w:r>
              <w:rPr>
                <w:b w:val="0"/>
                <w:i w:val="0"/>
                <w:sz w:val="14"/>
              </w:rPr>
              <w:t>eToro (central case)</w:t>
            </w:r>
          </w:p>
        </w:tc>
        <w:tc>
          <w:tcPr>
            <w:tcW w:type="dxa" w:w="907"/>
            <w:shd w:val="clear" w:color="auto" w:fill="FDF0E6"/>
          </w:tcPr>
          <w:p>
            <w:pPr>
              <w:spacing w:after="0"/>
            </w:pPr>
            <w:r>
              <w:rPr>
                <w:b w:val="0"/>
                <w:i w:val="0"/>
                <w:sz w:val="14"/>
              </w:rPr>
              <w:t>4.28 funded</w:t>
            </w:r>
          </w:p>
        </w:tc>
        <w:tc>
          <w:tcPr>
            <w:tcW w:type="dxa" w:w="737"/>
            <w:shd w:val="clear" w:color="auto" w:fill="FDF0E6"/>
          </w:tcPr>
          <w:p>
            <w:pPr>
              <w:spacing w:after="0"/>
            </w:pPr>
            <w:r>
              <w:rPr>
                <w:b w:val="0"/>
                <w:i w:val="0"/>
                <w:sz w:val="14"/>
              </w:rPr>
              <w:t>19.2</w:t>
            </w:r>
          </w:p>
        </w:tc>
        <w:tc>
          <w:tcPr>
            <w:tcW w:type="dxa" w:w="794"/>
            <w:shd w:val="clear" w:color="auto" w:fill="FDF0E6"/>
          </w:tcPr>
          <w:p>
            <w:pPr>
              <w:spacing w:after="0"/>
            </w:pPr>
            <w:r>
              <w:rPr>
                <w:b w:val="0"/>
                <w:i w:val="0"/>
                <w:sz w:val="14"/>
              </w:rPr>
              <w:t>929</w:t>
            </w:r>
          </w:p>
        </w:tc>
        <w:tc>
          <w:tcPr>
            <w:tcW w:type="dxa" w:w="1247"/>
            <w:shd w:val="clear" w:color="auto" w:fill="FDF0E6"/>
          </w:tcPr>
          <w:p>
            <w:pPr>
              <w:spacing w:after="0"/>
            </w:pPr>
            <w:r>
              <w:rPr>
                <w:b w:val="0"/>
                <w:i w:val="0"/>
                <w:sz w:val="14"/>
              </w:rPr>
              <w:t>Adj. EBITDA 352</w:t>
            </w:r>
          </w:p>
        </w:tc>
        <w:tc>
          <w:tcPr>
            <w:tcW w:type="dxa" w:w="737"/>
            <w:shd w:val="clear" w:color="auto" w:fill="FDF0E6"/>
          </w:tcPr>
          <w:p>
            <w:pPr>
              <w:spacing w:after="0"/>
            </w:pPr>
            <w:r>
              <w:rPr>
                <w:b w:val="0"/>
                <w:i w:val="0"/>
                <w:sz w:val="14"/>
              </w:rPr>
              <w:t>2,100</w:t>
            </w:r>
          </w:p>
        </w:tc>
        <w:tc>
          <w:tcPr>
            <w:tcW w:type="dxa" w:w="737"/>
            <w:shd w:val="clear" w:color="auto" w:fill="FDF0E6"/>
          </w:tcPr>
          <w:p>
            <w:pPr>
              <w:spacing w:after="0"/>
            </w:pPr>
            <w:r>
              <w:rPr>
                <w:b w:val="0"/>
                <w:i w:val="0"/>
                <w:sz w:val="14"/>
              </w:rPr>
              <w:t>1,500</w:t>
            </w:r>
          </w:p>
        </w:tc>
        <w:tc>
          <w:tcPr>
            <w:tcW w:type="dxa" w:w="624"/>
            <w:shd w:val="clear" w:color="auto" w:fill="FDF0E6"/>
          </w:tcPr>
          <w:p>
            <w:pPr>
              <w:spacing w:after="0"/>
            </w:pPr>
            <w:r>
              <w:rPr>
                <w:b w:val="0"/>
                <w:i w:val="0"/>
                <w:sz w:val="14"/>
              </w:rPr>
              <w:t>1.6x</w:t>
            </w:r>
          </w:p>
        </w:tc>
        <w:tc>
          <w:tcPr>
            <w:tcW w:type="dxa" w:w="567"/>
            <w:shd w:val="clear" w:color="auto" w:fill="FDF0E6"/>
          </w:tcPr>
          <w:p>
            <w:pPr>
              <w:spacing w:after="0"/>
            </w:pPr>
            <w:r>
              <w:rPr>
                <w:b w:val="0"/>
                <w:i w:val="0"/>
                <w:sz w:val="14"/>
              </w:rPr>
              <w:t>8.1x</w:t>
            </w:r>
          </w:p>
        </w:tc>
        <w:tc>
          <w:tcPr>
            <w:tcW w:type="dxa" w:w="624"/>
            <w:shd w:val="clear" w:color="auto" w:fill="FDF0E6"/>
          </w:tcPr>
          <w:p>
            <w:pPr>
              <w:spacing w:after="0"/>
            </w:pPr>
            <w:r>
              <w:rPr>
                <w:b w:val="0"/>
                <w:i w:val="0"/>
                <w:sz w:val="14"/>
              </w:rPr>
              <w:t>14.1%</w:t>
            </w:r>
          </w:p>
        </w:tc>
        <w:tc>
          <w:tcPr>
            <w:tcW w:type="dxa" w:w="1644"/>
            <w:shd w:val="clear" w:color="auto" w:fill="FDF0E6"/>
          </w:tcPr>
          <w:p>
            <w:pPr>
              <w:spacing w:after="0"/>
            </w:pPr>
            <w:r>
              <w:rPr>
                <w:b w:val="0"/>
                <w:i w:val="0"/>
                <w:sz w:val="14"/>
              </w:rPr>
              <w:t>Listed/audited</w:t>
            </w:r>
          </w:p>
        </w:tc>
      </w:tr>
      <w:tr>
        <w:tc>
          <w:tcPr>
            <w:tcW w:type="dxa" w:w="1474"/>
            <w:shd w:val="clear" w:color="auto" w:fill="F2F4F7"/>
          </w:tcPr>
          <w:p>
            <w:pPr>
              <w:spacing w:after="0"/>
            </w:pPr>
            <w:r>
              <w:rPr>
                <w:b w:val="0"/>
                <w:i w:val="0"/>
                <w:sz w:val="14"/>
              </w:rPr>
              <w:t>IG Group [conflict]</w:t>
            </w:r>
          </w:p>
        </w:tc>
        <w:tc>
          <w:tcPr>
            <w:tcW w:type="dxa" w:w="907"/>
            <w:shd w:val="clear" w:color="auto" w:fill="F2F4F7"/>
          </w:tcPr>
          <w:p>
            <w:pPr>
              <w:spacing w:after="0"/>
            </w:pPr>
            <w:r>
              <w:rPr>
                <w:b w:val="0"/>
                <w:i w:val="0"/>
                <w:sz w:val="14"/>
              </w:rPr>
              <w:t>0.84 active</w:t>
            </w:r>
          </w:p>
        </w:tc>
        <w:tc>
          <w:tcPr>
            <w:tcW w:type="dxa" w:w="737"/>
            <w:shd w:val="clear" w:color="auto" w:fill="F2F4F7"/>
          </w:tcPr>
          <w:p>
            <w:pPr>
              <w:spacing w:after="0"/>
            </w:pPr>
            <w:r>
              <w:rPr>
                <w:b w:val="0"/>
                <w:i w:val="0"/>
                <w:sz w:val="14"/>
              </w:rPr>
              <w:t>28.5</w:t>
            </w:r>
          </w:p>
        </w:tc>
        <w:tc>
          <w:tcPr>
            <w:tcW w:type="dxa" w:w="794"/>
            <w:shd w:val="clear" w:color="auto" w:fill="F2F4F7"/>
          </w:tcPr>
          <w:p>
            <w:pPr>
              <w:spacing w:after="0"/>
            </w:pPr>
            <w:r>
              <w:rPr>
                <w:b w:val="0"/>
                <w:i w:val="0"/>
                <w:sz w:val="14"/>
              </w:rPr>
              <w:t>1,618</w:t>
            </w:r>
          </w:p>
        </w:tc>
        <w:tc>
          <w:tcPr>
            <w:tcW w:type="dxa" w:w="1247"/>
            <w:shd w:val="clear" w:color="auto" w:fill="F2F4F7"/>
          </w:tcPr>
          <w:p>
            <w:pPr>
              <w:spacing w:after="0"/>
            </w:pPr>
            <w:r>
              <w:rPr>
                <w:b w:val="0"/>
                <w:i w:val="0"/>
                <w:sz w:val="14"/>
              </w:rPr>
              <w:t>EBITDA CY25 703</w:t>
            </w:r>
          </w:p>
        </w:tc>
        <w:tc>
          <w:tcPr>
            <w:tcW w:type="dxa" w:w="737"/>
            <w:shd w:val="clear" w:color="auto" w:fill="F2F4F7"/>
          </w:tcPr>
          <w:p>
            <w:pPr>
              <w:spacing w:after="0"/>
            </w:pPr>
            <w:r>
              <w:rPr>
                <w:b w:val="0"/>
                <w:i w:val="0"/>
                <w:sz w:val="14"/>
              </w:rPr>
              <w:t>5,841</w:t>
            </w:r>
          </w:p>
        </w:tc>
        <w:tc>
          <w:tcPr>
            <w:tcW w:type="dxa" w:w="737"/>
            <w:shd w:val="clear" w:color="auto" w:fill="F2F4F7"/>
          </w:tcPr>
          <w:p>
            <w:pPr>
              <w:spacing w:after="0"/>
            </w:pPr>
            <w:r>
              <w:rPr>
                <w:b w:val="0"/>
                <w:i w:val="0"/>
                <w:sz w:val="14"/>
              </w:rPr>
              <w:t>5,841</w:t>
            </w:r>
          </w:p>
        </w:tc>
        <w:tc>
          <w:tcPr>
            <w:tcW w:type="dxa" w:w="624"/>
            <w:shd w:val="clear" w:color="auto" w:fill="F2F4F7"/>
          </w:tcPr>
          <w:p>
            <w:pPr>
              <w:spacing w:after="0"/>
            </w:pPr>
            <w:r>
              <w:rPr>
                <w:b w:val="0"/>
                <w:i w:val="0"/>
                <w:sz w:val="14"/>
              </w:rPr>
              <w:t>3.6x</w:t>
            </w:r>
          </w:p>
        </w:tc>
        <w:tc>
          <w:tcPr>
            <w:tcW w:type="dxa" w:w="567"/>
            <w:shd w:val="clear" w:color="auto" w:fill="F2F4F7"/>
          </w:tcPr>
          <w:p>
            <w:pPr>
              <w:spacing w:after="0"/>
            </w:pPr>
            <w:r>
              <w:rPr>
                <w:b w:val="0"/>
                <w:i w:val="0"/>
                <w:sz w:val="14"/>
              </w:rPr>
              <w:t>11.6x</w:t>
            </w:r>
          </w:p>
        </w:tc>
        <w:tc>
          <w:tcPr>
            <w:tcW w:type="dxa" w:w="624"/>
            <w:shd w:val="clear" w:color="auto" w:fill="F2F4F7"/>
          </w:tcPr>
          <w:p>
            <w:pPr>
              <w:spacing w:after="0"/>
            </w:pPr>
            <w:r>
              <w:rPr>
                <w:b w:val="0"/>
                <w:i w:val="0"/>
                <w:sz w:val="14"/>
              </w:rPr>
              <w:t>18.0%</w:t>
            </w:r>
          </w:p>
        </w:tc>
        <w:tc>
          <w:tcPr>
            <w:tcW w:type="dxa" w:w="1644"/>
            <w:shd w:val="clear" w:color="auto" w:fill="F2F4F7"/>
          </w:tcPr>
          <w:p>
            <w:pPr>
              <w:spacing w:after="0"/>
            </w:pPr>
            <w:r>
              <w:rPr>
                <w:b w:val="0"/>
                <w:i w:val="0"/>
                <w:sz w:val="14"/>
              </w:rPr>
              <w:t>Listed/audited</w:t>
            </w:r>
          </w:p>
        </w:tc>
      </w:tr>
      <w:tr>
        <w:tc>
          <w:tcPr>
            <w:tcW w:type="dxa" w:w="1474"/>
          </w:tcPr>
          <w:p>
            <w:pPr>
              <w:spacing w:after="0"/>
            </w:pPr>
            <w:r>
              <w:rPr>
                <w:b w:val="0"/>
                <w:i w:val="0"/>
                <w:sz w:val="14"/>
              </w:rPr>
              <w:t>Plus500</w:t>
            </w:r>
          </w:p>
        </w:tc>
        <w:tc>
          <w:tcPr>
            <w:tcW w:type="dxa" w:w="907"/>
          </w:tcPr>
          <w:p>
            <w:pPr>
              <w:spacing w:after="0"/>
            </w:pPr>
            <w:r>
              <w:rPr>
                <w:b w:val="0"/>
                <w:i w:val="0"/>
                <w:sz w:val="14"/>
              </w:rPr>
              <w:t>0.20 active</w:t>
            </w:r>
          </w:p>
        </w:tc>
        <w:tc>
          <w:tcPr>
            <w:tcW w:type="dxa" w:w="737"/>
          </w:tcPr>
          <w:p>
            <w:pPr>
              <w:spacing w:after="0"/>
            </w:pPr>
            <w:r>
              <w:rPr>
                <w:b w:val="0"/>
                <w:i w:val="0"/>
                <w:sz w:val="14"/>
              </w:rPr>
              <w:t>3.4</w:t>
            </w:r>
          </w:p>
        </w:tc>
        <w:tc>
          <w:tcPr>
            <w:tcW w:type="dxa" w:w="794"/>
          </w:tcPr>
          <w:p>
            <w:pPr>
              <w:spacing w:after="0"/>
            </w:pPr>
            <w:r>
              <w:rPr>
                <w:b w:val="0"/>
                <w:i w:val="0"/>
                <w:sz w:val="14"/>
              </w:rPr>
              <w:t>842</w:t>
            </w:r>
          </w:p>
        </w:tc>
        <w:tc>
          <w:tcPr>
            <w:tcW w:type="dxa" w:w="1247"/>
          </w:tcPr>
          <w:p>
            <w:pPr>
              <w:spacing w:after="0"/>
            </w:pPr>
            <w:r>
              <w:rPr>
                <w:b w:val="0"/>
                <w:i w:val="0"/>
                <w:sz w:val="14"/>
              </w:rPr>
              <w:t>EBITDA 350</w:t>
            </w:r>
          </w:p>
        </w:tc>
        <w:tc>
          <w:tcPr>
            <w:tcW w:type="dxa" w:w="737"/>
          </w:tcPr>
          <w:p>
            <w:pPr>
              <w:spacing w:after="0"/>
            </w:pPr>
            <w:r>
              <w:rPr>
                <w:b w:val="0"/>
                <w:i w:val="0"/>
                <w:sz w:val="14"/>
              </w:rPr>
              <w:t>3,338</w:t>
            </w:r>
          </w:p>
        </w:tc>
        <w:tc>
          <w:tcPr>
            <w:tcW w:type="dxa" w:w="737"/>
          </w:tcPr>
          <w:p>
            <w:pPr>
              <w:spacing w:after="0"/>
            </w:pPr>
            <w:r>
              <w:rPr>
                <w:b w:val="0"/>
                <w:i w:val="0"/>
                <w:sz w:val="14"/>
              </w:rPr>
              <w:t>2,538</w:t>
            </w:r>
          </w:p>
        </w:tc>
        <w:tc>
          <w:tcPr>
            <w:tcW w:type="dxa" w:w="624"/>
          </w:tcPr>
          <w:p>
            <w:pPr>
              <w:spacing w:after="0"/>
            </w:pPr>
            <w:r>
              <w:rPr>
                <w:b w:val="0"/>
                <w:i w:val="0"/>
                <w:sz w:val="14"/>
              </w:rPr>
              <w:t>3.0x</w:t>
            </w:r>
          </w:p>
        </w:tc>
        <w:tc>
          <w:tcPr>
            <w:tcW w:type="dxa" w:w="567"/>
          </w:tcPr>
          <w:p>
            <w:pPr>
              <w:spacing w:after="0"/>
            </w:pPr>
            <w:r>
              <w:rPr>
                <w:b w:val="0"/>
                <w:i w:val="0"/>
                <w:sz w:val="14"/>
              </w:rPr>
              <w:t>11.9x</w:t>
            </w:r>
          </w:p>
        </w:tc>
        <w:tc>
          <w:tcPr>
            <w:tcW w:type="dxa" w:w="624"/>
          </w:tcPr>
          <w:p>
            <w:pPr>
              <w:spacing w:after="0"/>
            </w:pPr>
            <w:r>
              <w:rPr>
                <w:b w:val="0"/>
                <w:i w:val="0"/>
                <w:sz w:val="14"/>
              </w:rPr>
              <w:t>12.0%</w:t>
            </w:r>
          </w:p>
        </w:tc>
        <w:tc>
          <w:tcPr>
            <w:tcW w:type="dxa" w:w="1644"/>
          </w:tcPr>
          <w:p>
            <w:pPr>
              <w:spacing w:after="0"/>
            </w:pPr>
            <w:r>
              <w:rPr>
                <w:b w:val="0"/>
                <w:i w:val="0"/>
                <w:sz w:val="14"/>
              </w:rPr>
              <w:t>Listed/audited</w:t>
            </w:r>
          </w:p>
        </w:tc>
      </w:tr>
      <w:tr>
        <w:tc>
          <w:tcPr>
            <w:tcW w:type="dxa" w:w="1474"/>
            <w:shd w:val="clear" w:color="auto" w:fill="F2F4F7"/>
          </w:tcPr>
          <w:p>
            <w:pPr>
              <w:spacing w:after="0"/>
            </w:pPr>
            <w:r>
              <w:rPr>
                <w:b w:val="0"/>
                <w:i w:val="0"/>
                <w:sz w:val="14"/>
              </w:rPr>
              <w:t>Webull</w:t>
            </w:r>
          </w:p>
        </w:tc>
        <w:tc>
          <w:tcPr>
            <w:tcW w:type="dxa" w:w="907"/>
            <w:shd w:val="clear" w:color="auto" w:fill="F2F4F7"/>
          </w:tcPr>
          <w:p>
            <w:pPr>
              <w:spacing w:after="0"/>
            </w:pPr>
            <w:r>
              <w:rPr>
                <w:b w:val="0"/>
                <w:i w:val="0"/>
                <w:sz w:val="14"/>
              </w:rPr>
              <w:t>5.13 funded</w:t>
            </w:r>
          </w:p>
        </w:tc>
        <w:tc>
          <w:tcPr>
            <w:tcW w:type="dxa" w:w="737"/>
            <w:shd w:val="clear" w:color="auto" w:fill="F2F4F7"/>
          </w:tcPr>
          <w:p>
            <w:pPr>
              <w:spacing w:after="0"/>
            </w:pPr>
            <w:r>
              <w:rPr>
                <w:b w:val="0"/>
                <w:i w:val="0"/>
                <w:sz w:val="14"/>
              </w:rPr>
              <w:t>28.5</w:t>
            </w:r>
          </w:p>
        </w:tc>
        <w:tc>
          <w:tcPr>
            <w:tcW w:type="dxa" w:w="794"/>
            <w:shd w:val="clear" w:color="auto" w:fill="F2F4F7"/>
          </w:tcPr>
          <w:p>
            <w:pPr>
              <w:spacing w:after="0"/>
            </w:pPr>
            <w:r>
              <w:rPr>
                <w:b w:val="0"/>
                <w:i w:val="0"/>
                <w:sz w:val="14"/>
              </w:rPr>
              <w:t>681</w:t>
            </w:r>
          </w:p>
        </w:tc>
        <w:tc>
          <w:tcPr>
            <w:tcW w:type="dxa" w:w="1247"/>
            <w:shd w:val="clear" w:color="auto" w:fill="F2F4F7"/>
          </w:tcPr>
          <w:p>
            <w:pPr>
              <w:spacing w:after="0"/>
            </w:pPr>
            <w:r>
              <w:rPr>
                <w:b w:val="0"/>
                <w:i w:val="0"/>
                <w:sz w:val="14"/>
              </w:rPr>
              <w:t>Adj. op. x4 250</w:t>
            </w:r>
          </w:p>
        </w:tc>
        <w:tc>
          <w:tcPr>
            <w:tcW w:type="dxa" w:w="737"/>
            <w:shd w:val="clear" w:color="auto" w:fill="F2F4F7"/>
          </w:tcPr>
          <w:p>
            <w:pPr>
              <w:spacing w:after="0"/>
            </w:pPr>
            <w:r>
              <w:rPr>
                <w:b w:val="0"/>
                <w:i w:val="0"/>
                <w:sz w:val="14"/>
              </w:rPr>
              <w:t>4,380</w:t>
            </w:r>
          </w:p>
        </w:tc>
        <w:tc>
          <w:tcPr>
            <w:tcW w:type="dxa" w:w="737"/>
            <w:shd w:val="clear" w:color="auto" w:fill="F2F4F7"/>
          </w:tcPr>
          <w:p>
            <w:pPr>
              <w:spacing w:after="0"/>
            </w:pPr>
            <w:r>
              <w:rPr>
                <w:b w:val="0"/>
                <w:i w:val="0"/>
                <w:sz w:val="14"/>
              </w:rPr>
              <w:t>4,380</w:t>
            </w:r>
          </w:p>
        </w:tc>
        <w:tc>
          <w:tcPr>
            <w:tcW w:type="dxa" w:w="624"/>
            <w:shd w:val="clear" w:color="auto" w:fill="F2F4F7"/>
          </w:tcPr>
          <w:p>
            <w:pPr>
              <w:spacing w:after="0"/>
            </w:pPr>
            <w:r>
              <w:rPr>
                <w:b w:val="0"/>
                <w:i w:val="0"/>
                <w:sz w:val="14"/>
              </w:rPr>
              <w:t>6.4x</w:t>
            </w:r>
          </w:p>
        </w:tc>
        <w:tc>
          <w:tcPr>
            <w:tcW w:type="dxa" w:w="567"/>
            <w:shd w:val="clear" w:color="auto" w:fill="F2F4F7"/>
          </w:tcPr>
          <w:p>
            <w:pPr>
              <w:spacing w:after="0"/>
            </w:pPr>
            <w:r>
              <w:rPr>
                <w:b w:val="0"/>
                <w:i w:val="0"/>
                <w:sz w:val="14"/>
              </w:rPr>
              <w:t>N/D</w:t>
            </w:r>
          </w:p>
        </w:tc>
        <w:tc>
          <w:tcPr>
            <w:tcW w:type="dxa" w:w="624"/>
            <w:shd w:val="clear" w:color="auto" w:fill="F2F4F7"/>
          </w:tcPr>
          <w:p>
            <w:pPr>
              <w:spacing w:after="0"/>
            </w:pPr>
            <w:r>
              <w:rPr>
                <w:b w:val="0"/>
                <w:i w:val="0"/>
                <w:sz w:val="14"/>
              </w:rPr>
              <w:t>44.0%</w:t>
            </w:r>
          </w:p>
        </w:tc>
        <w:tc>
          <w:tcPr>
            <w:tcW w:type="dxa" w:w="1644"/>
            <w:shd w:val="clear" w:color="auto" w:fill="F2F4F7"/>
          </w:tcPr>
          <w:p>
            <w:pPr>
              <w:spacing w:after="0"/>
            </w:pPr>
            <w:r>
              <w:rPr>
                <w:b w:val="0"/>
                <w:i w:val="0"/>
                <w:sz w:val="14"/>
              </w:rPr>
              <w:t>Listed/audited</w:t>
            </w:r>
          </w:p>
        </w:tc>
      </w:tr>
      <w:tr>
        <w:tc>
          <w:tcPr>
            <w:tcW w:type="dxa" w:w="1474"/>
          </w:tcPr>
          <w:p>
            <w:pPr>
              <w:spacing w:after="0"/>
            </w:pPr>
            <w:r>
              <w:rPr>
                <w:b w:val="0"/>
                <w:i w:val="0"/>
                <w:sz w:val="14"/>
              </w:rPr>
              <w:t>XTB</w:t>
            </w:r>
          </w:p>
        </w:tc>
        <w:tc>
          <w:tcPr>
            <w:tcW w:type="dxa" w:w="907"/>
          </w:tcPr>
          <w:p>
            <w:pPr>
              <w:spacing w:after="0"/>
            </w:pPr>
            <w:r>
              <w:rPr>
                <w:b w:val="0"/>
                <w:i w:val="0"/>
                <w:sz w:val="14"/>
              </w:rPr>
              <w:t>1.49 active</w:t>
            </w:r>
          </w:p>
        </w:tc>
        <w:tc>
          <w:tcPr>
            <w:tcW w:type="dxa" w:w="737"/>
          </w:tcPr>
          <w:p>
            <w:pPr>
              <w:spacing w:after="0"/>
            </w:pPr>
            <w:r>
              <w:rPr>
                <w:b w:val="0"/>
                <w:i w:val="0"/>
                <w:sz w:val="14"/>
              </w:rPr>
              <w:t>N/D</w:t>
            </w:r>
          </w:p>
        </w:tc>
        <w:tc>
          <w:tcPr>
            <w:tcW w:type="dxa" w:w="794"/>
          </w:tcPr>
          <w:p>
            <w:pPr>
              <w:spacing w:after="0"/>
            </w:pPr>
            <w:r>
              <w:rPr>
                <w:b w:val="0"/>
                <w:i w:val="0"/>
                <w:sz w:val="14"/>
              </w:rPr>
              <w:t>829</w:t>
            </w:r>
          </w:p>
        </w:tc>
        <w:tc>
          <w:tcPr>
            <w:tcW w:type="dxa" w:w="1247"/>
          </w:tcPr>
          <w:p>
            <w:pPr>
              <w:spacing w:after="0"/>
            </w:pPr>
            <w:r>
              <w:rPr>
                <w:b w:val="0"/>
                <w:i w:val="0"/>
                <w:sz w:val="14"/>
              </w:rPr>
              <w:t>EBITDA H1x2 655</w:t>
            </w:r>
          </w:p>
        </w:tc>
        <w:tc>
          <w:tcPr>
            <w:tcW w:type="dxa" w:w="737"/>
          </w:tcPr>
          <w:p>
            <w:pPr>
              <w:spacing w:after="0"/>
            </w:pPr>
            <w:r>
              <w:rPr>
                <w:b w:val="0"/>
                <w:i w:val="0"/>
                <w:sz w:val="14"/>
              </w:rPr>
              <w:t>4,947</w:t>
            </w:r>
          </w:p>
        </w:tc>
        <w:tc>
          <w:tcPr>
            <w:tcW w:type="dxa" w:w="737"/>
          </w:tcPr>
          <w:p>
            <w:pPr>
              <w:spacing w:after="0"/>
            </w:pPr>
            <w:r>
              <w:rPr>
                <w:b w:val="0"/>
                <w:i w:val="0"/>
                <w:sz w:val="14"/>
              </w:rPr>
              <w:t>4,947</w:t>
            </w:r>
          </w:p>
        </w:tc>
        <w:tc>
          <w:tcPr>
            <w:tcW w:type="dxa" w:w="624"/>
          </w:tcPr>
          <w:p>
            <w:pPr>
              <w:spacing w:after="0"/>
            </w:pPr>
            <w:r>
              <w:rPr>
                <w:b w:val="0"/>
                <w:i w:val="0"/>
                <w:sz w:val="14"/>
              </w:rPr>
              <w:t>6.0x</w:t>
            </w:r>
          </w:p>
        </w:tc>
        <w:tc>
          <w:tcPr>
            <w:tcW w:type="dxa" w:w="567"/>
          </w:tcPr>
          <w:p>
            <w:pPr>
              <w:spacing w:after="0"/>
            </w:pPr>
            <w:r>
              <w:rPr>
                <w:b w:val="0"/>
                <w:i w:val="0"/>
                <w:sz w:val="14"/>
              </w:rPr>
              <w:t>14.6x</w:t>
            </w:r>
          </w:p>
        </w:tc>
        <w:tc>
          <w:tcPr>
            <w:tcW w:type="dxa" w:w="624"/>
          </w:tcPr>
          <w:p>
            <w:pPr>
              <w:spacing w:after="0"/>
            </w:pPr>
            <w:r>
              <w:rPr>
                <w:b w:val="0"/>
                <w:i w:val="0"/>
                <w:sz w:val="14"/>
              </w:rPr>
              <w:t>79.7%</w:t>
            </w:r>
          </w:p>
        </w:tc>
        <w:tc>
          <w:tcPr>
            <w:tcW w:type="dxa" w:w="1644"/>
          </w:tcPr>
          <w:p>
            <w:pPr>
              <w:spacing w:after="0"/>
            </w:pPr>
            <w:r>
              <w:rPr>
                <w:b w:val="0"/>
                <w:i w:val="0"/>
                <w:sz w:val="14"/>
              </w:rPr>
              <w:t>Listed/audited</w:t>
            </w:r>
          </w:p>
        </w:tc>
      </w:tr>
      <w:tr>
        <w:tc>
          <w:tcPr>
            <w:tcW w:type="dxa" w:w="1474"/>
            <w:shd w:val="clear" w:color="auto" w:fill="F2F4F7"/>
          </w:tcPr>
          <w:p>
            <w:pPr>
              <w:spacing w:after="0"/>
            </w:pPr>
            <w:r>
              <w:rPr>
                <w:b w:val="0"/>
                <w:i w:val="0"/>
                <w:sz w:val="14"/>
              </w:rPr>
              <w:t>Trading 212 (private)</w:t>
            </w:r>
          </w:p>
        </w:tc>
        <w:tc>
          <w:tcPr>
            <w:tcW w:type="dxa" w:w="907"/>
            <w:shd w:val="clear" w:color="auto" w:fill="F2F4F7"/>
          </w:tcPr>
          <w:p>
            <w:pPr>
              <w:spacing w:after="0"/>
            </w:pPr>
            <w:r>
              <w:rPr>
                <w:b w:val="0"/>
                <w:i w:val="0"/>
                <w:sz w:val="14"/>
              </w:rPr>
              <w:t>4.50 funded</w:t>
            </w:r>
          </w:p>
        </w:tc>
        <w:tc>
          <w:tcPr>
            <w:tcW w:type="dxa" w:w="737"/>
            <w:shd w:val="clear" w:color="auto" w:fill="F2F4F7"/>
          </w:tcPr>
          <w:p>
            <w:pPr>
              <w:spacing w:after="0"/>
            </w:pPr>
            <w:r>
              <w:rPr>
                <w:b w:val="0"/>
                <w:i w:val="0"/>
                <w:sz w:val="14"/>
              </w:rPr>
              <w:t>43.0</w:t>
            </w:r>
          </w:p>
        </w:tc>
        <w:tc>
          <w:tcPr>
            <w:tcW w:type="dxa" w:w="794"/>
            <w:shd w:val="clear" w:color="auto" w:fill="F2F4F7"/>
          </w:tcPr>
          <w:p>
            <w:pPr>
              <w:spacing w:after="0"/>
            </w:pPr>
            <w:r>
              <w:rPr>
                <w:b w:val="0"/>
                <w:i w:val="0"/>
                <w:sz w:val="14"/>
              </w:rPr>
              <w:t>368</w:t>
            </w:r>
          </w:p>
        </w:tc>
        <w:tc>
          <w:tcPr>
            <w:tcW w:type="dxa" w:w="1247"/>
            <w:shd w:val="clear" w:color="auto" w:fill="F2F4F7"/>
          </w:tcPr>
          <w:p>
            <w:pPr>
              <w:spacing w:after="0"/>
            </w:pPr>
            <w:r>
              <w:rPr>
                <w:b w:val="0"/>
                <w:i w:val="0"/>
                <w:sz w:val="14"/>
              </w:rPr>
              <w:t>PBT (UK Ltd) 163</w:t>
            </w:r>
          </w:p>
        </w:tc>
        <w:tc>
          <w:tcPr>
            <w:tcW w:type="dxa" w:w="737"/>
            <w:shd w:val="clear" w:color="auto" w:fill="F2F4F7"/>
          </w:tcPr>
          <w:p>
            <w:pPr>
              <w:spacing w:after="0"/>
            </w:pPr>
            <w:r>
              <w:rPr>
                <w:b w:val="0"/>
                <w:i w:val="0"/>
                <w:sz w:val="14"/>
              </w:rPr>
              <w:t>N/D</w:t>
            </w:r>
          </w:p>
        </w:tc>
        <w:tc>
          <w:tcPr>
            <w:tcW w:type="dxa" w:w="737"/>
            <w:shd w:val="clear" w:color="auto" w:fill="F2F4F7"/>
          </w:tcPr>
          <w:p>
            <w:pPr>
              <w:spacing w:after="0"/>
            </w:pPr>
            <w:r>
              <w:rPr>
                <w:b w:val="0"/>
                <w:i w:val="0"/>
                <w:sz w:val="14"/>
              </w:rPr>
              <w:t>N/D</w:t>
            </w:r>
          </w:p>
        </w:tc>
        <w:tc>
          <w:tcPr>
            <w:tcW w:type="dxa" w:w="624"/>
            <w:shd w:val="clear" w:color="auto" w:fill="F2F4F7"/>
          </w:tcPr>
          <w:p>
            <w:pPr>
              <w:spacing w:after="0"/>
            </w:pPr>
            <w:r>
              <w:rPr>
                <w:b w:val="0"/>
                <w:i w:val="0"/>
                <w:sz w:val="14"/>
              </w:rPr>
              <w:t>N/D</w:t>
            </w:r>
          </w:p>
        </w:tc>
        <w:tc>
          <w:tcPr>
            <w:tcW w:type="dxa" w:w="567"/>
            <w:shd w:val="clear" w:color="auto" w:fill="F2F4F7"/>
          </w:tcPr>
          <w:p>
            <w:pPr>
              <w:spacing w:after="0"/>
            </w:pPr>
            <w:r>
              <w:rPr>
                <w:b w:val="0"/>
                <w:i w:val="0"/>
                <w:sz w:val="14"/>
              </w:rPr>
              <w:t>N/D</w:t>
            </w:r>
          </w:p>
        </w:tc>
        <w:tc>
          <w:tcPr>
            <w:tcW w:type="dxa" w:w="624"/>
            <w:shd w:val="clear" w:color="auto" w:fill="F2F4F7"/>
          </w:tcPr>
          <w:p>
            <w:pPr>
              <w:spacing w:after="0"/>
            </w:pPr>
            <w:r>
              <w:rPr>
                <w:b w:val="0"/>
                <w:i w:val="0"/>
                <w:sz w:val="14"/>
              </w:rPr>
              <w:t>71.7%</w:t>
            </w:r>
          </w:p>
        </w:tc>
        <w:tc>
          <w:tcPr>
            <w:tcW w:type="dxa" w:w="1644"/>
            <w:shd w:val="clear" w:color="auto" w:fill="F2F4F7"/>
          </w:tcPr>
          <w:p>
            <w:pPr>
              <w:spacing w:after="0"/>
            </w:pPr>
            <w:r>
              <w:rPr>
                <w:b w:val="0"/>
                <w:i w:val="0"/>
                <w:sz w:val="14"/>
              </w:rPr>
              <w:t>Private: UK entity audited; group self-reported</w:t>
            </w:r>
          </w:p>
        </w:tc>
      </w:tr>
      <w:tr>
        <w:tc>
          <w:tcPr>
            <w:tcW w:type="dxa" w:w="1474"/>
          </w:tcPr>
          <w:p>
            <w:pPr>
              <w:spacing w:after="0"/>
            </w:pPr>
            <w:r>
              <w:rPr>
                <w:b w:val="0"/>
                <w:i w:val="0"/>
                <w:sz w:val="14"/>
              </w:rPr>
              <w:t>Swissquote</w:t>
            </w:r>
          </w:p>
        </w:tc>
        <w:tc>
          <w:tcPr>
            <w:tcW w:type="dxa" w:w="907"/>
          </w:tcPr>
          <w:p>
            <w:pPr>
              <w:spacing w:after="0"/>
            </w:pPr>
            <w:r>
              <w:rPr>
                <w:b w:val="0"/>
                <w:i w:val="0"/>
                <w:sz w:val="14"/>
              </w:rPr>
              <w:t>1.20 accts</w:t>
            </w:r>
          </w:p>
        </w:tc>
        <w:tc>
          <w:tcPr>
            <w:tcW w:type="dxa" w:w="737"/>
          </w:tcPr>
          <w:p>
            <w:pPr>
              <w:spacing w:after="0"/>
            </w:pPr>
            <w:r>
              <w:rPr>
                <w:b w:val="0"/>
                <w:i w:val="0"/>
                <w:sz w:val="14"/>
              </w:rPr>
              <w:t>116.3</w:t>
            </w:r>
          </w:p>
        </w:tc>
        <w:tc>
          <w:tcPr>
            <w:tcW w:type="dxa" w:w="794"/>
          </w:tcPr>
          <w:p>
            <w:pPr>
              <w:spacing w:after="0"/>
            </w:pPr>
            <w:r>
              <w:rPr>
                <w:b w:val="0"/>
                <w:i w:val="0"/>
                <w:sz w:val="14"/>
              </w:rPr>
              <w:t>881</w:t>
            </w:r>
          </w:p>
        </w:tc>
        <w:tc>
          <w:tcPr>
            <w:tcW w:type="dxa" w:w="1247"/>
          </w:tcPr>
          <w:p>
            <w:pPr>
              <w:spacing w:after="0"/>
            </w:pPr>
            <w:r>
              <w:rPr>
                <w:b w:val="0"/>
                <w:i w:val="0"/>
                <w:sz w:val="14"/>
              </w:rPr>
              <w:t>PBT 502</w:t>
            </w:r>
          </w:p>
        </w:tc>
        <w:tc>
          <w:tcPr>
            <w:tcW w:type="dxa" w:w="737"/>
          </w:tcPr>
          <w:p>
            <w:pPr>
              <w:spacing w:after="0"/>
            </w:pPr>
            <w:r>
              <w:rPr>
                <w:b w:val="0"/>
                <w:i w:val="0"/>
                <w:sz w:val="14"/>
              </w:rPr>
              <w:t>6,692</w:t>
            </w:r>
          </w:p>
        </w:tc>
        <w:tc>
          <w:tcPr>
            <w:tcW w:type="dxa" w:w="737"/>
          </w:tcPr>
          <w:p>
            <w:pPr>
              <w:spacing w:after="0"/>
            </w:pPr>
            <w:r>
              <w:rPr>
                <w:b w:val="0"/>
                <w:i w:val="0"/>
                <w:sz w:val="14"/>
              </w:rPr>
              <w:t>6,692</w:t>
            </w:r>
          </w:p>
        </w:tc>
        <w:tc>
          <w:tcPr>
            <w:tcW w:type="dxa" w:w="624"/>
          </w:tcPr>
          <w:p>
            <w:pPr>
              <w:spacing w:after="0"/>
            </w:pPr>
            <w:r>
              <w:rPr>
                <w:b w:val="0"/>
                <w:i w:val="0"/>
                <w:sz w:val="14"/>
              </w:rPr>
              <w:t>7.6x</w:t>
            </w:r>
          </w:p>
        </w:tc>
        <w:tc>
          <w:tcPr>
            <w:tcW w:type="dxa" w:w="567"/>
          </w:tcPr>
          <w:p>
            <w:pPr>
              <w:spacing w:after="0"/>
            </w:pPr>
            <w:r>
              <w:rPr>
                <w:b w:val="0"/>
                <w:i w:val="0"/>
                <w:sz w:val="14"/>
              </w:rPr>
              <w:t>N/D</w:t>
            </w:r>
          </w:p>
        </w:tc>
        <w:tc>
          <w:tcPr>
            <w:tcW w:type="dxa" w:w="624"/>
          </w:tcPr>
          <w:p>
            <w:pPr>
              <w:spacing w:after="0"/>
            </w:pPr>
            <w:r>
              <w:rPr>
                <w:b w:val="0"/>
                <w:i w:val="0"/>
                <w:sz w:val="14"/>
              </w:rPr>
              <w:t>1.7%</w:t>
            </w:r>
          </w:p>
        </w:tc>
        <w:tc>
          <w:tcPr>
            <w:tcW w:type="dxa" w:w="1644"/>
          </w:tcPr>
          <w:p>
            <w:pPr>
              <w:spacing w:after="0"/>
            </w:pPr>
            <w:r>
              <w:rPr>
                <w:b w:val="0"/>
                <w:i w:val="0"/>
                <w:sz w:val="14"/>
              </w:rPr>
              <w:t>Listed/audited</w:t>
            </w:r>
          </w:p>
        </w:tc>
      </w:tr>
    </w:tbl>
    <w:p>
      <w:pPr>
        <w:spacing w:after="40"/>
      </w:pPr>
    </w:p>
    <w:p>
      <w:r>
        <w:rPr>
          <w:b w:val="0"/>
          <w:i w:val="0"/>
          <w:color w:val="595959"/>
          <w:sz w:val="15"/>
        </w:rPr>
        <w:t>*Revenue basis: IG, Plus500, Webull, XTB (operating income) and Swissquote are LTM to H1/Q2 26. Trading 212 is FY25 for Trading 212 UK Ltd only. Plus500 P/E uses FY25 NI; IG P/E uses CY25 adj. EPS. Webull and Swissquote P/E are N/D (LTM net income not sourced). Trading 212 valuation is N/D (no priced round). Growth = latest half-year or quarter YoY as disclosed. Plus500 profile: 197k active customers, $3.4bn deposits.</w:t>
      </w:r>
    </w:p>
    <w:p>
      <w:r>
        <w:rPr>
          <w:b/>
          <w:i w:val="0"/>
        </w:rPr>
        <w:t>Where eToro actually ranks.</w:t>
      </w:r>
      <w:r>
        <w:rPr>
          <w:b w:val="0"/>
          <w:i w:val="0"/>
        </w:rPr>
        <w:t xml:space="preserve"> Accounts: #3 of 7 (Webull 5.13m and Trading 212 4.5m self-reported are larger; XTB counts 2.83m clients and 1.49m active). Revenue: #2 ($929m vs IG's $1,618m). Client assets: #5 of 6 disclosed. Swissquote ($116bn), Trading 212 UK (~$43bn) and IG/Webull (~$28.5bn each) hold far more client money. </w:t>
      </w:r>
      <w:r>
        <w:rPr>
          <w:b/>
          <w:i w:val="0"/>
        </w:rPr>
        <w:t>eToro does not lead the peer set on any scale measure.</w:t>
      </w:r>
      <w:r>
        <w:rPr>
          <w:b w:val="0"/>
          <w:i w:val="0"/>
        </w:rPr>
        <w:t xml:space="preserve"> Its differentiation is breadth of product and its social layer, not size.</w:t>
      </w:r>
    </w:p>
    <w:p>
      <w:pPr>
        <w:pStyle w:val="Heading1"/>
      </w:pPr>
      <w:r>
        <w:t>4. Porter's Five Forces (vs the confirmed peer set)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41"/>
        <w:gridCol w:w="907"/>
        <w:gridCol w:w="7143"/>
      </w:tblGrid>
      <w:tr>
        <w:tc>
          <w:tcPr>
            <w:tcW w:type="dxa" w:w="2041"/>
            <w:shd w:val="clear" w:color="auto" w:fill="1F3A5F"/>
          </w:tcPr>
          <w:p>
            <w:pPr>
              <w:spacing w:after="0"/>
            </w:pPr>
            <w:r>
              <w:rPr>
                <w:b/>
                <w:i w:val="0"/>
                <w:color w:val="FFFFFF"/>
                <w:sz w:val="16"/>
              </w:rPr>
              <w:t>Force</w:t>
            </w:r>
          </w:p>
        </w:tc>
        <w:tc>
          <w:tcPr>
            <w:tcW w:type="dxa" w:w="907"/>
            <w:shd w:val="clear" w:color="auto" w:fill="1F3A5F"/>
          </w:tcPr>
          <w:p>
            <w:pPr>
              <w:spacing w:after="0"/>
            </w:pPr>
            <w:r>
              <w:rPr>
                <w:b/>
                <w:i w:val="0"/>
                <w:color w:val="FFFFFF"/>
                <w:sz w:val="16"/>
              </w:rPr>
              <w:t>Intensity</w:t>
            </w:r>
          </w:p>
        </w:tc>
        <w:tc>
          <w:tcPr>
            <w:tcW w:type="dxa" w:w="7143"/>
            <w:shd w:val="clear" w:color="auto" w:fill="1F3A5F"/>
          </w:tcPr>
          <w:p>
            <w:pPr>
              <w:spacing w:after="0"/>
            </w:pPr>
            <w:r>
              <w:rPr>
                <w:b/>
                <w:i w:val="0"/>
                <w:color w:val="FFFFFF"/>
                <w:sz w:val="16"/>
              </w:rPr>
              <w:t>Specific evidence</w:t>
            </w:r>
          </w:p>
        </w:tc>
      </w:tr>
      <w:tr>
        <w:tc>
          <w:tcPr>
            <w:tcW w:type="dxa" w:w="2041"/>
          </w:tcPr>
          <w:p>
            <w:pPr>
              <w:spacing w:after="0"/>
            </w:pPr>
            <w:r>
              <w:rPr>
                <w:b/>
                <w:i w:val="0"/>
                <w:sz w:val="16"/>
              </w:rPr>
              <w:t>Rivalry among existing competitors</w:t>
            </w:r>
          </w:p>
        </w:tc>
        <w:tc>
          <w:tcPr>
            <w:tcW w:type="dxa" w:w="907"/>
          </w:tcPr>
          <w:p>
            <w:pPr>
              <w:spacing w:after="0"/>
            </w:pPr>
            <w:r>
              <w:rPr>
                <w:b w:val="0"/>
                <w:i w:val="0"/>
                <w:sz w:val="16"/>
              </w:rPr>
              <w:t>High</w:t>
            </w:r>
          </w:p>
        </w:tc>
        <w:tc>
          <w:tcPr>
            <w:tcW w:type="dxa" w:w="7143"/>
          </w:tcPr>
          <w:p>
            <w:pPr>
              <w:spacing w:after="0"/>
            </w:pPr>
            <w:r>
              <w:rPr>
                <w:b w:val="0"/>
                <w:i w:val="0"/>
                <w:sz w:val="16"/>
              </w:rPr>
              <w:t>Webull holds an EEA licence and has launched in Spain; XTB plans marketing up to +50% in 2026 and targets 250–290k new clients a quarter, with UAE licences; Trading 212 announced an Australia push (Sep 2026) after scaling in Germany; IG's UK D2C AuA incl. Freetrade is +49% YoY to &gt;£9.0bn. eToro is raising marketing toward 25% of NC by YE26, a defensive signal.</w:t>
            </w:r>
          </w:p>
        </w:tc>
      </w:tr>
      <w:tr>
        <w:tc>
          <w:tcPr>
            <w:tcW w:type="dxa" w:w="2041"/>
            <w:shd w:val="clear" w:color="auto" w:fill="F2F4F7"/>
          </w:tcPr>
          <w:p>
            <w:pPr>
              <w:spacing w:after="0"/>
            </w:pPr>
            <w:r>
              <w:rPr>
                <w:b/>
                <w:i w:val="0"/>
                <w:sz w:val="16"/>
              </w:rPr>
              <w:t>Threat of new entrants</w:t>
            </w:r>
          </w:p>
        </w:tc>
        <w:tc>
          <w:tcPr>
            <w:tcW w:type="dxa" w:w="907"/>
            <w:shd w:val="clear" w:color="auto" w:fill="F2F4F7"/>
          </w:tcPr>
          <w:p>
            <w:pPr>
              <w:spacing w:after="0"/>
            </w:pPr>
            <w:r>
              <w:rPr>
                <w:b w:val="0"/>
                <w:i w:val="0"/>
                <w:sz w:val="16"/>
              </w:rPr>
              <w:t>Medium</w:t>
            </w:r>
          </w:p>
        </w:tc>
        <w:tc>
          <w:tcPr>
            <w:tcW w:type="dxa" w:w="7143"/>
            <w:shd w:val="clear" w:color="auto" w:fill="F2F4F7"/>
          </w:tcPr>
          <w:p>
            <w:pPr>
              <w:spacing w:after="0"/>
            </w:pPr>
            <w:r>
              <w:rPr>
                <w:b w:val="0"/>
                <w:i w:val="0"/>
                <w:sz w:val="16"/>
              </w:rPr>
              <w:t>Licensing (MiCA, FCA, ASIC, US broker-dealer) and marketing-heavy client acquisition (eToro guiding marketing to 25% of NC; XTB marketing up to +50%) are real barriers for start-ups. But adjacent giants can enter: Robinhood ($101.5bn market cap) offers perpetual futures in 30 EU countries and plans a UK crypto launch (Jul 2026). Entry risk comes from scaled incumbents, not new ventures.</w:t>
            </w:r>
          </w:p>
        </w:tc>
      </w:tr>
      <w:tr>
        <w:tc>
          <w:tcPr>
            <w:tcW w:type="dxa" w:w="2041"/>
          </w:tcPr>
          <w:p>
            <w:pPr>
              <w:spacing w:after="0"/>
            </w:pPr>
            <w:r>
              <w:rPr>
                <w:b/>
                <w:i w:val="0"/>
                <w:sz w:val="16"/>
              </w:rPr>
              <w:t>Bargaining power of buyers (retail clients)</w:t>
            </w:r>
          </w:p>
        </w:tc>
        <w:tc>
          <w:tcPr>
            <w:tcW w:type="dxa" w:w="907"/>
          </w:tcPr>
          <w:p>
            <w:pPr>
              <w:spacing w:after="0"/>
            </w:pPr>
            <w:r>
              <w:rPr>
                <w:b w:val="0"/>
                <w:i w:val="0"/>
                <w:sz w:val="16"/>
              </w:rPr>
              <w:t>High</w:t>
            </w:r>
          </w:p>
        </w:tc>
        <w:tc>
          <w:tcPr>
            <w:tcW w:type="dxa" w:w="7143"/>
          </w:tcPr>
          <w:p>
            <w:pPr>
              <w:spacing w:after="0"/>
            </w:pPr>
            <w:r>
              <w:rPr>
                <w:b w:val="0"/>
                <w:i w:val="0"/>
                <w:sz w:val="16"/>
              </w:rPr>
              <w:t>Zero-commission pricing is the norm (Trading 212, Webull, Freetrade). Accounts are cheap to open and multi-home. eToro's annualised NC per funded account fell from $257 (Q1 26) to $214 (Q2 26) as volumes normalised. Revenue follows client activity, not contract.</w:t>
            </w:r>
          </w:p>
        </w:tc>
      </w:tr>
      <w:tr>
        <w:tc>
          <w:tcPr>
            <w:tcW w:type="dxa" w:w="2041"/>
            <w:shd w:val="clear" w:color="auto" w:fill="F2F4F7"/>
          </w:tcPr>
          <w:p>
            <w:pPr>
              <w:spacing w:after="0"/>
            </w:pPr>
            <w:r>
              <w:rPr>
                <w:b/>
                <w:i w:val="0"/>
                <w:sz w:val="16"/>
              </w:rPr>
              <w:t>Bargaining power of suppliers</w:t>
            </w:r>
          </w:p>
        </w:tc>
        <w:tc>
          <w:tcPr>
            <w:tcW w:type="dxa" w:w="907"/>
            <w:shd w:val="clear" w:color="auto" w:fill="F2F4F7"/>
          </w:tcPr>
          <w:p>
            <w:pPr>
              <w:spacing w:after="0"/>
            </w:pPr>
            <w:r>
              <w:rPr>
                <w:b w:val="0"/>
                <w:i w:val="0"/>
                <w:sz w:val="16"/>
              </w:rPr>
              <w:t>Medium</w:t>
            </w:r>
          </w:p>
        </w:tc>
        <w:tc>
          <w:tcPr>
            <w:tcW w:type="dxa" w:w="7143"/>
            <w:shd w:val="clear" w:color="auto" w:fill="F2F4F7"/>
          </w:tcPr>
          <w:p>
            <w:pPr>
              <w:spacing w:after="0"/>
            </w:pPr>
            <w:r>
              <w:rPr>
                <w:b w:val="0"/>
                <w:i w:val="0"/>
                <w:sz w:val="16"/>
              </w:rPr>
              <w:t>Dependence on liquidity providers, exchanges, clearing and custody (in the US, TradeZero partly addresses this) and on AI partners (Tori uses xAI's Grok 4.2). No sourced evidence of supplier price pressure: N/D. Rate-setting central banks drive the $49m/quarter NII line.</w:t>
            </w:r>
          </w:p>
        </w:tc>
      </w:tr>
      <w:tr>
        <w:tc>
          <w:tcPr>
            <w:tcW w:type="dxa" w:w="2041"/>
          </w:tcPr>
          <w:p>
            <w:pPr>
              <w:spacing w:after="0"/>
            </w:pPr>
            <w:r>
              <w:rPr>
                <w:b/>
                <w:i w:val="0"/>
                <w:sz w:val="16"/>
              </w:rPr>
              <w:t>Threat of substitutes</w:t>
            </w:r>
          </w:p>
        </w:tc>
        <w:tc>
          <w:tcPr>
            <w:tcW w:type="dxa" w:w="907"/>
          </w:tcPr>
          <w:p>
            <w:pPr>
              <w:spacing w:after="0"/>
            </w:pPr>
            <w:r>
              <w:rPr>
                <w:b w:val="0"/>
                <w:i w:val="0"/>
                <w:sz w:val="16"/>
              </w:rPr>
              <w:t>Medium</w:t>
            </w:r>
          </w:p>
        </w:tc>
        <w:tc>
          <w:tcPr>
            <w:tcW w:type="dxa" w:w="7143"/>
          </w:tcPr>
          <w:p>
            <w:pPr>
              <w:spacing w:after="0"/>
            </w:pPr>
            <w:r>
              <w:rPr>
                <w:b w:val="0"/>
                <w:i w:val="0"/>
                <w:sz w:val="16"/>
              </w:rPr>
              <w:t>Prediction markets and event contracts are pulling speculative flow: IG is buying Underdog (EV ~$1.1bn) and Webull earns ~$5–6m a quarter via Kalshi. eToro's crypto NC fell to $11m in Q2 26 while July crypto trades were -73% YoY. That is consistent with flow moving to crypto-native venues (inference, not proven). Robo and ETF savings compete for long-term balances.</w:t>
            </w:r>
          </w:p>
        </w:tc>
      </w:tr>
    </w:tbl>
    <w:p>
      <w:pPr>
        <w:spacing w:after="40"/>
      </w:pPr>
    </w:p>
    <w:p>
      <w:r>
        <w:rPr>
          <w:b/>
          <w:i w:val="0"/>
        </w:rPr>
        <w:t>Implication.</w:t>
      </w:r>
      <w:r>
        <w:rPr>
          <w:b w:val="0"/>
          <w:i w:val="0"/>
        </w:rPr>
        <w:t xml:space="preserve"> This is a structurally competitive sector in which above-normal returns come from scale economics (XTB 58% EBITDA margin H1 26; Plus500 41%) and from rate income, not from pricing power. eToro's 38% LTM adj. EBITDA margin is respectable but not scale-advantaged.</w:t>
      </w:r>
    </w:p>
    <w:p>
      <w:pPr>
        <w:pStyle w:val="Heading1"/>
      </w:pPr>
      <w:r>
        <w:t>5. Forecast and valuation stress-test</w:t>
      </w:r>
    </w:p>
    <w:p>
      <w:pPr>
        <w:pStyle w:val="Heading2"/>
      </w:pPr>
      <w:r>
        <w:t>5.1 Eight checks on the source materials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
        <w:gridCol w:w="2041"/>
        <w:gridCol w:w="7710"/>
      </w:tblGrid>
      <w:tr>
        <w:tc>
          <w:tcPr>
            <w:tcW w:type="dxa" w:w="340"/>
            <w:shd w:val="clear" w:color="auto" w:fill="1F3A5F"/>
          </w:tcPr>
          <w:p>
            <w:pPr>
              <w:spacing w:after="0"/>
            </w:pPr>
            <w:r>
              <w:rPr>
                <w:b/>
                <w:i w:val="0"/>
                <w:color w:val="FFFFFF"/>
                <w:sz w:val="16"/>
              </w:rPr>
              <w:t>#</w:t>
            </w:r>
          </w:p>
        </w:tc>
        <w:tc>
          <w:tcPr>
            <w:tcW w:type="dxa" w:w="2041"/>
            <w:shd w:val="clear" w:color="auto" w:fill="1F3A5F"/>
          </w:tcPr>
          <w:p>
            <w:pPr>
              <w:spacing w:after="0"/>
            </w:pPr>
            <w:r>
              <w:rPr>
                <w:b/>
                <w:i w:val="0"/>
                <w:color w:val="FFFFFF"/>
                <w:sz w:val="16"/>
              </w:rPr>
              <w:t>Check</w:t>
            </w:r>
          </w:p>
        </w:tc>
        <w:tc>
          <w:tcPr>
            <w:tcW w:type="dxa" w:w="7710"/>
            <w:shd w:val="clear" w:color="auto" w:fill="1F3A5F"/>
          </w:tcPr>
          <w:p>
            <w:pPr>
              <w:spacing w:after="0"/>
            </w:pPr>
            <w:r>
              <w:rPr>
                <w:b/>
                <w:i w:val="0"/>
                <w:color w:val="FFFFFF"/>
                <w:sz w:val="16"/>
              </w:rPr>
              <w:t>Finding</w:t>
            </w:r>
          </w:p>
        </w:tc>
      </w:tr>
      <w:tr>
        <w:tc>
          <w:tcPr>
            <w:tcW w:type="dxa" w:w="340"/>
          </w:tcPr>
          <w:p>
            <w:pPr>
              <w:spacing w:after="0"/>
            </w:pPr>
            <w:r>
              <w:rPr>
                <w:b w:val="0"/>
                <w:i w:val="0"/>
                <w:sz w:val="16"/>
              </w:rPr>
              <w:t>1</w:t>
            </w:r>
          </w:p>
        </w:tc>
        <w:tc>
          <w:tcPr>
            <w:tcW w:type="dxa" w:w="2041"/>
          </w:tcPr>
          <w:p>
            <w:pPr>
              <w:spacing w:after="0"/>
            </w:pPr>
            <w:r>
              <w:rPr>
                <w:b w:val="0"/>
                <w:i w:val="0"/>
                <w:sz w:val="16"/>
              </w:rPr>
              <w:t>Flattering comparative bases</w:t>
            </w:r>
          </w:p>
        </w:tc>
        <w:tc>
          <w:tcPr>
            <w:tcW w:type="dxa" w:w="7710"/>
          </w:tcPr>
          <w:p>
            <w:pPr>
              <w:spacing w:after="0"/>
            </w:pPr>
            <w:r>
              <w:rPr>
                <w:b w:val="0"/>
                <w:i w:val="0"/>
                <w:sz w:val="16"/>
              </w:rPr>
              <w:t>Q2 26 NI +77% (recomputed +75.5%) is on a Q2 25 base that included $15m of IPO costs. Adding those back pre-tax, growth is ~+17%. Q2 25 NC +26% was against a weak Q2 24 ($167m, derived).</w:t>
            </w:r>
          </w:p>
        </w:tc>
      </w:tr>
      <w:tr>
        <w:tc>
          <w:tcPr>
            <w:tcW w:type="dxa" w:w="340"/>
            <w:shd w:val="clear" w:color="auto" w:fill="F2F4F7"/>
          </w:tcPr>
          <w:p>
            <w:pPr>
              <w:spacing w:after="0"/>
            </w:pPr>
            <w:r>
              <w:rPr>
                <w:b w:val="0"/>
                <w:i w:val="0"/>
                <w:sz w:val="16"/>
              </w:rPr>
              <w:t>2</w:t>
            </w:r>
          </w:p>
        </w:tc>
        <w:tc>
          <w:tcPr>
            <w:tcW w:type="dxa" w:w="2041"/>
            <w:shd w:val="clear" w:color="auto" w:fill="F2F4F7"/>
          </w:tcPr>
          <w:p>
            <w:pPr>
              <w:spacing w:after="0"/>
            </w:pPr>
            <w:r>
              <w:rPr>
                <w:b w:val="0"/>
                <w:i w:val="0"/>
                <w:sz w:val="16"/>
              </w:rPr>
              <w:t>Internal inconsistencies</w:t>
            </w:r>
          </w:p>
        </w:tc>
        <w:tc>
          <w:tcPr>
            <w:tcW w:type="dxa" w:w="7710"/>
            <w:shd w:val="clear" w:color="auto" w:fill="F2F4F7"/>
          </w:tcPr>
          <w:p>
            <w:pPr>
              <w:spacing w:after="0"/>
            </w:pPr>
            <w:r>
              <w:rPr>
                <w:b w:val="0"/>
                <w:i w:val="0"/>
                <w:sz w:val="16"/>
              </w:rPr>
              <w:t>Q4 25 funded accounts: 3.85m (release) vs 3.81m (FY press). Q2 26 'revenue' growth: +9% NC, -24% total revenues &amp; income, and FX News Group's '-11%', which ties to neither. Share count: 70.0m / 79.5m / 82.9m / ~91m diluted.</w:t>
            </w:r>
          </w:p>
        </w:tc>
      </w:tr>
      <w:tr>
        <w:tc>
          <w:tcPr>
            <w:tcW w:type="dxa" w:w="340"/>
          </w:tcPr>
          <w:p>
            <w:pPr>
              <w:spacing w:after="0"/>
            </w:pPr>
            <w:r>
              <w:rPr>
                <w:b w:val="0"/>
                <w:i w:val="0"/>
                <w:sz w:val="16"/>
              </w:rPr>
              <w:t>3</w:t>
            </w:r>
          </w:p>
        </w:tc>
        <w:tc>
          <w:tcPr>
            <w:tcW w:type="dxa" w:w="2041"/>
          </w:tcPr>
          <w:p>
            <w:pPr>
              <w:spacing w:after="0"/>
            </w:pPr>
            <w:r>
              <w:rPr>
                <w:b w:val="0"/>
                <w:i w:val="0"/>
                <w:sz w:val="16"/>
              </w:rPr>
              <w:t>Unexplained one-period inflections</w:t>
            </w:r>
          </w:p>
        </w:tc>
        <w:tc>
          <w:tcPr>
            <w:tcW w:type="dxa" w:w="7710"/>
          </w:tcPr>
          <w:p>
            <w:pPr>
              <w:spacing w:after="0"/>
            </w:pPr>
            <w:r>
              <w:rPr>
                <w:b w:val="0"/>
                <w:i w:val="0"/>
                <w:sz w:val="16"/>
              </w:rPr>
              <w:t>Adj. EBITDA growth went from +35% (Q1 26) to +9% (Q2 26) (stated) after a ~4x Q1 commodities surge. Q4 25 NC fell 10.3% YoY against the Q4 24 crypto spike. August 26 funded accounts were flat on June (4.28m) and AUA growth slowed to +3% YoY.</w:t>
            </w:r>
          </w:p>
        </w:tc>
      </w:tr>
      <w:tr>
        <w:tc>
          <w:tcPr>
            <w:tcW w:type="dxa" w:w="340"/>
            <w:shd w:val="clear" w:color="auto" w:fill="F2F4F7"/>
          </w:tcPr>
          <w:p>
            <w:pPr>
              <w:spacing w:after="0"/>
            </w:pPr>
            <w:r>
              <w:rPr>
                <w:b w:val="0"/>
                <w:i w:val="0"/>
                <w:sz w:val="16"/>
              </w:rPr>
              <w:t>4</w:t>
            </w:r>
          </w:p>
        </w:tc>
        <w:tc>
          <w:tcPr>
            <w:tcW w:type="dxa" w:w="2041"/>
            <w:shd w:val="clear" w:color="auto" w:fill="F2F4F7"/>
          </w:tcPr>
          <w:p>
            <w:pPr>
              <w:spacing w:after="0"/>
            </w:pPr>
            <w:r>
              <w:rPr>
                <w:b w:val="0"/>
                <w:i w:val="0"/>
                <w:sz w:val="16"/>
              </w:rPr>
              <w:t>Inorganic growth in 'organic' figures</w:t>
            </w:r>
          </w:p>
        </w:tc>
        <w:tc>
          <w:tcPr>
            <w:tcW w:type="dxa" w:w="7710"/>
            <w:shd w:val="clear" w:color="auto" w:fill="F2F4F7"/>
          </w:tcPr>
          <w:p>
            <w:pPr>
              <w:spacing w:after="0"/>
            </w:pPr>
            <w:r>
              <w:rPr>
                <w:b w:val="0"/>
                <w:i w:val="0"/>
                <w:sz w:val="16"/>
              </w:rPr>
              <w:t>Spaceship (AU, up to A$80m, &gt;200k clients) is not separated in the funded-account disclosures. It could be up to ~19% of account growth from Q3 24 to Q2 26. TradeZero will add US accounts from H1 27.</w:t>
            </w:r>
          </w:p>
        </w:tc>
      </w:tr>
      <w:tr>
        <w:tc>
          <w:tcPr>
            <w:tcW w:type="dxa" w:w="340"/>
          </w:tcPr>
          <w:p>
            <w:pPr>
              <w:spacing w:after="0"/>
            </w:pPr>
            <w:r>
              <w:rPr>
                <w:b w:val="0"/>
                <w:i w:val="0"/>
                <w:sz w:val="16"/>
              </w:rPr>
              <w:t>5</w:t>
            </w:r>
          </w:p>
        </w:tc>
        <w:tc>
          <w:tcPr>
            <w:tcW w:type="dxa" w:w="2041"/>
          </w:tcPr>
          <w:p>
            <w:pPr>
              <w:spacing w:after="0"/>
            </w:pPr>
            <w:r>
              <w:rPr>
                <w:b w:val="0"/>
                <w:i w:val="0"/>
                <w:sz w:val="16"/>
              </w:rPr>
              <w:t>Non-statutory measures</w:t>
            </w:r>
          </w:p>
        </w:tc>
        <w:tc>
          <w:tcPr>
            <w:tcW w:type="dxa" w:w="7710"/>
          </w:tcPr>
          <w:p>
            <w:pPr>
              <w:spacing w:after="0"/>
            </w:pPr>
            <w:r>
              <w:rPr>
                <w:b w:val="0"/>
                <w:i w:val="0"/>
                <w:sz w:val="16"/>
              </w:rPr>
              <w:t>Headline NC and adj. EBITDA are non-GAAP. The GAAP top line ($13.8bn FY25, 94% crypto gross sales) is not meaningful. This thesis anchors tests on GAAP NI where possible.</w:t>
            </w:r>
          </w:p>
        </w:tc>
      </w:tr>
      <w:tr>
        <w:tc>
          <w:tcPr>
            <w:tcW w:type="dxa" w:w="340"/>
            <w:shd w:val="clear" w:color="auto" w:fill="F2F4F7"/>
          </w:tcPr>
          <w:p>
            <w:pPr>
              <w:spacing w:after="0"/>
            </w:pPr>
            <w:r>
              <w:rPr>
                <w:b w:val="0"/>
                <w:i w:val="0"/>
                <w:sz w:val="16"/>
              </w:rPr>
              <w:t>6</w:t>
            </w:r>
          </w:p>
        </w:tc>
        <w:tc>
          <w:tcPr>
            <w:tcW w:type="dxa" w:w="2041"/>
            <w:shd w:val="clear" w:color="auto" w:fill="F2F4F7"/>
          </w:tcPr>
          <w:p>
            <w:pPr>
              <w:spacing w:after="0"/>
            </w:pPr>
            <w:r>
              <w:rPr>
                <w:b w:val="0"/>
                <w:i w:val="0"/>
                <w:sz w:val="16"/>
              </w:rPr>
              <w:t>Regulatory change treated as given</w:t>
            </w:r>
          </w:p>
        </w:tc>
        <w:tc>
          <w:tcPr>
            <w:tcW w:type="dxa" w:w="7710"/>
            <w:shd w:val="clear" w:color="auto" w:fill="F2F4F7"/>
          </w:tcPr>
          <w:p>
            <w:pPr>
              <w:spacing w:after="0"/>
            </w:pPr>
            <w:r>
              <w:rPr>
                <w:b w:val="0"/>
                <w:i w:val="0"/>
                <w:sz w:val="16"/>
              </w:rPr>
              <w:t>TradeZero needs US regulatory approval. US commodities access is guided at '6–9 months'. The ASIC DDO case against the Australian CFD business is unresolved.</w:t>
            </w:r>
          </w:p>
        </w:tc>
      </w:tr>
      <w:tr>
        <w:tc>
          <w:tcPr>
            <w:tcW w:type="dxa" w:w="340"/>
          </w:tcPr>
          <w:p>
            <w:pPr>
              <w:spacing w:after="0"/>
            </w:pPr>
            <w:r>
              <w:rPr>
                <w:b w:val="0"/>
                <w:i w:val="0"/>
                <w:sz w:val="16"/>
              </w:rPr>
              <w:t>7</w:t>
            </w:r>
          </w:p>
        </w:tc>
        <w:tc>
          <w:tcPr>
            <w:tcW w:type="dxa" w:w="2041"/>
          </w:tcPr>
          <w:p>
            <w:pPr>
              <w:spacing w:after="0"/>
            </w:pPr>
            <w:r>
              <w:rPr>
                <w:b w:val="0"/>
                <w:i w:val="0"/>
                <w:sz w:val="16"/>
              </w:rPr>
              <w:t>Execution load</w:t>
            </w:r>
          </w:p>
        </w:tc>
        <w:tc>
          <w:tcPr>
            <w:tcW w:type="dxa" w:w="7710"/>
          </w:tcPr>
          <w:p>
            <w:pPr>
              <w:spacing w:after="0"/>
            </w:pPr>
            <w:r>
              <w:rPr>
                <w:b w:val="0"/>
                <w:i w:val="0"/>
                <w:sz w:val="16"/>
              </w:rPr>
              <w:t>8 concurrent initiatives (see Section 7, test 7) against ~1,500 staff after a 7% cut and a planned marketing step-up.</w:t>
            </w:r>
          </w:p>
        </w:tc>
      </w:tr>
      <w:tr>
        <w:tc>
          <w:tcPr>
            <w:tcW w:type="dxa" w:w="340"/>
            <w:shd w:val="clear" w:color="auto" w:fill="F2F4F7"/>
          </w:tcPr>
          <w:p>
            <w:pPr>
              <w:spacing w:after="0"/>
            </w:pPr>
            <w:r>
              <w:rPr>
                <w:b w:val="0"/>
                <w:i w:val="0"/>
                <w:sz w:val="16"/>
              </w:rPr>
              <w:t>8</w:t>
            </w:r>
          </w:p>
        </w:tc>
        <w:tc>
          <w:tcPr>
            <w:tcW w:type="dxa" w:w="2041"/>
            <w:shd w:val="clear" w:color="auto" w:fill="F2F4F7"/>
          </w:tcPr>
          <w:p>
            <w:pPr>
              <w:spacing w:after="0"/>
            </w:pPr>
            <w:r>
              <w:rPr>
                <w:b w:val="0"/>
                <w:i w:val="0"/>
                <w:sz w:val="16"/>
              </w:rPr>
              <w:t>Unverifiable market sizing</w:t>
            </w:r>
          </w:p>
        </w:tc>
        <w:tc>
          <w:tcPr>
            <w:tcW w:type="dxa" w:w="7710"/>
            <w:shd w:val="clear" w:color="auto" w:fill="F2F4F7"/>
          </w:tcPr>
          <w:p>
            <w:pPr>
              <w:spacing w:after="0"/>
            </w:pPr>
            <w:r>
              <w:rPr>
                <w:b w:val="0"/>
                <w:i w:val="0"/>
                <w:sz w:val="16"/>
              </w:rPr>
              <w:t>Third-party 'online trading platform' TAMs of $10.8–12.3bn (outlier $46.7bn) are templated and sit below the combined revenue of a handful of listed brokers. The TAM could not be independently corroborated.</w:t>
            </w:r>
          </w:p>
        </w:tc>
      </w:tr>
    </w:tbl>
    <w:p>
      <w:pPr>
        <w:spacing w:after="40"/>
      </w:pPr>
    </w:p>
    <w:p>
      <w:r>
        <w:rPr>
          <w:b w:val="0"/>
          <w:i w:val="0"/>
          <w:sz w:val="17"/>
        </w:rPr>
        <w:t>Recomputation: 27 stated growth rates and totals MATCH within a 2pp / $2m tolerance and 6 are FLAGged (workbook 'Historical Build &amp; Ratios' rows 46–78). NC CAGR FY23–FY25 is 16.5% (the FY23 base is low confidence).</w:t>
      </w:r>
    </w:p>
    <w:p>
      <w:pPr>
        <w:pStyle w:val="Heading2"/>
      </w:pPr>
      <w:r>
        <w:t>5.2 Resolving the three open valuation items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61"/>
        <w:gridCol w:w="7030"/>
        <w:gridCol w:w="1701"/>
      </w:tblGrid>
      <w:tr>
        <w:tc>
          <w:tcPr>
            <w:tcW w:type="dxa" w:w="1361"/>
            <w:shd w:val="clear" w:color="auto" w:fill="1F3A5F"/>
          </w:tcPr>
          <w:p>
            <w:pPr>
              <w:spacing w:after="0"/>
            </w:pPr>
            <w:r>
              <w:rPr>
                <w:b/>
                <w:i w:val="0"/>
                <w:color w:val="FFFFFF"/>
                <w:sz w:val="16"/>
              </w:rPr>
              <w:t>Item</w:t>
            </w:r>
          </w:p>
        </w:tc>
        <w:tc>
          <w:tcPr>
            <w:tcW w:type="dxa" w:w="7030"/>
            <w:shd w:val="clear" w:color="auto" w:fill="1F3A5F"/>
          </w:tcPr>
          <w:p>
            <w:pPr>
              <w:spacing w:after="0"/>
            </w:pPr>
            <w:r>
              <w:rPr>
                <w:b/>
                <w:i w:val="0"/>
                <w:color w:val="FFFFFF"/>
                <w:sz w:val="16"/>
              </w:rPr>
              <w:t>Resolution</w:t>
            </w:r>
          </w:p>
        </w:tc>
        <w:tc>
          <w:tcPr>
            <w:tcW w:type="dxa" w:w="1701"/>
            <w:shd w:val="clear" w:color="auto" w:fill="1F3A5F"/>
          </w:tcPr>
          <w:p>
            <w:pPr>
              <w:spacing w:after="0"/>
            </w:pPr>
            <w:r>
              <w:rPr>
                <w:b/>
                <w:i w:val="0"/>
                <w:color w:val="FFFFFF"/>
                <w:sz w:val="16"/>
              </w:rPr>
              <w:t>Status</w:t>
            </w:r>
          </w:p>
        </w:tc>
      </w:tr>
      <w:tr>
        <w:tc>
          <w:tcPr>
            <w:tcW w:type="dxa" w:w="1361"/>
          </w:tcPr>
          <w:p>
            <w:pPr>
              <w:spacing w:after="0"/>
            </w:pPr>
            <w:r>
              <w:rPr>
                <w:b w:val="0"/>
                <w:i w:val="0"/>
                <w:sz w:val="16"/>
              </w:rPr>
              <w:t>Share count</w:t>
            </w:r>
          </w:p>
        </w:tc>
        <w:tc>
          <w:tcPr>
            <w:tcW w:type="dxa" w:w="7030"/>
          </w:tcPr>
          <w:p>
            <w:pPr>
              <w:spacing w:after="0"/>
            </w:pPr>
            <w:r>
              <w:rPr>
                <w:b w:val="0"/>
                <w:i w:val="0"/>
                <w:sz w:val="16"/>
              </w:rPr>
              <w:t>20-F (31 Dec 2025): 82.85m (68.65m A + 14.20m B). Latest aggregator: 79.53m, consistent with the $2.10bn quoted cap at $26.40 and with the Feb 26 ASR. Implied diluted count: $53m / $0.58 = 91.4m. The Feb 26 cover figure of 70.04m (66.81m A + 3.24m B) cannot be reconciled to the 20-F Class B count and is rejected.</w:t>
            </w:r>
          </w:p>
        </w:tc>
        <w:tc>
          <w:tcPr>
            <w:tcW w:type="dxa" w:w="1701"/>
          </w:tcPr>
          <w:p>
            <w:pPr>
              <w:spacing w:after="0"/>
            </w:pPr>
            <w:r>
              <w:rPr>
                <w:b w:val="0"/>
                <w:i w:val="0"/>
                <w:sz w:val="16"/>
              </w:rPr>
              <w:t>Partly resolved: base 79.53m, range to 91.4m</w:t>
            </w:r>
          </w:p>
        </w:tc>
      </w:tr>
      <w:tr>
        <w:tc>
          <w:tcPr>
            <w:tcW w:type="dxa" w:w="1361"/>
            <w:shd w:val="clear" w:color="auto" w:fill="F2F4F7"/>
          </w:tcPr>
          <w:p>
            <w:pPr>
              <w:spacing w:after="0"/>
            </w:pPr>
            <w:r>
              <w:rPr>
                <w:b w:val="0"/>
                <w:i w:val="0"/>
                <w:sz w:val="16"/>
              </w:rPr>
              <w:t>$1.2bn cash</w:t>
            </w:r>
          </w:p>
        </w:tc>
        <w:tc>
          <w:tcPr>
            <w:tcW w:type="dxa" w:w="7030"/>
            <w:shd w:val="clear" w:color="auto" w:fill="F2F4F7"/>
          </w:tcPr>
          <w:p>
            <w:pPr>
              <w:spacing w:after="0"/>
            </w:pPr>
            <w:r>
              <w:rPr>
                <w:b w:val="0"/>
                <w:i w:val="0"/>
                <w:sz w:val="16"/>
              </w:rPr>
              <w:t>Reported as cash, cash equivalents &amp; short-term investments (30 Sep 25 and 30 Jun 26; $1.3bn at YE25). Client money is stated to be segregated. The split between free corporate cash and regulatory capital is not disclosed in any source reached (UK entity minimum £750k; group requirement N/D). Debt is assumed nil (N/D).</w:t>
            </w:r>
          </w:p>
        </w:tc>
        <w:tc>
          <w:tcPr>
            <w:tcW w:type="dxa" w:w="1701"/>
            <w:shd w:val="clear" w:color="auto" w:fill="F2F4F7"/>
          </w:tcPr>
          <w:p>
            <w:pPr>
              <w:spacing w:after="0"/>
            </w:pPr>
            <w:r>
              <w:rPr>
                <w:b w:val="0"/>
                <w:i w:val="0"/>
                <w:sz w:val="16"/>
              </w:rPr>
              <w:t>Unresolved: EV shown as range</w:t>
            </w:r>
          </w:p>
        </w:tc>
      </w:tr>
      <w:tr>
        <w:tc>
          <w:tcPr>
            <w:tcW w:type="dxa" w:w="1361"/>
          </w:tcPr>
          <w:p>
            <w:pPr>
              <w:spacing w:after="0"/>
            </w:pPr>
            <w:r>
              <w:rPr>
                <w:b w:val="0"/>
                <w:i w:val="0"/>
                <w:sz w:val="16"/>
              </w:rPr>
              <w:t>Swissquote price</w:t>
            </w:r>
          </w:p>
        </w:tc>
        <w:tc>
          <w:tcPr>
            <w:tcW w:type="dxa" w:w="7030"/>
          </w:tcPr>
          <w:p>
            <w:pPr>
              <w:spacing w:after="0"/>
            </w:pPr>
            <w:r>
              <w:rPr>
                <w:b w:val="0"/>
                <w:i w:val="0"/>
                <w:sz w:val="16"/>
              </w:rPr>
              <w:t>The earlier 'CHF 38.64 vs CHF 5.79bn' mismatch disappears on the ~150m share count (149.88m): CHF 36.98 x 149.88m = CHF 5.54bn, matching the quoted cap. This implies a share split. The stated 50.2% PBT margin still does not tie (recomputed 42.2%).</w:t>
            </w:r>
          </w:p>
        </w:tc>
        <w:tc>
          <w:tcPr>
            <w:tcW w:type="dxa" w:w="1701"/>
          </w:tcPr>
          <w:p>
            <w:pPr>
              <w:spacing w:after="0"/>
            </w:pPr>
            <w:r>
              <w:rPr>
                <w:b w:val="0"/>
                <w:i w:val="0"/>
                <w:sz w:val="16"/>
              </w:rPr>
              <w:t>Resolved (margin flagged)</w:t>
            </w:r>
          </w:p>
        </w:tc>
      </w:tr>
    </w:tbl>
    <w:p>
      <w:pPr>
        <w:spacing w:after="40"/>
      </w:pP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75"/>
        <w:gridCol w:w="2324"/>
        <w:gridCol w:w="2324"/>
        <w:gridCol w:w="2268"/>
      </w:tblGrid>
      <w:tr>
        <w:tc>
          <w:tcPr>
            <w:tcW w:type="dxa" w:w="3175"/>
            <w:shd w:val="clear" w:color="auto" w:fill="1F3A5F"/>
          </w:tcPr>
          <w:p>
            <w:pPr>
              <w:spacing w:after="0"/>
            </w:pPr>
            <w:r>
              <w:rPr>
                <w:b/>
                <w:i w:val="0"/>
                <w:color w:val="FFFFFF"/>
                <w:sz w:val="16"/>
              </w:rPr>
              <w:t>EV ($m) and multiples at $26.40</w:t>
            </w:r>
          </w:p>
        </w:tc>
        <w:tc>
          <w:tcPr>
            <w:tcW w:type="dxa" w:w="2324"/>
            <w:shd w:val="clear" w:color="auto" w:fill="1F3A5F"/>
          </w:tcPr>
          <w:p>
            <w:pPr>
              <w:spacing w:after="0"/>
            </w:pPr>
            <w:r>
              <w:rPr>
                <w:b/>
                <w:i w:val="0"/>
                <w:color w:val="FFFFFF"/>
                <w:sz w:val="16"/>
              </w:rPr>
              <w:t>79.53m basic</w:t>
            </w:r>
          </w:p>
        </w:tc>
        <w:tc>
          <w:tcPr>
            <w:tcW w:type="dxa" w:w="2324"/>
            <w:shd w:val="clear" w:color="auto" w:fill="1F3A5F"/>
          </w:tcPr>
          <w:p>
            <w:pPr>
              <w:spacing w:after="0"/>
            </w:pPr>
            <w:r>
              <w:rPr>
                <w:b/>
                <w:i w:val="0"/>
                <w:color w:val="FFFFFF"/>
                <w:sz w:val="16"/>
              </w:rPr>
              <w:t>82.85m (20-F)</w:t>
            </w:r>
          </w:p>
        </w:tc>
        <w:tc>
          <w:tcPr>
            <w:tcW w:type="dxa" w:w="2268"/>
            <w:shd w:val="clear" w:color="auto" w:fill="1F3A5F"/>
          </w:tcPr>
          <w:p>
            <w:pPr>
              <w:spacing w:after="0"/>
            </w:pPr>
            <w:r>
              <w:rPr>
                <w:b/>
                <w:i w:val="0"/>
                <w:color w:val="FFFFFF"/>
                <w:sz w:val="16"/>
              </w:rPr>
              <w:t>91.4m diluted</w:t>
            </w:r>
          </w:p>
        </w:tc>
      </w:tr>
      <w:tr>
        <w:tc>
          <w:tcPr>
            <w:tcW w:type="dxa" w:w="3175"/>
          </w:tcPr>
          <w:p>
            <w:pPr>
              <w:spacing w:after="0"/>
            </w:pPr>
            <w:r>
              <w:rPr>
                <w:b/>
                <w:i w:val="0"/>
                <w:sz w:val="16"/>
              </w:rPr>
              <w:t>Market cap</w:t>
            </w:r>
          </w:p>
        </w:tc>
        <w:tc>
          <w:tcPr>
            <w:tcW w:type="dxa" w:w="2324"/>
          </w:tcPr>
          <w:p>
            <w:pPr>
              <w:spacing w:after="0"/>
            </w:pPr>
            <w:r>
              <w:rPr>
                <w:b w:val="0"/>
                <w:i w:val="0"/>
                <w:sz w:val="16"/>
              </w:rPr>
              <w:t>2,100</w:t>
            </w:r>
          </w:p>
        </w:tc>
        <w:tc>
          <w:tcPr>
            <w:tcW w:type="dxa" w:w="2324"/>
          </w:tcPr>
          <w:p>
            <w:pPr>
              <w:spacing w:after="0"/>
            </w:pPr>
            <w:r>
              <w:rPr>
                <w:b w:val="0"/>
                <w:i w:val="0"/>
                <w:sz w:val="16"/>
              </w:rPr>
              <w:t>2,187</w:t>
            </w:r>
          </w:p>
        </w:tc>
        <w:tc>
          <w:tcPr>
            <w:tcW w:type="dxa" w:w="2268"/>
          </w:tcPr>
          <w:p>
            <w:pPr>
              <w:spacing w:after="0"/>
            </w:pPr>
            <w:r>
              <w:rPr>
                <w:b w:val="0"/>
                <w:i w:val="0"/>
                <w:sz w:val="16"/>
              </w:rPr>
              <w:t>2,412</w:t>
            </w:r>
          </w:p>
        </w:tc>
      </w:tr>
      <w:tr>
        <w:tc>
          <w:tcPr>
            <w:tcW w:type="dxa" w:w="3175"/>
            <w:shd w:val="clear" w:color="auto" w:fill="F2F4F7"/>
          </w:tcPr>
          <w:p>
            <w:pPr>
              <w:spacing w:after="0"/>
            </w:pPr>
            <w:r>
              <w:rPr>
                <w:b/>
                <w:i w:val="0"/>
                <w:sz w:val="16"/>
              </w:rPr>
              <w:t>EV, A: 100% cash credit</w:t>
            </w:r>
          </w:p>
        </w:tc>
        <w:tc>
          <w:tcPr>
            <w:tcW w:type="dxa" w:w="2324"/>
            <w:shd w:val="clear" w:color="auto" w:fill="F2F4F7"/>
          </w:tcPr>
          <w:p>
            <w:pPr>
              <w:spacing w:after="0"/>
            </w:pPr>
            <w:r>
              <w:rPr>
                <w:b w:val="0"/>
                <w:i w:val="0"/>
                <w:sz w:val="16"/>
              </w:rPr>
              <w:t>900</w:t>
            </w:r>
          </w:p>
        </w:tc>
        <w:tc>
          <w:tcPr>
            <w:tcW w:type="dxa" w:w="2324"/>
            <w:shd w:val="clear" w:color="auto" w:fill="F2F4F7"/>
          </w:tcPr>
          <w:p>
            <w:pPr>
              <w:spacing w:after="0"/>
            </w:pPr>
            <w:r>
              <w:rPr>
                <w:b w:val="0"/>
                <w:i w:val="0"/>
                <w:sz w:val="16"/>
              </w:rPr>
              <w:t>987</w:t>
            </w:r>
          </w:p>
        </w:tc>
        <w:tc>
          <w:tcPr>
            <w:tcW w:type="dxa" w:w="2268"/>
            <w:shd w:val="clear" w:color="auto" w:fill="F2F4F7"/>
          </w:tcPr>
          <w:p>
            <w:pPr>
              <w:spacing w:after="0"/>
            </w:pPr>
            <w:r>
              <w:rPr>
                <w:b w:val="0"/>
                <w:i w:val="0"/>
                <w:sz w:val="16"/>
              </w:rPr>
              <w:t>1,212</w:t>
            </w:r>
          </w:p>
        </w:tc>
      </w:tr>
      <w:tr>
        <w:tc>
          <w:tcPr>
            <w:tcW w:type="dxa" w:w="3175"/>
            <w:shd w:val="clear" w:color="auto" w:fill="FDF0E6"/>
          </w:tcPr>
          <w:p>
            <w:pPr>
              <w:spacing w:after="0"/>
            </w:pPr>
            <w:r>
              <w:rPr>
                <w:b/>
                <w:i w:val="0"/>
                <w:sz w:val="16"/>
              </w:rPr>
              <w:t>EV, B: 50% (central)</w:t>
            </w:r>
          </w:p>
        </w:tc>
        <w:tc>
          <w:tcPr>
            <w:tcW w:type="dxa" w:w="2324"/>
            <w:shd w:val="clear" w:color="auto" w:fill="FDF0E6"/>
          </w:tcPr>
          <w:p>
            <w:pPr>
              <w:spacing w:after="0"/>
            </w:pPr>
            <w:r>
              <w:rPr>
                <w:b w:val="0"/>
                <w:i w:val="0"/>
                <w:sz w:val="16"/>
              </w:rPr>
              <w:t>1,500</w:t>
            </w:r>
          </w:p>
        </w:tc>
        <w:tc>
          <w:tcPr>
            <w:tcW w:type="dxa" w:w="2324"/>
            <w:shd w:val="clear" w:color="auto" w:fill="FDF0E6"/>
          </w:tcPr>
          <w:p>
            <w:pPr>
              <w:spacing w:after="0"/>
            </w:pPr>
            <w:r>
              <w:rPr>
                <w:b w:val="0"/>
                <w:i w:val="0"/>
                <w:sz w:val="16"/>
              </w:rPr>
              <w:t>1,587</w:t>
            </w:r>
          </w:p>
        </w:tc>
        <w:tc>
          <w:tcPr>
            <w:tcW w:type="dxa" w:w="2268"/>
            <w:shd w:val="clear" w:color="auto" w:fill="FDF0E6"/>
          </w:tcPr>
          <w:p>
            <w:pPr>
              <w:spacing w:after="0"/>
            </w:pPr>
            <w:r>
              <w:rPr>
                <w:b w:val="0"/>
                <w:i w:val="0"/>
                <w:sz w:val="16"/>
              </w:rPr>
              <w:t>1,812</w:t>
            </w:r>
          </w:p>
        </w:tc>
      </w:tr>
      <w:tr>
        <w:tc>
          <w:tcPr>
            <w:tcW w:type="dxa" w:w="3175"/>
            <w:shd w:val="clear" w:color="auto" w:fill="F2F4F7"/>
          </w:tcPr>
          <w:p>
            <w:pPr>
              <w:spacing w:after="0"/>
            </w:pPr>
            <w:r>
              <w:rPr>
                <w:b/>
                <w:i w:val="0"/>
                <w:sz w:val="16"/>
              </w:rPr>
              <w:t>EV, C: 0% cash credit</w:t>
            </w:r>
          </w:p>
        </w:tc>
        <w:tc>
          <w:tcPr>
            <w:tcW w:type="dxa" w:w="2324"/>
            <w:shd w:val="clear" w:color="auto" w:fill="F2F4F7"/>
          </w:tcPr>
          <w:p>
            <w:pPr>
              <w:spacing w:after="0"/>
            </w:pPr>
            <w:r>
              <w:rPr>
                <w:b w:val="0"/>
                <w:i w:val="0"/>
                <w:sz w:val="16"/>
              </w:rPr>
              <w:t>2,100</w:t>
            </w:r>
          </w:p>
        </w:tc>
        <w:tc>
          <w:tcPr>
            <w:tcW w:type="dxa" w:w="2324"/>
            <w:shd w:val="clear" w:color="auto" w:fill="F2F4F7"/>
          </w:tcPr>
          <w:p>
            <w:pPr>
              <w:spacing w:after="0"/>
            </w:pPr>
            <w:r>
              <w:rPr>
                <w:b w:val="0"/>
                <w:i w:val="0"/>
                <w:sz w:val="16"/>
              </w:rPr>
              <w:t>2,187</w:t>
            </w:r>
          </w:p>
        </w:tc>
        <w:tc>
          <w:tcPr>
            <w:tcW w:type="dxa" w:w="2268"/>
            <w:shd w:val="clear" w:color="auto" w:fill="F2F4F7"/>
          </w:tcPr>
          <w:p>
            <w:pPr>
              <w:spacing w:after="0"/>
            </w:pPr>
            <w:r>
              <w:rPr>
                <w:b w:val="0"/>
                <w:i w:val="0"/>
                <w:sz w:val="16"/>
              </w:rPr>
              <w:t>2,412</w:t>
            </w:r>
          </w:p>
        </w:tc>
      </w:tr>
      <w:tr>
        <w:tc>
          <w:tcPr>
            <w:tcW w:type="dxa" w:w="3175"/>
          </w:tcPr>
          <w:p>
            <w:pPr>
              <w:spacing w:after="0"/>
            </w:pPr>
            <w:r>
              <w:rPr>
                <w:b/>
                <w:i w:val="0"/>
                <w:sz w:val="16"/>
              </w:rPr>
              <w:t>EV / LTM NC  (A / B / C)</w:t>
            </w:r>
          </w:p>
        </w:tc>
        <w:tc>
          <w:tcPr>
            <w:tcW w:type="dxa" w:w="2324"/>
          </w:tcPr>
          <w:p>
            <w:pPr>
              <w:spacing w:after="0"/>
            </w:pPr>
            <w:r>
              <w:rPr>
                <w:b w:val="0"/>
                <w:i w:val="0"/>
                <w:sz w:val="16"/>
              </w:rPr>
              <w:t>0.97x / 1.61x / 2.26x</w:t>
            </w:r>
          </w:p>
        </w:tc>
        <w:tc>
          <w:tcPr>
            <w:tcW w:type="dxa" w:w="2324"/>
          </w:tcPr>
          <w:p>
            <w:pPr>
              <w:spacing w:after="0"/>
            </w:pPr>
            <w:r>
              <w:rPr>
                <w:b w:val="0"/>
                <w:i w:val="0"/>
                <w:sz w:val="16"/>
              </w:rPr>
              <w:t>1.06x / 1.71x / 2.35x</w:t>
            </w:r>
          </w:p>
        </w:tc>
        <w:tc>
          <w:tcPr>
            <w:tcW w:type="dxa" w:w="2268"/>
          </w:tcPr>
          <w:p>
            <w:pPr>
              <w:spacing w:after="0"/>
            </w:pPr>
            <w:r>
              <w:rPr>
                <w:b w:val="0"/>
                <w:i w:val="0"/>
                <w:sz w:val="16"/>
              </w:rPr>
              <w:t>1.31x / 1.95x / 2.60x</w:t>
            </w:r>
          </w:p>
        </w:tc>
      </w:tr>
      <w:tr>
        <w:tc>
          <w:tcPr>
            <w:tcW w:type="dxa" w:w="3175"/>
            <w:shd w:val="clear" w:color="auto" w:fill="F2F4F7"/>
          </w:tcPr>
          <w:p>
            <w:pPr>
              <w:spacing w:after="0"/>
            </w:pPr>
            <w:r>
              <w:rPr>
                <w:b/>
                <w:i w:val="0"/>
                <w:sz w:val="16"/>
              </w:rPr>
              <w:t>EV / LTM adj. EBITDA  (A / B / C)</w:t>
            </w:r>
          </w:p>
        </w:tc>
        <w:tc>
          <w:tcPr>
            <w:tcW w:type="dxa" w:w="2324"/>
            <w:shd w:val="clear" w:color="auto" w:fill="F2F4F7"/>
          </w:tcPr>
          <w:p>
            <w:pPr>
              <w:spacing w:after="0"/>
            </w:pPr>
            <w:r>
              <w:rPr>
                <w:b w:val="0"/>
                <w:i w:val="0"/>
                <w:sz w:val="16"/>
              </w:rPr>
              <w:t>2.56x / 4.26x / 5.96x</w:t>
            </w:r>
          </w:p>
        </w:tc>
        <w:tc>
          <w:tcPr>
            <w:tcW w:type="dxa" w:w="2324"/>
            <w:shd w:val="clear" w:color="auto" w:fill="F2F4F7"/>
          </w:tcPr>
          <w:p>
            <w:pPr>
              <w:spacing w:after="0"/>
            </w:pPr>
            <w:r>
              <w:rPr>
                <w:b w:val="0"/>
                <w:i w:val="0"/>
                <w:sz w:val="16"/>
              </w:rPr>
              <w:t>2.80x / 4.51x / 6.21x</w:t>
            </w:r>
          </w:p>
        </w:tc>
        <w:tc>
          <w:tcPr>
            <w:tcW w:type="dxa" w:w="2268"/>
            <w:shd w:val="clear" w:color="auto" w:fill="F2F4F7"/>
          </w:tcPr>
          <w:p>
            <w:pPr>
              <w:spacing w:after="0"/>
            </w:pPr>
            <w:r>
              <w:rPr>
                <w:b w:val="0"/>
                <w:i w:val="0"/>
                <w:sz w:val="16"/>
              </w:rPr>
              <w:t>3.44x / 5.15x / 6.85x</w:t>
            </w:r>
          </w:p>
        </w:tc>
      </w:tr>
      <w:tr>
        <w:tc>
          <w:tcPr>
            <w:tcW w:type="dxa" w:w="3175"/>
          </w:tcPr>
          <w:p>
            <w:pPr>
              <w:spacing w:after="0"/>
            </w:pPr>
            <w:r>
              <w:rPr>
                <w:b/>
                <w:i w:val="0"/>
                <w:sz w:val="16"/>
              </w:rPr>
              <w:t>P/E on LTM GAAP NI</w:t>
            </w:r>
          </w:p>
        </w:tc>
        <w:tc>
          <w:tcPr>
            <w:tcW w:type="dxa" w:w="2324"/>
          </w:tcPr>
          <w:p>
            <w:pPr>
              <w:spacing w:after="0"/>
            </w:pPr>
            <w:r>
              <w:rPr>
                <w:b w:val="0"/>
                <w:i w:val="0"/>
                <w:sz w:val="16"/>
              </w:rPr>
              <w:t>8.1x</w:t>
            </w:r>
          </w:p>
        </w:tc>
        <w:tc>
          <w:tcPr>
            <w:tcW w:type="dxa" w:w="2324"/>
          </w:tcPr>
          <w:p>
            <w:pPr>
              <w:spacing w:after="0"/>
            </w:pPr>
            <w:r>
              <w:rPr>
                <w:b w:val="0"/>
                <w:i w:val="0"/>
                <w:sz w:val="16"/>
              </w:rPr>
              <w:t>8.4x</w:t>
            </w:r>
          </w:p>
        </w:tc>
        <w:tc>
          <w:tcPr>
            <w:tcW w:type="dxa" w:w="2268"/>
          </w:tcPr>
          <w:p>
            <w:pPr>
              <w:spacing w:after="0"/>
            </w:pPr>
            <w:r>
              <w:rPr>
                <w:b w:val="0"/>
                <w:i w:val="0"/>
                <w:sz w:val="16"/>
              </w:rPr>
              <w:t>9.3x</w:t>
            </w:r>
          </w:p>
        </w:tc>
      </w:tr>
    </w:tbl>
    <w:p>
      <w:pPr>
        <w:spacing w:after="40"/>
      </w:pPr>
    </w:p>
    <w:p>
      <w:pPr>
        <w:pStyle w:val="Heading2"/>
      </w:pPr>
      <w:r>
        <w:t>5.3 Valuation cross-check vs the closest confirmed peer (Plus500), arithmetic shown</w:t>
      </w:r>
    </w:p>
    <w:p>
      <w:pPr>
        <w:pStyle w:val="ListBullet"/>
        <w:spacing w:after="30"/>
      </w:pPr>
      <w:r>
        <w:rPr>
          <w:rFonts w:ascii="Arial" w:hAnsi="Arial"/>
          <w:b w:val="0"/>
          <w:i w:val="0"/>
          <w:sz w:val="18"/>
        </w:rPr>
        <w:t xml:space="preserve">eToro central EV = market cap $2,100m (79.53m x $26.40) – 50% x $1,200m cash = </w:t>
      </w:r>
      <w:r>
        <w:rPr>
          <w:rFonts w:ascii="Arial" w:hAnsi="Arial"/>
          <w:b/>
          <w:i w:val="0"/>
          <w:sz w:val="18"/>
        </w:rPr>
        <w:t>$1,500m</w:t>
      </w:r>
      <w:r>
        <w:rPr>
          <w:rFonts w:ascii="Arial" w:hAnsi="Arial"/>
          <w:b w:val="0"/>
          <w:i w:val="0"/>
          <w:sz w:val="18"/>
        </w:rPr>
        <w:t xml:space="preserve">. EV/LTM NC = $1,500m / $929m = </w:t>
      </w:r>
      <w:r>
        <w:rPr>
          <w:rFonts w:ascii="Arial" w:hAnsi="Arial"/>
          <w:b/>
          <w:i w:val="0"/>
          <w:sz w:val="18"/>
        </w:rPr>
        <w:t>1.61x</w:t>
      </w:r>
      <w:r>
        <w:rPr>
          <w:rFonts w:ascii="Arial" w:hAnsi="Arial"/>
          <w:b w:val="0"/>
          <w:i w:val="0"/>
          <w:sz w:val="18"/>
        </w:rPr>
        <w:t xml:space="preserve">. EV/LTM adj. EBITDA = $1,500m / $352m = </w:t>
      </w:r>
      <w:r>
        <w:rPr>
          <w:rFonts w:ascii="Arial" w:hAnsi="Arial"/>
          <w:b/>
          <w:i w:val="0"/>
          <w:sz w:val="18"/>
        </w:rPr>
        <w:t>4.26x</w:t>
      </w:r>
      <w:r>
        <w:rPr>
          <w:rFonts w:ascii="Arial" w:hAnsi="Arial"/>
          <w:b w:val="0"/>
          <w:i w:val="0"/>
          <w:sz w:val="18"/>
        </w:rPr>
        <w:t>.</w:t>
      </w:r>
    </w:p>
    <w:p>
      <w:pPr>
        <w:pStyle w:val="ListBullet"/>
        <w:spacing w:after="30"/>
      </w:pPr>
      <w:r>
        <w:rPr>
          <w:rFonts w:ascii="Arial" w:hAnsi="Arial"/>
          <w:b w:val="0"/>
          <w:i w:val="0"/>
          <w:sz w:val="18"/>
        </w:rPr>
        <w:t xml:space="preserve">Plus500 EV = £2,520m x 1.3245 = $3,338m – $800m cash = </w:t>
      </w:r>
      <w:r>
        <w:rPr>
          <w:rFonts w:ascii="Arial" w:hAnsi="Arial"/>
          <w:b/>
          <w:i w:val="0"/>
          <w:sz w:val="18"/>
        </w:rPr>
        <w:t>$2,538m</w:t>
      </w:r>
      <w:r>
        <w:rPr>
          <w:rFonts w:ascii="Arial" w:hAnsi="Arial"/>
          <w:b w:val="0"/>
          <w:i w:val="0"/>
          <w:sz w:val="18"/>
        </w:rPr>
        <w:t xml:space="preserve">. EV/LTM revenue = $2,538m / $842m = </w:t>
      </w:r>
      <w:r>
        <w:rPr>
          <w:rFonts w:ascii="Arial" w:hAnsi="Arial"/>
          <w:b/>
          <w:i w:val="0"/>
          <w:sz w:val="18"/>
        </w:rPr>
        <w:t>3.02x</w:t>
      </w:r>
      <w:r>
        <w:rPr>
          <w:rFonts w:ascii="Arial" w:hAnsi="Arial"/>
          <w:b w:val="0"/>
          <w:i w:val="0"/>
          <w:sz w:val="18"/>
        </w:rPr>
        <w:t xml:space="preserve">. EV/LTM EBITDA = $2,538m / $350m = </w:t>
      </w:r>
      <w:r>
        <w:rPr>
          <w:rFonts w:ascii="Arial" w:hAnsi="Arial"/>
          <w:b/>
          <w:i w:val="0"/>
          <w:sz w:val="18"/>
        </w:rPr>
        <w:t>7.25x</w:t>
      </w:r>
      <w:r>
        <w:rPr>
          <w:rFonts w:ascii="Arial" w:hAnsi="Arial"/>
          <w:b w:val="0"/>
          <w:i w:val="0"/>
          <w:sz w:val="18"/>
        </w:rPr>
        <w:t>.</w:t>
      </w:r>
    </w:p>
    <w:p>
      <w:pPr>
        <w:pStyle w:val="ListBullet"/>
        <w:spacing w:after="30"/>
      </w:pPr>
      <w:r>
        <w:rPr>
          <w:rFonts w:ascii="Arial" w:hAnsi="Arial"/>
          <w:b w:val="0"/>
          <w:i w:val="0"/>
          <w:sz w:val="18"/>
        </w:rPr>
        <w:t>eToro discount on EV/EBITDA: -41% in the central case and -18% even with zero cash credit. P/E 8.1x vs Plus500 11.9x and a peer median (IG, Plus500, XTB) of 11.9x.</w:t>
      </w:r>
    </w:p>
    <w:p>
      <w:pPr>
        <w:pStyle w:val="ListBullet"/>
        <w:spacing w:after="30"/>
      </w:pPr>
      <w:r>
        <w:rPr>
          <w:rFonts w:ascii="Arial" w:hAnsi="Arial"/>
          <w:b/>
          <w:i w:val="0"/>
          <w:sz w:val="18"/>
        </w:rPr>
        <w:t>Growth-adjusted</w:t>
      </w:r>
      <w:r>
        <w:rPr>
          <w:rFonts w:ascii="Arial" w:hAnsi="Arial"/>
          <w:b w:val="0"/>
          <w:i w:val="0"/>
          <w:sz w:val="18"/>
        </w:rPr>
        <w:t xml:space="preserve"> (EV/revenue ÷ growth in points): eToro 0.115 vs Plus500 0.251. Across the set: XTB 0.075, Webull 0.146, IG 0.201, Swissquote 4.39. </w:t>
      </w:r>
      <w:r>
        <w:rPr>
          <w:rFonts w:ascii="Arial" w:hAnsi="Arial"/>
          <w:b/>
          <w:i w:val="0"/>
          <w:sz w:val="18"/>
        </w:rPr>
        <w:t>Honest reading:</w:t>
      </w:r>
      <w:r>
        <w:rPr>
          <w:rFonts w:ascii="Arial" w:hAnsi="Arial"/>
          <w:b w:val="0"/>
          <w:i w:val="0"/>
          <w:sz w:val="18"/>
        </w:rPr>
        <w:t xml:space="preserve"> eToro is cheap on a raw basis. On a growth-adjusted basis it is in line with Webull, cheaper than IG and Plus500, and dearer than XTB.</w:t>
      </w:r>
    </w:p>
    <w:p>
      <w:pPr>
        <w:pStyle w:val="Heading2"/>
      </w:pPr>
      <w:r>
        <w:t>5.4 Independent M&amp;A checks (completed deals)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1"/>
        <w:gridCol w:w="1077"/>
        <w:gridCol w:w="907"/>
        <w:gridCol w:w="1020"/>
        <w:gridCol w:w="907"/>
        <w:gridCol w:w="907"/>
        <w:gridCol w:w="3402"/>
      </w:tblGrid>
      <w:tr>
        <w:tc>
          <w:tcPr>
            <w:tcW w:type="dxa" w:w="1871"/>
            <w:shd w:val="clear" w:color="auto" w:fill="1F3A5F"/>
          </w:tcPr>
          <w:p>
            <w:pPr>
              <w:spacing w:after="0"/>
            </w:pPr>
            <w:r>
              <w:rPr>
                <w:b/>
                <w:i w:val="0"/>
                <w:color w:val="FFFFFF"/>
                <w:sz w:val="15"/>
              </w:rPr>
              <w:t>Deal</w:t>
            </w:r>
          </w:p>
        </w:tc>
        <w:tc>
          <w:tcPr>
            <w:tcW w:type="dxa" w:w="1077"/>
            <w:shd w:val="clear" w:color="auto" w:fill="1F3A5F"/>
          </w:tcPr>
          <w:p>
            <w:pPr>
              <w:spacing w:after="0"/>
            </w:pPr>
            <w:r>
              <w:rPr>
                <w:b/>
                <w:i w:val="0"/>
                <w:color w:val="FFFFFF"/>
                <w:sz w:val="15"/>
              </w:rPr>
              <w:t>Implied 100% value</w:t>
            </w:r>
          </w:p>
        </w:tc>
        <w:tc>
          <w:tcPr>
            <w:tcW w:type="dxa" w:w="907"/>
            <w:shd w:val="clear" w:color="auto" w:fill="1F3A5F"/>
          </w:tcPr>
          <w:p>
            <w:pPr>
              <w:spacing w:after="0"/>
            </w:pPr>
            <w:r>
              <w:rPr>
                <w:b/>
                <w:i w:val="0"/>
                <w:color w:val="FFFFFF"/>
                <w:sz w:val="15"/>
              </w:rPr>
              <w:t>Value / revenue</w:t>
            </w:r>
          </w:p>
        </w:tc>
        <w:tc>
          <w:tcPr>
            <w:tcW w:type="dxa" w:w="1020"/>
            <w:shd w:val="clear" w:color="auto" w:fill="1F3A5F"/>
          </w:tcPr>
          <w:p>
            <w:pPr>
              <w:spacing w:after="0"/>
            </w:pPr>
            <w:r>
              <w:rPr>
                <w:b/>
                <w:i w:val="0"/>
                <w:color w:val="FFFFFF"/>
                <w:sz w:val="15"/>
              </w:rPr>
              <w:t>Value / profit</w:t>
            </w:r>
          </w:p>
        </w:tc>
        <w:tc>
          <w:tcPr>
            <w:tcW w:type="dxa" w:w="907"/>
            <w:shd w:val="clear" w:color="auto" w:fill="1F3A5F"/>
          </w:tcPr>
          <w:p>
            <w:pPr>
              <w:spacing w:after="0"/>
            </w:pPr>
            <w:r>
              <w:rPr>
                <w:b/>
                <w:i w:val="0"/>
                <w:color w:val="FFFFFF"/>
                <w:sz w:val="15"/>
              </w:rPr>
              <w:t>Per customer</w:t>
            </w:r>
          </w:p>
        </w:tc>
        <w:tc>
          <w:tcPr>
            <w:tcW w:type="dxa" w:w="907"/>
            <w:shd w:val="clear" w:color="auto" w:fill="1F3A5F"/>
          </w:tcPr>
          <w:p>
            <w:pPr>
              <w:spacing w:after="0"/>
            </w:pPr>
            <w:r>
              <w:rPr>
                <w:b/>
                <w:i w:val="0"/>
                <w:color w:val="FFFFFF"/>
                <w:sz w:val="15"/>
              </w:rPr>
              <w:t>% of client assets</w:t>
            </w:r>
          </w:p>
        </w:tc>
        <w:tc>
          <w:tcPr>
            <w:tcW w:type="dxa" w:w="3402"/>
            <w:shd w:val="clear" w:color="auto" w:fill="1F3A5F"/>
          </w:tcPr>
          <w:p>
            <w:pPr>
              <w:spacing w:after="0"/>
            </w:pPr>
            <w:r>
              <w:rPr>
                <w:b/>
                <w:i w:val="0"/>
                <w:color w:val="FFFFFF"/>
                <w:sz w:val="15"/>
              </w:rPr>
              <w:t>Read-across to eToro</w:t>
            </w:r>
          </w:p>
        </w:tc>
      </w:tr>
      <w:tr>
        <w:tc>
          <w:tcPr>
            <w:tcW w:type="dxa" w:w="1871"/>
          </w:tcPr>
          <w:p>
            <w:pPr>
              <w:spacing w:after="0"/>
            </w:pPr>
            <w:r>
              <w:rPr>
                <w:b w:val="0"/>
                <w:i w:val="0"/>
                <w:sz w:val="15"/>
              </w:rPr>
              <w:t>IG / Freetrade (completed 1 Apr 2025, £160m cash)</w:t>
            </w:r>
          </w:p>
        </w:tc>
        <w:tc>
          <w:tcPr>
            <w:tcW w:type="dxa" w:w="1077"/>
          </w:tcPr>
          <w:p>
            <w:pPr>
              <w:spacing w:after="0"/>
            </w:pPr>
            <w:r>
              <w:rPr>
                <w:b w:val="0"/>
                <w:i w:val="0"/>
                <w:sz w:val="15"/>
              </w:rPr>
              <w:t>$212m</w:t>
            </w:r>
          </w:p>
        </w:tc>
        <w:tc>
          <w:tcPr>
            <w:tcW w:type="dxa" w:w="907"/>
          </w:tcPr>
          <w:p>
            <w:pPr>
              <w:spacing w:after="0"/>
            </w:pPr>
            <w:r>
              <w:rPr>
                <w:b w:val="0"/>
                <w:i w:val="0"/>
                <w:sz w:val="15"/>
              </w:rPr>
              <w:t>5.8x</w:t>
            </w:r>
          </w:p>
        </w:tc>
        <w:tc>
          <w:tcPr>
            <w:tcW w:type="dxa" w:w="1020"/>
          </w:tcPr>
          <w:p>
            <w:pPr>
              <w:spacing w:after="0"/>
            </w:pPr>
            <w:r>
              <w:rPr>
                <w:b w:val="0"/>
                <w:i w:val="0"/>
                <w:sz w:val="15"/>
              </w:rPr>
              <w:t>n.m. (EBITDA ~£2m)</w:t>
            </w:r>
          </w:p>
        </w:tc>
        <w:tc>
          <w:tcPr>
            <w:tcW w:type="dxa" w:w="907"/>
          </w:tcPr>
          <w:p>
            <w:pPr>
              <w:spacing w:after="0"/>
            </w:pPr>
            <w:r>
              <w:rPr>
                <w:b w:val="0"/>
                <w:i w:val="0"/>
                <w:sz w:val="15"/>
              </w:rPr>
              <w:t>$294</w:t>
            </w:r>
          </w:p>
        </w:tc>
        <w:tc>
          <w:tcPr>
            <w:tcW w:type="dxa" w:w="907"/>
          </w:tcPr>
          <w:p>
            <w:pPr>
              <w:spacing w:after="0"/>
            </w:pPr>
            <w:r>
              <w:rPr>
                <w:b w:val="0"/>
                <w:i w:val="0"/>
                <w:sz w:val="15"/>
              </w:rPr>
              <w:t>6.4%</w:t>
            </w:r>
          </w:p>
        </w:tc>
        <w:tc>
          <w:tcPr>
            <w:tcW w:type="dxa" w:w="3402"/>
          </w:tcPr>
          <w:p>
            <w:pPr>
              <w:spacing w:after="0"/>
            </w:pPr>
            <w:r>
              <w:rPr>
                <w:b w:val="0"/>
                <w:i w:val="0"/>
                <w:sz w:val="15"/>
              </w:rPr>
              <w:t>$294 x 4.28m funded = $1.26bn, below the central EV of $1.50bn. A sub-scale, marginally EBITDA-positive UK app sold at 5.8x revenue, 29% below its last round.</w:t>
            </w:r>
          </w:p>
        </w:tc>
      </w:tr>
      <w:tr>
        <w:tc>
          <w:tcPr>
            <w:tcW w:type="dxa" w:w="1871"/>
            <w:shd w:val="clear" w:color="auto" w:fill="F2F4F7"/>
          </w:tcPr>
          <w:p>
            <w:pPr>
              <w:spacing w:after="0"/>
            </w:pPr>
            <w:r>
              <w:rPr>
                <w:b w:val="0"/>
                <w:i w:val="0"/>
                <w:sz w:val="15"/>
              </w:rPr>
              <w:t>J. Safra Sarasin / Saxo (~71%, closed 2 Mar 2026)</w:t>
            </w:r>
          </w:p>
        </w:tc>
        <w:tc>
          <w:tcPr>
            <w:tcW w:type="dxa" w:w="1077"/>
            <w:shd w:val="clear" w:color="auto" w:fill="F2F4F7"/>
          </w:tcPr>
          <w:p>
            <w:pPr>
              <w:spacing w:after="0"/>
            </w:pPr>
            <w:r>
              <w:rPr>
                <w:b w:val="0"/>
                <w:i w:val="0"/>
                <w:sz w:val="15"/>
              </w:rPr>
              <w:t>$1,846m</w:t>
            </w:r>
          </w:p>
        </w:tc>
        <w:tc>
          <w:tcPr>
            <w:tcW w:type="dxa" w:w="907"/>
            <w:shd w:val="clear" w:color="auto" w:fill="F2F4F7"/>
          </w:tcPr>
          <w:p>
            <w:pPr>
              <w:spacing w:after="0"/>
            </w:pPr>
            <w:r>
              <w:rPr>
                <w:b w:val="0"/>
                <w:i w:val="0"/>
                <w:sz w:val="15"/>
              </w:rPr>
              <w:t>N/D</w:t>
            </w:r>
          </w:p>
        </w:tc>
        <w:tc>
          <w:tcPr>
            <w:tcW w:type="dxa" w:w="1020"/>
            <w:shd w:val="clear" w:color="auto" w:fill="F2F4F7"/>
          </w:tcPr>
          <w:p>
            <w:pPr>
              <w:spacing w:after="0"/>
            </w:pPr>
            <w:r>
              <w:rPr>
                <w:b w:val="0"/>
                <w:i w:val="0"/>
                <w:sz w:val="15"/>
              </w:rPr>
              <w:t>13.4x</w:t>
            </w:r>
          </w:p>
        </w:tc>
        <w:tc>
          <w:tcPr>
            <w:tcW w:type="dxa" w:w="907"/>
            <w:shd w:val="clear" w:color="auto" w:fill="F2F4F7"/>
          </w:tcPr>
          <w:p>
            <w:pPr>
              <w:spacing w:after="0"/>
            </w:pPr>
            <w:r>
              <w:rPr>
                <w:b w:val="0"/>
                <w:i w:val="0"/>
                <w:sz w:val="15"/>
              </w:rPr>
              <w:t>$1,231</w:t>
            </w:r>
          </w:p>
        </w:tc>
        <w:tc>
          <w:tcPr>
            <w:tcW w:type="dxa" w:w="907"/>
            <w:shd w:val="clear" w:color="auto" w:fill="F2F4F7"/>
          </w:tcPr>
          <w:p>
            <w:pPr>
              <w:spacing w:after="0"/>
            </w:pPr>
            <w:r>
              <w:rPr>
                <w:b w:val="0"/>
                <w:i w:val="0"/>
                <w:sz w:val="15"/>
              </w:rPr>
              <w:t>1.2%</w:t>
            </w:r>
          </w:p>
        </w:tc>
        <w:tc>
          <w:tcPr>
            <w:tcW w:type="dxa" w:w="3402"/>
            <w:shd w:val="clear" w:color="auto" w:fill="F2F4F7"/>
          </w:tcPr>
          <w:p>
            <w:pPr>
              <w:spacing w:after="0"/>
            </w:pPr>
            <w:r>
              <w:rPr>
                <w:b w:val="0"/>
                <w:i w:val="0"/>
                <w:sz w:val="15"/>
              </w:rPr>
              <w:t>Saxo's 13.4x P/E x eToro LTM NI = $3.50bn equity (~$44/share). A control price for a bank-licensed platform.</w:t>
            </w:r>
          </w:p>
        </w:tc>
      </w:tr>
      <w:tr>
        <w:tc>
          <w:tcPr>
            <w:tcW w:type="dxa" w:w="1871"/>
          </w:tcPr>
          <w:p>
            <w:pPr>
              <w:spacing w:after="0"/>
            </w:pPr>
            <w:r>
              <w:rPr>
                <w:b w:val="0"/>
                <w:i w:val="0"/>
                <w:sz w:val="15"/>
              </w:rPr>
              <w:t>eToro / TradeZero (pending; context)</w:t>
            </w:r>
          </w:p>
        </w:tc>
        <w:tc>
          <w:tcPr>
            <w:tcW w:type="dxa" w:w="1077"/>
          </w:tcPr>
          <w:p>
            <w:pPr>
              <w:spacing w:after="0"/>
            </w:pPr>
            <w:r>
              <w:rPr>
                <w:b w:val="0"/>
                <w:i w:val="0"/>
                <w:sz w:val="15"/>
              </w:rPr>
              <w:t>$231m</w:t>
            </w:r>
          </w:p>
        </w:tc>
        <w:tc>
          <w:tcPr>
            <w:tcW w:type="dxa" w:w="907"/>
          </w:tcPr>
          <w:p>
            <w:pPr>
              <w:spacing w:after="0"/>
            </w:pPr>
            <w:r>
              <w:rPr>
                <w:b w:val="0"/>
                <w:i w:val="0"/>
                <w:sz w:val="15"/>
              </w:rPr>
              <w:t>2.9x</w:t>
            </w:r>
          </w:p>
        </w:tc>
        <w:tc>
          <w:tcPr>
            <w:tcW w:type="dxa" w:w="1020"/>
          </w:tcPr>
          <w:p>
            <w:pPr>
              <w:spacing w:after="0"/>
            </w:pPr>
            <w:r>
              <w:rPr>
                <w:b w:val="0"/>
                <w:i w:val="0"/>
                <w:sz w:val="15"/>
              </w:rPr>
              <w:t>N/D</w:t>
            </w:r>
          </w:p>
        </w:tc>
        <w:tc>
          <w:tcPr>
            <w:tcW w:type="dxa" w:w="907"/>
          </w:tcPr>
          <w:p>
            <w:pPr>
              <w:spacing w:after="0"/>
            </w:pPr>
            <w:r>
              <w:rPr>
                <w:b w:val="0"/>
                <w:i w:val="0"/>
                <w:sz w:val="15"/>
              </w:rPr>
              <w:t>N/D</w:t>
            </w:r>
          </w:p>
        </w:tc>
        <w:tc>
          <w:tcPr>
            <w:tcW w:type="dxa" w:w="907"/>
          </w:tcPr>
          <w:p>
            <w:pPr>
              <w:spacing w:after="0"/>
            </w:pPr>
            <w:r>
              <w:rPr>
                <w:b w:val="0"/>
                <w:i w:val="0"/>
                <w:sz w:val="15"/>
              </w:rPr>
              <w:t>N/D</w:t>
            </w:r>
          </w:p>
        </w:tc>
        <w:tc>
          <w:tcPr>
            <w:tcW w:type="dxa" w:w="3402"/>
          </w:tcPr>
          <w:p>
            <w:pPr>
              <w:spacing w:after="0"/>
            </w:pPr>
            <w:r>
              <w:rPr>
                <w:b w:val="0"/>
                <w:i w:val="0"/>
                <w:sz w:val="15"/>
              </w:rPr>
              <w:t>eToro is paying 1.79x its own central EV/NC multiple, part in shares worth ~$66m today.</w:t>
            </w:r>
          </w:p>
        </w:tc>
      </w:tr>
    </w:tbl>
    <w:p>
      <w:pPr>
        <w:spacing w:after="40"/>
      </w:pPr>
    </w:p>
    <w:p>
      <w:r>
        <w:rPr>
          <w:b/>
          <w:i w:val="0"/>
        </w:rPr>
        <w:t>Conclusion of the stress-test:</w:t>
      </w:r>
      <w:r>
        <w:rPr>
          <w:b w:val="0"/>
          <w:i w:val="0"/>
        </w:rPr>
        <w:t xml:space="preserve"> the two M&amp;A checks bracket the market. The per-customer (Freetrade) check says eToro is fully valued at ~$1.3bn. The earnings (Saxo) check says ~$3.5bn. The central EV of $1.50bn sits in the lower half of that range, which supports a modest-undervaluation view rather than a deep-value one.</w:t>
      </w:r>
    </w:p>
    <w:p>
      <w:pPr>
        <w:pStyle w:val="Heading1"/>
      </w:pPr>
      <w:r>
        <w:t>6. Moat assessment (target vs peers)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04"/>
        <w:gridCol w:w="1134"/>
        <w:gridCol w:w="1134"/>
        <w:gridCol w:w="1020"/>
        <w:gridCol w:w="1304"/>
        <w:gridCol w:w="4195"/>
      </w:tblGrid>
      <w:tr>
        <w:tc>
          <w:tcPr>
            <w:tcW w:type="dxa" w:w="1304"/>
            <w:shd w:val="clear" w:color="auto" w:fill="1F3A5F"/>
          </w:tcPr>
          <w:p>
            <w:pPr>
              <w:spacing w:after="0"/>
            </w:pPr>
            <w:r>
              <w:rPr>
                <w:b/>
                <w:i w:val="0"/>
                <w:color w:val="FFFFFF"/>
                <w:sz w:val="15"/>
              </w:rPr>
              <w:t>Company</w:t>
            </w:r>
          </w:p>
        </w:tc>
        <w:tc>
          <w:tcPr>
            <w:tcW w:type="dxa" w:w="1134"/>
            <w:shd w:val="clear" w:color="auto" w:fill="1F3A5F"/>
          </w:tcPr>
          <w:p>
            <w:pPr>
              <w:spacing w:after="0"/>
            </w:pPr>
            <w:r>
              <w:rPr>
                <w:b/>
                <w:i w:val="0"/>
                <w:color w:val="FFFFFF"/>
                <w:sz w:val="15"/>
              </w:rPr>
              <w:t>Network effects</w:t>
            </w:r>
          </w:p>
        </w:tc>
        <w:tc>
          <w:tcPr>
            <w:tcW w:type="dxa" w:w="1134"/>
            <w:shd w:val="clear" w:color="auto" w:fill="1F3A5F"/>
          </w:tcPr>
          <w:p>
            <w:pPr>
              <w:spacing w:after="0"/>
            </w:pPr>
            <w:r>
              <w:rPr>
                <w:b/>
                <w:i w:val="0"/>
                <w:color w:val="FFFFFF"/>
                <w:sz w:val="15"/>
              </w:rPr>
              <w:t>Switching costs</w:t>
            </w:r>
          </w:p>
        </w:tc>
        <w:tc>
          <w:tcPr>
            <w:tcW w:type="dxa" w:w="1020"/>
            <w:shd w:val="clear" w:color="auto" w:fill="1F3A5F"/>
          </w:tcPr>
          <w:p>
            <w:pPr>
              <w:spacing w:after="0"/>
            </w:pPr>
            <w:r>
              <w:rPr>
                <w:b/>
                <w:i w:val="0"/>
                <w:color w:val="FFFFFF"/>
                <w:sz w:val="15"/>
              </w:rPr>
              <w:t>Scale / cost</w:t>
            </w:r>
          </w:p>
        </w:tc>
        <w:tc>
          <w:tcPr>
            <w:tcW w:type="dxa" w:w="1304"/>
            <w:shd w:val="clear" w:color="auto" w:fill="1F3A5F"/>
          </w:tcPr>
          <w:p>
            <w:pPr>
              <w:spacing w:after="0"/>
            </w:pPr>
            <w:r>
              <w:rPr>
                <w:b/>
                <w:i w:val="0"/>
                <w:color w:val="FFFFFF"/>
                <w:sz w:val="15"/>
              </w:rPr>
              <w:t>Intangible / regulatory</w:t>
            </w:r>
          </w:p>
        </w:tc>
        <w:tc>
          <w:tcPr>
            <w:tcW w:type="dxa" w:w="4195"/>
            <w:shd w:val="clear" w:color="auto" w:fill="1F3A5F"/>
          </w:tcPr>
          <w:p>
            <w:pPr>
              <w:spacing w:after="0"/>
            </w:pPr>
            <w:r>
              <w:rPr>
                <w:b/>
                <w:i w:val="0"/>
                <w:color w:val="FFFFFF"/>
                <w:sz w:val="15"/>
              </w:rPr>
              <w:t>Evidence basis</w:t>
            </w:r>
          </w:p>
        </w:tc>
      </w:tr>
      <w:tr>
        <w:tc>
          <w:tcPr>
            <w:tcW w:type="dxa" w:w="1304"/>
          </w:tcPr>
          <w:p>
            <w:pPr>
              <w:spacing w:after="0"/>
            </w:pPr>
            <w:r>
              <w:rPr>
                <w:b w:val="0"/>
                <w:i w:val="0"/>
                <w:sz w:val="15"/>
              </w:rPr>
              <w:t>eToro</w:t>
            </w:r>
          </w:p>
        </w:tc>
        <w:tc>
          <w:tcPr>
            <w:tcW w:type="dxa" w:w="1134"/>
            <w:shd w:val="clear" w:color="auto" w:fill="FFF2CC"/>
          </w:tcPr>
          <w:p>
            <w:pPr>
              <w:spacing w:after="0"/>
            </w:pPr>
            <w:r>
              <w:rPr>
                <w:b w:val="0"/>
                <w:i w:val="0"/>
                <w:sz w:val="15"/>
              </w:rPr>
              <w:t>Moderate</w:t>
            </w:r>
          </w:p>
        </w:tc>
        <w:tc>
          <w:tcPr>
            <w:tcW w:type="dxa" w:w="1134"/>
            <w:shd w:val="clear" w:color="auto" w:fill="F8D7D3"/>
          </w:tcPr>
          <w:p>
            <w:pPr>
              <w:spacing w:after="0"/>
            </w:pPr>
            <w:r>
              <w:rPr>
                <w:b w:val="0"/>
                <w:i w:val="0"/>
                <w:sz w:val="15"/>
              </w:rPr>
              <w:t>Weak</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tcPr>
          <w:p>
            <w:pPr>
              <w:spacing w:after="0"/>
            </w:pPr>
            <w:r>
              <w:rPr>
                <w:b w:val="0"/>
                <w:i w:val="0"/>
                <w:sz w:val="15"/>
              </w:rPr>
              <w:t>CopyTrader/Popular Investor social graph (self-reported); multi-licence incl. MiCA, ASIC, FCA; no tax-wrapper lock-in at scale</w:t>
            </w:r>
          </w:p>
        </w:tc>
      </w:tr>
      <w:tr>
        <w:tc>
          <w:tcPr>
            <w:tcW w:type="dxa" w:w="1304"/>
            <w:shd w:val="clear" w:color="auto" w:fill="F2F4F7"/>
          </w:tcPr>
          <w:p>
            <w:pPr>
              <w:spacing w:after="0"/>
            </w:pPr>
            <w:r>
              <w:rPr>
                <w:b w:val="0"/>
                <w:i w:val="0"/>
                <w:sz w:val="15"/>
              </w:rPr>
              <w:t>IG Group</w:t>
            </w:r>
          </w:p>
        </w:tc>
        <w:tc>
          <w:tcPr>
            <w:tcW w:type="dxa" w:w="1134"/>
            <w:shd w:val="clear" w:color="auto" w:fill="F8D7D3"/>
          </w:tcPr>
          <w:p>
            <w:pPr>
              <w:spacing w:after="0"/>
            </w:pPr>
            <w:r>
              <w:rPr>
                <w:b w:val="0"/>
                <w:i w:val="0"/>
                <w:sz w:val="15"/>
              </w:rPr>
              <w:t>Weak</w:t>
            </w:r>
          </w:p>
        </w:tc>
        <w:tc>
          <w:tcPr>
            <w:tcW w:type="dxa" w:w="1134"/>
            <w:shd w:val="clear" w:color="auto" w:fill="FFF2CC"/>
          </w:tcPr>
          <w:p>
            <w:pPr>
              <w:spacing w:after="0"/>
            </w:pPr>
            <w:r>
              <w:rPr>
                <w:b w:val="0"/>
                <w:i w:val="0"/>
                <w:sz w:val="15"/>
              </w:rPr>
              <w:t>Moderate</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shd w:val="clear" w:color="auto" w:fill="F2F4F7"/>
          </w:tcPr>
          <w:p>
            <w:pPr>
              <w:spacing w:after="0"/>
            </w:pPr>
            <w:r>
              <w:rPr>
                <w:b w:val="0"/>
                <w:i w:val="0"/>
                <w:sz w:val="15"/>
              </w:rPr>
              <w:t>ISA/SIPP via Freetrade; long-established brand (founded 1974); audited</w:t>
            </w:r>
          </w:p>
        </w:tc>
      </w:tr>
      <w:tr>
        <w:tc>
          <w:tcPr>
            <w:tcW w:type="dxa" w:w="1304"/>
          </w:tcPr>
          <w:p>
            <w:pPr>
              <w:spacing w:after="0"/>
            </w:pPr>
            <w:r>
              <w:rPr>
                <w:b w:val="0"/>
                <w:i w:val="0"/>
                <w:sz w:val="15"/>
              </w:rPr>
              <w:t>Plus500</w:t>
            </w:r>
          </w:p>
        </w:tc>
        <w:tc>
          <w:tcPr>
            <w:tcW w:type="dxa" w:w="1134"/>
            <w:shd w:val="clear" w:color="auto" w:fill="F8D7D3"/>
          </w:tcPr>
          <w:p>
            <w:pPr>
              <w:spacing w:after="0"/>
            </w:pPr>
            <w:r>
              <w:rPr>
                <w:b w:val="0"/>
                <w:i w:val="0"/>
                <w:sz w:val="15"/>
              </w:rPr>
              <w:t>Weak</w:t>
            </w:r>
          </w:p>
        </w:tc>
        <w:tc>
          <w:tcPr>
            <w:tcW w:type="dxa" w:w="1134"/>
            <w:shd w:val="clear" w:color="auto" w:fill="F8D7D3"/>
          </w:tcPr>
          <w:p>
            <w:pPr>
              <w:spacing w:after="0"/>
            </w:pPr>
            <w:r>
              <w:rPr>
                <w:b w:val="0"/>
                <w:i w:val="0"/>
                <w:sz w:val="15"/>
              </w:rPr>
              <w:t>Weak</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tcPr>
          <w:p>
            <w:pPr>
              <w:spacing w:after="0"/>
            </w:pPr>
            <w:r>
              <w:rPr>
                <w:b w:val="0"/>
                <w:i w:val="0"/>
                <w:sz w:val="15"/>
              </w:rPr>
              <w:t>Proprietary tech, 41% EBITDA margin; US futures business (non-OTC &gt;$100m revenue FY25); audited</w:t>
            </w:r>
          </w:p>
        </w:tc>
      </w:tr>
      <w:tr>
        <w:tc>
          <w:tcPr>
            <w:tcW w:type="dxa" w:w="1304"/>
            <w:shd w:val="clear" w:color="auto" w:fill="F2F4F7"/>
          </w:tcPr>
          <w:p>
            <w:pPr>
              <w:spacing w:after="0"/>
            </w:pPr>
            <w:r>
              <w:rPr>
                <w:b w:val="0"/>
                <w:i w:val="0"/>
                <w:sz w:val="15"/>
              </w:rPr>
              <w:t>Webull</w:t>
            </w:r>
          </w:p>
        </w:tc>
        <w:tc>
          <w:tcPr>
            <w:tcW w:type="dxa" w:w="1134"/>
            <w:shd w:val="clear" w:color="auto" w:fill="F8D7D3"/>
          </w:tcPr>
          <w:p>
            <w:pPr>
              <w:spacing w:after="0"/>
            </w:pPr>
            <w:r>
              <w:rPr>
                <w:b w:val="0"/>
                <w:i w:val="0"/>
                <w:sz w:val="15"/>
              </w:rPr>
              <w:t>Weak</w:t>
            </w:r>
          </w:p>
        </w:tc>
        <w:tc>
          <w:tcPr>
            <w:tcW w:type="dxa" w:w="1134"/>
            <w:shd w:val="clear" w:color="auto" w:fill="F8D7D3"/>
          </w:tcPr>
          <w:p>
            <w:pPr>
              <w:spacing w:after="0"/>
            </w:pPr>
            <w:r>
              <w:rPr>
                <w:b w:val="0"/>
                <w:i w:val="0"/>
                <w:sz w:val="15"/>
              </w:rPr>
              <w:t>Weak</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shd w:val="clear" w:color="auto" w:fill="F2F4F7"/>
          </w:tcPr>
          <w:p>
            <w:pPr>
              <w:spacing w:after="0"/>
            </w:pPr>
            <w:r>
              <w:rPr>
                <w:b w:val="0"/>
                <w:i w:val="0"/>
                <w:sz w:val="15"/>
              </w:rPr>
              <w:t>US broker-dealer; EEA licence; audited</w:t>
            </w:r>
          </w:p>
        </w:tc>
      </w:tr>
      <w:tr>
        <w:tc>
          <w:tcPr>
            <w:tcW w:type="dxa" w:w="1304"/>
          </w:tcPr>
          <w:p>
            <w:pPr>
              <w:spacing w:after="0"/>
            </w:pPr>
            <w:r>
              <w:rPr>
                <w:b w:val="0"/>
                <w:i w:val="0"/>
                <w:sz w:val="15"/>
              </w:rPr>
              <w:t>XTB</w:t>
            </w:r>
          </w:p>
        </w:tc>
        <w:tc>
          <w:tcPr>
            <w:tcW w:type="dxa" w:w="1134"/>
            <w:shd w:val="clear" w:color="auto" w:fill="F8D7D3"/>
          </w:tcPr>
          <w:p>
            <w:pPr>
              <w:spacing w:after="0"/>
            </w:pPr>
            <w:r>
              <w:rPr>
                <w:b w:val="0"/>
                <w:i w:val="0"/>
                <w:sz w:val="15"/>
              </w:rPr>
              <w:t>Weak</w:t>
            </w:r>
          </w:p>
        </w:tc>
        <w:tc>
          <w:tcPr>
            <w:tcW w:type="dxa" w:w="1134"/>
            <w:shd w:val="clear" w:color="auto" w:fill="F8D7D3"/>
          </w:tcPr>
          <w:p>
            <w:pPr>
              <w:spacing w:after="0"/>
            </w:pPr>
            <w:r>
              <w:rPr>
                <w:b w:val="0"/>
                <w:i w:val="0"/>
                <w:sz w:val="15"/>
              </w:rPr>
              <w:t>Weak</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tcPr>
          <w:p>
            <w:pPr>
              <w:spacing w:after="0"/>
            </w:pPr>
            <w:r>
              <w:rPr>
                <w:b w:val="0"/>
                <w:i w:val="0"/>
                <w:sz w:val="15"/>
              </w:rPr>
              <w:t>Scale economics shown by 58% EBITDA margin H1 26; audited</w:t>
            </w:r>
          </w:p>
        </w:tc>
      </w:tr>
      <w:tr>
        <w:tc>
          <w:tcPr>
            <w:tcW w:type="dxa" w:w="1304"/>
            <w:shd w:val="clear" w:color="auto" w:fill="F2F4F7"/>
          </w:tcPr>
          <w:p>
            <w:pPr>
              <w:spacing w:after="0"/>
            </w:pPr>
            <w:r>
              <w:rPr>
                <w:b w:val="0"/>
                <w:i w:val="0"/>
                <w:sz w:val="15"/>
              </w:rPr>
              <w:t>Trading 212</w:t>
            </w:r>
          </w:p>
        </w:tc>
        <w:tc>
          <w:tcPr>
            <w:tcW w:type="dxa" w:w="1134"/>
            <w:shd w:val="clear" w:color="auto" w:fill="F8D7D3"/>
          </w:tcPr>
          <w:p>
            <w:pPr>
              <w:spacing w:after="0"/>
            </w:pPr>
            <w:r>
              <w:rPr>
                <w:b w:val="0"/>
                <w:i w:val="0"/>
                <w:sz w:val="15"/>
              </w:rPr>
              <w:t>Weak</w:t>
            </w:r>
          </w:p>
        </w:tc>
        <w:tc>
          <w:tcPr>
            <w:tcW w:type="dxa" w:w="1134"/>
            <w:shd w:val="clear" w:color="auto" w:fill="FFF2CC"/>
          </w:tcPr>
          <w:p>
            <w:pPr>
              <w:spacing w:after="0"/>
            </w:pPr>
            <w:r>
              <w:rPr>
                <w:b w:val="0"/>
                <w:i w:val="0"/>
                <w:sz w:val="15"/>
              </w:rPr>
              <w:t>Moderate</w:t>
            </w:r>
          </w:p>
        </w:tc>
        <w:tc>
          <w:tcPr>
            <w:tcW w:type="dxa" w:w="1020"/>
            <w:shd w:val="clear" w:color="auto" w:fill="FFF2CC"/>
          </w:tcPr>
          <w:p>
            <w:pPr>
              <w:spacing w:after="0"/>
            </w:pPr>
            <w:r>
              <w:rPr>
                <w:b w:val="0"/>
                <w:i w:val="0"/>
                <w:sz w:val="15"/>
              </w:rPr>
              <w:t>Moderate</w:t>
            </w:r>
          </w:p>
        </w:tc>
        <w:tc>
          <w:tcPr>
            <w:tcW w:type="dxa" w:w="1304"/>
            <w:shd w:val="clear" w:color="auto" w:fill="F8D7D3"/>
          </w:tcPr>
          <w:p>
            <w:pPr>
              <w:spacing w:after="0"/>
            </w:pPr>
            <w:r>
              <w:rPr>
                <w:b w:val="0"/>
                <w:i w:val="0"/>
                <w:sz w:val="15"/>
              </w:rPr>
              <w:t>Weak</w:t>
            </w:r>
          </w:p>
        </w:tc>
        <w:tc>
          <w:tcPr>
            <w:tcW w:type="dxa" w:w="4195"/>
            <w:shd w:val="clear" w:color="auto" w:fill="F2F4F7"/>
          </w:tcPr>
          <w:p>
            <w:pPr>
              <w:spacing w:after="0"/>
            </w:pPr>
            <w:r>
              <w:rPr>
                <w:b w:val="0"/>
                <w:i w:val="0"/>
                <w:sz w:val="15"/>
              </w:rPr>
              <w:t>ISA/SIPP wrappers in UK; low-cost model; group metrics self-reported</w:t>
            </w:r>
          </w:p>
        </w:tc>
      </w:tr>
      <w:tr>
        <w:tc>
          <w:tcPr>
            <w:tcW w:type="dxa" w:w="1304"/>
          </w:tcPr>
          <w:p>
            <w:pPr>
              <w:spacing w:after="0"/>
            </w:pPr>
            <w:r>
              <w:rPr>
                <w:b w:val="0"/>
                <w:i w:val="0"/>
                <w:sz w:val="15"/>
              </w:rPr>
              <w:t>Swissquote</w:t>
            </w:r>
          </w:p>
        </w:tc>
        <w:tc>
          <w:tcPr>
            <w:tcW w:type="dxa" w:w="1134"/>
            <w:shd w:val="clear" w:color="auto" w:fill="F8D7D3"/>
          </w:tcPr>
          <w:p>
            <w:pPr>
              <w:spacing w:after="0"/>
            </w:pPr>
            <w:r>
              <w:rPr>
                <w:b w:val="0"/>
                <w:i w:val="0"/>
                <w:sz w:val="15"/>
              </w:rPr>
              <w:t>Weak</w:t>
            </w:r>
          </w:p>
        </w:tc>
        <w:tc>
          <w:tcPr>
            <w:tcW w:type="dxa" w:w="1134"/>
            <w:shd w:val="clear" w:color="auto" w:fill="FFF2CC"/>
          </w:tcPr>
          <w:p>
            <w:pPr>
              <w:spacing w:after="0"/>
            </w:pPr>
            <w:r>
              <w:rPr>
                <w:b w:val="0"/>
                <w:i w:val="0"/>
                <w:sz w:val="15"/>
              </w:rPr>
              <w:t>Moderate</w:t>
            </w:r>
          </w:p>
        </w:tc>
        <w:tc>
          <w:tcPr>
            <w:tcW w:type="dxa" w:w="1020"/>
            <w:shd w:val="clear" w:color="auto" w:fill="FFF2CC"/>
          </w:tcPr>
          <w:p>
            <w:pPr>
              <w:spacing w:after="0"/>
            </w:pPr>
            <w:r>
              <w:rPr>
                <w:b w:val="0"/>
                <w:i w:val="0"/>
                <w:sz w:val="15"/>
              </w:rPr>
              <w:t>Moderate</w:t>
            </w:r>
          </w:p>
        </w:tc>
        <w:tc>
          <w:tcPr>
            <w:tcW w:type="dxa" w:w="1304"/>
            <w:shd w:val="clear" w:color="auto" w:fill="FFF2CC"/>
          </w:tcPr>
          <w:p>
            <w:pPr>
              <w:spacing w:after="0"/>
            </w:pPr>
            <w:r>
              <w:rPr>
                <w:b w:val="0"/>
                <w:i w:val="0"/>
                <w:sz w:val="15"/>
              </w:rPr>
              <w:t>Moderate</w:t>
            </w:r>
          </w:p>
        </w:tc>
        <w:tc>
          <w:tcPr>
            <w:tcW w:type="dxa" w:w="4195"/>
          </w:tcPr>
          <w:p>
            <w:pPr>
              <w:spacing w:after="0"/>
            </w:pPr>
            <w:r>
              <w:rPr>
                <w:b w:val="0"/>
                <w:i w:val="0"/>
                <w:sz w:val="15"/>
              </w:rPr>
              <w:t>Swiss banking licence; custody franchise; audited</w:t>
            </w:r>
          </w:p>
        </w:tc>
      </w:tr>
    </w:tbl>
    <w:p>
      <w:pPr>
        <w:spacing w:after="40"/>
      </w:pPr>
    </w:p>
    <w:p>
      <w:r>
        <w:rPr>
          <w:b/>
          <w:i w:val="0"/>
        </w:rPr>
        <w:t>Sector-level finding:</w:t>
      </w:r>
      <w:r>
        <w:rPr>
          <w:b w:val="0"/>
          <w:i w:val="0"/>
        </w:rPr>
        <w:t xml:space="preserve"> no company in the set rates Strong in any category (sector count of Strong = 0). Retail brokerage moats here are at best Moderate. They rest on licences, tax-wrapper stickiness (ISAs/SIPPs at IG/Freetrade and Trading 212) and cost scale.</w:t>
      </w:r>
    </w:p>
    <w:p>
      <w:r>
        <w:rPr>
          <w:b/>
          <w:i w:val="0"/>
        </w:rPr>
        <w:t>eToro specifically:</w:t>
      </w:r>
      <w:r>
        <w:rPr>
          <w:b w:val="0"/>
          <w:i w:val="0"/>
        </w:rPr>
        <w:t xml:space="preserve"> its social/copy layer (CopyTrader, Popular Investors) is the only network effect in the peer set rated above Weak. But the evidence for it is </w:t>
      </w:r>
      <w:r>
        <w:rPr>
          <w:b/>
          <w:i w:val="0"/>
        </w:rPr>
        <w:t>self-reported</w:t>
      </w:r>
      <w:r>
        <w:rPr>
          <w:b w:val="0"/>
          <w:i w:val="0"/>
        </w:rPr>
        <w:t xml:space="preserve"> engagement, not audited retention or cohort data. Switching costs are Weak: there is no large tax-wrapped base, and the NC per funded account falls when volumes fall.</w:t>
      </w:r>
    </w:p>
    <w:p>
      <w:r>
        <w:rPr>
          <w:b/>
          <w:i w:val="0"/>
        </w:rPr>
        <w:t>Who has the strongest edge? It is split.</w:t>
      </w:r>
      <w:r>
        <w:rPr>
          <w:b w:val="0"/>
          <w:i w:val="0"/>
        </w:rPr>
        <w:t xml:space="preserve"> Webull leads on raw audited scale and US momentum (5.13m funded, $28.5bn assets, +51% Q2 revenue). XTB leads on financial quality (58% EBITDA margin, +80% income, audited). IG leads on revenue scale and capital backing (LTM $1.6bn revenue, £1.9bn net assets), but note the conflict. Swissquote leads on asset gathering behind a Swiss banking licence (CHF 96bn). Trading 212's scale edge rests partly on self-reported group figures.</w:t>
      </w:r>
    </w:p>
    <w:p>
      <w:pPr>
        <w:pStyle w:val="Heading1"/>
      </w:pPr>
      <w:r>
        <w:t>7. Earnings-durability scorecard (one investor's published framework)</w:t>
      </w:r>
    </w:p>
    <w:p>
      <w:r>
        <w:rPr>
          <w:b w:val="0"/>
          <w:i w:val="0"/>
          <w:color w:val="595959"/>
          <w:sz w:val="16"/>
        </w:rPr>
        <w:t>Tests follow the framework in Warren Buffett's published shareholder letters. This is not a claim about what Buffett would conclude. Every value links live to the workbook ('Buffett Scorecard').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
        <w:gridCol w:w="2098"/>
        <w:gridCol w:w="6576"/>
        <w:gridCol w:w="1077"/>
      </w:tblGrid>
      <w:tr>
        <w:tc>
          <w:tcPr>
            <w:tcW w:type="dxa" w:w="340"/>
            <w:shd w:val="clear" w:color="auto" w:fill="1F3A5F"/>
          </w:tcPr>
          <w:p>
            <w:pPr>
              <w:spacing w:after="0"/>
            </w:pPr>
            <w:r>
              <w:rPr>
                <w:b/>
                <w:i w:val="0"/>
                <w:color w:val="FFFFFF"/>
                <w:sz w:val="15"/>
              </w:rPr>
              <w:t>#</w:t>
            </w:r>
          </w:p>
        </w:tc>
        <w:tc>
          <w:tcPr>
            <w:tcW w:type="dxa" w:w="2098"/>
            <w:shd w:val="clear" w:color="auto" w:fill="1F3A5F"/>
          </w:tcPr>
          <w:p>
            <w:pPr>
              <w:spacing w:after="0"/>
            </w:pPr>
            <w:r>
              <w:rPr>
                <w:b/>
                <w:i w:val="0"/>
                <w:color w:val="FFFFFF"/>
                <w:sz w:val="15"/>
              </w:rPr>
              <w:t>Test</w:t>
            </w:r>
          </w:p>
        </w:tc>
        <w:tc>
          <w:tcPr>
            <w:tcW w:type="dxa" w:w="6576"/>
            <w:shd w:val="clear" w:color="auto" w:fill="1F3A5F"/>
          </w:tcPr>
          <w:p>
            <w:pPr>
              <w:spacing w:after="0"/>
            </w:pPr>
            <w:r>
              <w:rPr>
                <w:b/>
                <w:i w:val="0"/>
                <w:color w:val="FFFFFF"/>
                <w:sz w:val="15"/>
              </w:rPr>
              <w:t>Computed evidence</w:t>
            </w:r>
          </w:p>
        </w:tc>
        <w:tc>
          <w:tcPr>
            <w:tcW w:type="dxa" w:w="1077"/>
            <w:shd w:val="clear" w:color="auto" w:fill="1F3A5F"/>
          </w:tcPr>
          <w:p>
            <w:pPr>
              <w:spacing w:after="0"/>
            </w:pPr>
            <w:r>
              <w:rPr>
                <w:b/>
                <w:i w:val="0"/>
                <w:color w:val="FFFFFF"/>
                <w:sz w:val="15"/>
              </w:rPr>
              <w:t>Verdict</w:t>
            </w:r>
          </w:p>
        </w:tc>
      </w:tr>
      <w:tr>
        <w:tc>
          <w:tcPr>
            <w:tcW w:type="dxa" w:w="340"/>
          </w:tcPr>
          <w:p>
            <w:pPr>
              <w:spacing w:after="0"/>
            </w:pPr>
            <w:r>
              <w:rPr>
                <w:b w:val="0"/>
                <w:i w:val="0"/>
                <w:sz w:val="15"/>
              </w:rPr>
              <w:t>1</w:t>
            </w:r>
          </w:p>
        </w:tc>
        <w:tc>
          <w:tcPr>
            <w:tcW w:type="dxa" w:w="2098"/>
          </w:tcPr>
          <w:p>
            <w:pPr>
              <w:spacing w:after="0"/>
            </w:pPr>
            <w:r>
              <w:rPr>
                <w:b w:val="0"/>
                <w:i w:val="0"/>
                <w:sz w:val="15"/>
              </w:rPr>
              <w:t>Consistent operating history</w:t>
            </w:r>
          </w:p>
        </w:tc>
        <w:tc>
          <w:tcPr>
            <w:tcW w:type="dxa" w:w="6576"/>
          </w:tcPr>
          <w:p>
            <w:pPr>
              <w:spacing w:after="0"/>
            </w:pPr>
            <w:r>
              <w:rPr>
                <w:b w:val="0"/>
                <w:i w:val="0"/>
                <w:sz w:val="15"/>
              </w:rPr>
              <w:t>Profitable 10 of 10 disclosed quarters (100%), but only 10 quarters are disclosed. FY23 NI was only $15.3m; pre-2023 N/D.</w:t>
            </w:r>
          </w:p>
        </w:tc>
        <w:tc>
          <w:tcPr>
            <w:tcW w:type="dxa" w:w="1077"/>
            <w:shd w:val="clear" w:color="auto" w:fill="FFF2CC"/>
          </w:tcPr>
          <w:p>
            <w:pPr>
              <w:spacing w:after="0"/>
            </w:pPr>
            <w:r>
              <w:rPr>
                <w:b w:val="0"/>
                <w:i w:val="0"/>
                <w:sz w:val="15"/>
              </w:rPr>
              <w:t>CAUTION</w:t>
            </w:r>
          </w:p>
        </w:tc>
      </w:tr>
      <w:tr>
        <w:tc>
          <w:tcPr>
            <w:tcW w:type="dxa" w:w="340"/>
            <w:shd w:val="clear" w:color="auto" w:fill="F2F4F7"/>
          </w:tcPr>
          <w:p>
            <w:pPr>
              <w:spacing w:after="0"/>
            </w:pPr>
            <w:r>
              <w:rPr>
                <w:b w:val="0"/>
                <w:i w:val="0"/>
                <w:sz w:val="15"/>
              </w:rPr>
              <w:t>2</w:t>
            </w:r>
          </w:p>
        </w:tc>
        <w:tc>
          <w:tcPr>
            <w:tcW w:type="dxa" w:w="2098"/>
            <w:shd w:val="clear" w:color="auto" w:fill="F2F4F7"/>
          </w:tcPr>
          <w:p>
            <w:pPr>
              <w:spacing w:after="0"/>
            </w:pPr>
            <w:r>
              <w:rPr>
                <w:b w:val="0"/>
                <w:i w:val="0"/>
                <w:sz w:val="15"/>
              </w:rPr>
              <w:t>Stable, predictable margins</w:t>
            </w:r>
          </w:p>
        </w:tc>
        <w:tc>
          <w:tcPr>
            <w:tcW w:type="dxa" w:w="6576"/>
            <w:shd w:val="clear" w:color="auto" w:fill="F2F4F7"/>
          </w:tcPr>
          <w:p>
            <w:pPr>
              <w:spacing w:after="0"/>
            </w:pPr>
            <w:r>
              <w:rPr>
                <w:b w:val="0"/>
                <w:i w:val="0"/>
                <w:sz w:val="15"/>
              </w:rPr>
              <w:t>STDEVP of adj. EBITDA margin 3.9% (10 qtrs) / 3.0% (last 5). Range 33–43%.</w:t>
            </w:r>
          </w:p>
        </w:tc>
        <w:tc>
          <w:tcPr>
            <w:tcW w:type="dxa" w:w="1077"/>
            <w:shd w:val="clear" w:color="auto" w:fill="FFF2CC"/>
          </w:tcPr>
          <w:p>
            <w:pPr>
              <w:spacing w:after="0"/>
            </w:pPr>
            <w:r>
              <w:rPr>
                <w:b w:val="0"/>
                <w:i w:val="0"/>
                <w:sz w:val="15"/>
              </w:rPr>
              <w:t>CAUTION</w:t>
            </w:r>
          </w:p>
        </w:tc>
      </w:tr>
      <w:tr>
        <w:tc>
          <w:tcPr>
            <w:tcW w:type="dxa" w:w="340"/>
          </w:tcPr>
          <w:p>
            <w:pPr>
              <w:spacing w:after="0"/>
            </w:pPr>
            <w:r>
              <w:rPr>
                <w:b w:val="0"/>
                <w:i w:val="0"/>
                <w:sz w:val="15"/>
              </w:rPr>
              <w:t>3</w:t>
            </w:r>
          </w:p>
        </w:tc>
        <w:tc>
          <w:tcPr>
            <w:tcW w:type="dxa" w:w="2098"/>
          </w:tcPr>
          <w:p>
            <w:pPr>
              <w:spacing w:after="0"/>
            </w:pPr>
            <w:r>
              <w:rPr>
                <w:b w:val="0"/>
                <w:i w:val="0"/>
                <w:sz w:val="15"/>
              </w:rPr>
              <w:t>Self-funded growth</w:t>
            </w:r>
          </w:p>
        </w:tc>
        <w:tc>
          <w:tcPr>
            <w:tcW w:type="dxa" w:w="6576"/>
          </w:tcPr>
          <w:p>
            <w:pPr>
              <w:spacing w:after="0"/>
            </w:pPr>
            <w:r>
              <w:rPr>
                <w:b w:val="0"/>
                <w:i w:val="0"/>
                <w:sz w:val="15"/>
              </w:rPr>
              <w:t>Cumulative GAAP NI FY23–H1 26 $558m vs $560m raised since 2023 = 1.00x.</w:t>
            </w:r>
          </w:p>
        </w:tc>
        <w:tc>
          <w:tcPr>
            <w:tcW w:type="dxa" w:w="1077"/>
            <w:shd w:val="clear" w:color="auto" w:fill="FFF2CC"/>
          </w:tcPr>
          <w:p>
            <w:pPr>
              <w:spacing w:after="0"/>
            </w:pPr>
            <w:r>
              <w:rPr>
                <w:b w:val="0"/>
                <w:i w:val="0"/>
                <w:sz w:val="15"/>
              </w:rPr>
              <w:t>CAUTION</w:t>
            </w:r>
          </w:p>
        </w:tc>
      </w:tr>
      <w:tr>
        <w:tc>
          <w:tcPr>
            <w:tcW w:type="dxa" w:w="340"/>
            <w:shd w:val="clear" w:color="auto" w:fill="F2F4F7"/>
          </w:tcPr>
          <w:p>
            <w:pPr>
              <w:spacing w:after="0"/>
            </w:pPr>
            <w:r>
              <w:rPr>
                <w:b w:val="0"/>
                <w:i w:val="0"/>
                <w:sz w:val="15"/>
              </w:rPr>
              <w:t>4</w:t>
            </w:r>
          </w:p>
        </w:tc>
        <w:tc>
          <w:tcPr>
            <w:tcW w:type="dxa" w:w="2098"/>
            <w:shd w:val="clear" w:color="auto" w:fill="F2F4F7"/>
          </w:tcPr>
          <w:p>
            <w:pPr>
              <w:spacing w:after="0"/>
            </w:pPr>
            <w:r>
              <w:rPr>
                <w:b w:val="0"/>
                <w:i w:val="0"/>
                <w:sz w:val="15"/>
              </w:rPr>
              <w:t>Organic compounding</w:t>
            </w:r>
          </w:p>
        </w:tc>
        <w:tc>
          <w:tcPr>
            <w:tcW w:type="dxa" w:w="6576"/>
            <w:shd w:val="clear" w:color="auto" w:fill="F2F4F7"/>
          </w:tcPr>
          <w:p>
            <w:pPr>
              <w:spacing w:after="0"/>
            </w:pPr>
            <w:r>
              <w:rPr>
                <w:b w:val="0"/>
                <w:i w:val="0"/>
                <w:sz w:val="15"/>
              </w:rPr>
              <w:t>Spaceship's ≤0.20m clients vs +1.07m funded accounts since Q3 24 = up to 19% inorganic. TradeZero to follow.</w:t>
            </w:r>
          </w:p>
        </w:tc>
        <w:tc>
          <w:tcPr>
            <w:tcW w:type="dxa" w:w="1077"/>
            <w:shd w:val="clear" w:color="auto" w:fill="FFF2CC"/>
          </w:tcPr>
          <w:p>
            <w:pPr>
              <w:spacing w:after="0"/>
            </w:pPr>
            <w:r>
              <w:rPr>
                <w:b w:val="0"/>
                <w:i w:val="0"/>
                <w:sz w:val="15"/>
              </w:rPr>
              <w:t>CAUTION</w:t>
            </w:r>
          </w:p>
        </w:tc>
      </w:tr>
      <w:tr>
        <w:tc>
          <w:tcPr>
            <w:tcW w:type="dxa" w:w="340"/>
          </w:tcPr>
          <w:p>
            <w:pPr>
              <w:spacing w:after="0"/>
            </w:pPr>
            <w:r>
              <w:rPr>
                <w:b w:val="0"/>
                <w:i w:val="0"/>
                <w:sz w:val="15"/>
              </w:rPr>
              <w:t>5</w:t>
            </w:r>
          </w:p>
        </w:tc>
        <w:tc>
          <w:tcPr>
            <w:tcW w:type="dxa" w:w="2098"/>
          </w:tcPr>
          <w:p>
            <w:pPr>
              <w:spacing w:after="0"/>
            </w:pPr>
            <w:r>
              <w:rPr>
                <w:b w:val="0"/>
                <w:i w:val="0"/>
                <w:sz w:val="15"/>
              </w:rPr>
              <w:t>Durable, behavioural moat</w:t>
            </w:r>
          </w:p>
        </w:tc>
        <w:tc>
          <w:tcPr>
            <w:tcW w:type="dxa" w:w="6576"/>
          </w:tcPr>
          <w:p>
            <w:pPr>
              <w:spacing w:after="0"/>
            </w:pPr>
            <w:r>
              <w:rPr>
                <w:b w:val="0"/>
                <w:i w:val="0"/>
                <w:sz w:val="15"/>
              </w:rPr>
              <w:t>0 Strong / 3 Moderate ratings (Section 6).</w:t>
            </w:r>
          </w:p>
        </w:tc>
        <w:tc>
          <w:tcPr>
            <w:tcW w:type="dxa" w:w="1077"/>
            <w:shd w:val="clear" w:color="auto" w:fill="FFF2CC"/>
          </w:tcPr>
          <w:p>
            <w:pPr>
              <w:spacing w:after="0"/>
            </w:pPr>
            <w:r>
              <w:rPr>
                <w:b w:val="0"/>
                <w:i w:val="0"/>
                <w:sz w:val="15"/>
              </w:rPr>
              <w:t>CAUTION</w:t>
            </w:r>
          </w:p>
        </w:tc>
      </w:tr>
      <w:tr>
        <w:tc>
          <w:tcPr>
            <w:tcW w:type="dxa" w:w="340"/>
            <w:shd w:val="clear" w:color="auto" w:fill="F2F4F7"/>
          </w:tcPr>
          <w:p>
            <w:pPr>
              <w:spacing w:after="0"/>
            </w:pPr>
            <w:r>
              <w:rPr>
                <w:b w:val="0"/>
                <w:i w:val="0"/>
                <w:sz w:val="15"/>
              </w:rPr>
              <w:t>6</w:t>
            </w:r>
          </w:p>
        </w:tc>
        <w:tc>
          <w:tcPr>
            <w:tcW w:type="dxa" w:w="2098"/>
            <w:shd w:val="clear" w:color="auto" w:fill="F2F4F7"/>
          </w:tcPr>
          <w:p>
            <w:pPr>
              <w:spacing w:after="0"/>
            </w:pPr>
            <w:r>
              <w:rPr>
                <w:b w:val="0"/>
                <w:i w:val="0"/>
                <w:sz w:val="15"/>
              </w:rPr>
              <w:t>Rational, aligned management</w:t>
            </w:r>
          </w:p>
        </w:tc>
        <w:tc>
          <w:tcPr>
            <w:tcW w:type="dxa" w:w="6576"/>
            <w:shd w:val="clear" w:color="auto" w:fill="F2F4F7"/>
          </w:tcPr>
          <w:p>
            <w:pPr>
              <w:spacing w:after="0"/>
            </w:pPr>
            <w:r>
              <w:rPr>
                <w:b w:val="0"/>
                <w:i w:val="0"/>
                <w:sz w:val="15"/>
              </w:rPr>
              <w:t>CEO 9.3% of votes. One reversed flagship decision (the $10.4bn SPAC). Buyback at ~$30, then shares used to buy TradeZero at 1.8x eToro's own multiple.</w:t>
            </w:r>
          </w:p>
        </w:tc>
        <w:tc>
          <w:tcPr>
            <w:tcW w:type="dxa" w:w="1077"/>
            <w:shd w:val="clear" w:color="auto" w:fill="FFF2CC"/>
          </w:tcPr>
          <w:p>
            <w:pPr>
              <w:spacing w:after="0"/>
            </w:pPr>
            <w:r>
              <w:rPr>
                <w:b w:val="0"/>
                <w:i w:val="0"/>
                <w:sz w:val="15"/>
              </w:rPr>
              <w:t>CAUTION</w:t>
            </w:r>
          </w:p>
        </w:tc>
      </w:tr>
      <w:tr>
        <w:tc>
          <w:tcPr>
            <w:tcW w:type="dxa" w:w="340"/>
          </w:tcPr>
          <w:p>
            <w:pPr>
              <w:spacing w:after="0"/>
            </w:pPr>
            <w:r>
              <w:rPr>
                <w:b w:val="0"/>
                <w:i w:val="0"/>
                <w:sz w:val="15"/>
              </w:rPr>
              <w:t>7</w:t>
            </w:r>
          </w:p>
        </w:tc>
        <w:tc>
          <w:tcPr>
            <w:tcW w:type="dxa" w:w="2098"/>
          </w:tcPr>
          <w:p>
            <w:pPr>
              <w:spacing w:after="0"/>
            </w:pPr>
            <w:r>
              <w:rPr>
                <w:b w:val="0"/>
                <w:i w:val="0"/>
                <w:sz w:val="15"/>
              </w:rPr>
              <w:t>Simple, predictable business</w:t>
            </w:r>
          </w:p>
        </w:tc>
        <w:tc>
          <w:tcPr>
            <w:tcW w:type="dxa" w:w="6576"/>
          </w:tcPr>
          <w:p>
            <w:pPr>
              <w:spacing w:after="0"/>
            </w:pPr>
            <w:r>
              <w:rPr>
                <w:b w:val="0"/>
                <w:i w:val="0"/>
                <w:sz w:val="15"/>
              </w:rPr>
              <w:t>8 concurrent initiatives: TradeZero/US; AI-first app migration; tokenised stocks &amp; 24/5; futures &amp; US commodities; marketing to 25% of NC; eToro Money; Tori AI agents; ASIC litigation.</w:t>
            </w:r>
          </w:p>
        </w:tc>
        <w:tc>
          <w:tcPr>
            <w:tcW w:type="dxa" w:w="1077"/>
            <w:shd w:val="clear" w:color="auto" w:fill="F8D7D3"/>
          </w:tcPr>
          <w:p>
            <w:pPr>
              <w:spacing w:after="0"/>
            </w:pPr>
            <w:r>
              <w:rPr>
                <w:b w:val="0"/>
                <w:i w:val="0"/>
                <w:sz w:val="15"/>
              </w:rPr>
              <w:t>FAIL</w:t>
            </w:r>
          </w:p>
        </w:tc>
      </w:tr>
      <w:tr>
        <w:tc>
          <w:tcPr>
            <w:tcW w:type="dxa" w:w="340"/>
            <w:shd w:val="clear" w:color="auto" w:fill="F2F4F7"/>
          </w:tcPr>
          <w:p>
            <w:pPr>
              <w:spacing w:after="0"/>
            </w:pPr>
            <w:r>
              <w:rPr>
                <w:b w:val="0"/>
                <w:i w:val="0"/>
                <w:sz w:val="15"/>
              </w:rPr>
              <w:t>8</w:t>
            </w:r>
          </w:p>
        </w:tc>
        <w:tc>
          <w:tcPr>
            <w:tcW w:type="dxa" w:w="2098"/>
            <w:shd w:val="clear" w:color="auto" w:fill="F2F4F7"/>
          </w:tcPr>
          <w:p>
            <w:pPr>
              <w:spacing w:after="0"/>
            </w:pPr>
            <w:r>
              <w:rPr>
                <w:b w:val="0"/>
                <w:i w:val="0"/>
                <w:sz w:val="15"/>
              </w:rPr>
              <w:t>Wonderful company at a fair price</w:t>
            </w:r>
          </w:p>
        </w:tc>
        <w:tc>
          <w:tcPr>
            <w:tcW w:type="dxa" w:w="6576"/>
            <w:shd w:val="clear" w:color="auto" w:fill="F2F4F7"/>
          </w:tcPr>
          <w:p>
            <w:pPr>
              <w:spacing w:after="0"/>
            </w:pPr>
            <w:r>
              <w:rPr>
                <w:b w:val="0"/>
                <w:i w:val="0"/>
                <w:sz w:val="15"/>
              </w:rPr>
              <w:t>Central EV/EBITDA is 0.59x Plus500's multiple (0.82x at zero cash credit).</w:t>
            </w:r>
          </w:p>
        </w:tc>
        <w:tc>
          <w:tcPr>
            <w:tcW w:type="dxa" w:w="1077"/>
            <w:shd w:val="clear" w:color="auto" w:fill="D9EAD3"/>
          </w:tcPr>
          <w:p>
            <w:pPr>
              <w:spacing w:after="0"/>
            </w:pPr>
            <w:r>
              <w:rPr>
                <w:b w:val="0"/>
                <w:i w:val="0"/>
                <w:sz w:val="15"/>
              </w:rPr>
              <w:t>PASS</w:t>
            </w:r>
          </w:p>
        </w:tc>
      </w:tr>
    </w:tbl>
    <w:p>
      <w:pPr>
        <w:spacing w:after="40"/>
      </w:pPr>
    </w:p>
    <w:p>
      <w:r>
        <w:rPr>
          <w:b/>
          <w:i w:val="0"/>
        </w:rPr>
        <w:t>Tally: 1 PASS / 6 CAUTION / 1 FAIL.</w:t>
      </w:r>
      <w:r>
        <w:rPr>
          <w:b w:val="0"/>
          <w:i w:val="0"/>
        </w:rPr>
        <w:t xml:space="preserve"> The only PASS is price. The only FAIL is simplicity. The six CAUTIONs share one root cause: a short, volume-driven earnings record that has not yet been tested through a full down-cycle as a listed company.</w:t>
      </w:r>
    </w:p>
    <w:p>
      <w:pPr>
        <w:pStyle w:val="Heading1"/>
      </w:pPr>
      <w:r>
        <w:t>8. Growth-strategy matrix (confirmed: Webull, XTB, Trading 212)</w:t>
      </w:r>
    </w:p>
    <w:p>
      <w:r>
        <w:rPr>
          <w:b w:val="0"/>
          <w:i w:val="0"/>
          <w:color w:val="595959"/>
          <w:sz w:val="16"/>
        </w:rPr>
        <w:t>IG Group is excluded at the user's instruction because of the conflict of interest.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87"/>
        <w:gridCol w:w="2154"/>
        <w:gridCol w:w="2154"/>
        <w:gridCol w:w="2098"/>
        <w:gridCol w:w="2098"/>
      </w:tblGrid>
      <w:tr>
        <w:tc>
          <w:tcPr>
            <w:tcW w:type="dxa" w:w="1587"/>
            <w:shd w:val="clear" w:color="auto" w:fill="1F3A5F"/>
          </w:tcPr>
          <w:p>
            <w:pPr>
              <w:spacing w:after="0"/>
            </w:pPr>
            <w:r>
              <w:rPr>
                <w:b/>
                <w:i w:val="0"/>
                <w:color w:val="FFFFFF"/>
                <w:sz w:val="15"/>
              </w:rPr>
              <w:t>Dimension</w:t>
            </w:r>
          </w:p>
        </w:tc>
        <w:tc>
          <w:tcPr>
            <w:tcW w:type="dxa" w:w="2154"/>
            <w:shd w:val="clear" w:color="auto" w:fill="1F3A5F"/>
          </w:tcPr>
          <w:p>
            <w:pPr>
              <w:spacing w:after="0"/>
            </w:pPr>
            <w:r>
              <w:rPr>
                <w:b/>
                <w:i w:val="0"/>
                <w:color w:val="FFFFFF"/>
                <w:sz w:val="15"/>
              </w:rPr>
              <w:t>eToro</w:t>
            </w:r>
          </w:p>
        </w:tc>
        <w:tc>
          <w:tcPr>
            <w:tcW w:type="dxa" w:w="2154"/>
            <w:shd w:val="clear" w:color="auto" w:fill="1F3A5F"/>
          </w:tcPr>
          <w:p>
            <w:pPr>
              <w:spacing w:after="0"/>
            </w:pPr>
            <w:r>
              <w:rPr>
                <w:b/>
                <w:i w:val="0"/>
                <w:color w:val="FFFFFF"/>
                <w:sz w:val="15"/>
              </w:rPr>
              <w:t>Webull</w:t>
            </w:r>
          </w:p>
        </w:tc>
        <w:tc>
          <w:tcPr>
            <w:tcW w:type="dxa" w:w="2098"/>
            <w:shd w:val="clear" w:color="auto" w:fill="1F3A5F"/>
          </w:tcPr>
          <w:p>
            <w:pPr>
              <w:spacing w:after="0"/>
            </w:pPr>
            <w:r>
              <w:rPr>
                <w:b/>
                <w:i w:val="0"/>
                <w:color w:val="FFFFFF"/>
                <w:sz w:val="15"/>
              </w:rPr>
              <w:t>XTB</w:t>
            </w:r>
          </w:p>
        </w:tc>
        <w:tc>
          <w:tcPr>
            <w:tcW w:type="dxa" w:w="2098"/>
            <w:shd w:val="clear" w:color="auto" w:fill="1F3A5F"/>
          </w:tcPr>
          <w:p>
            <w:pPr>
              <w:spacing w:after="0"/>
            </w:pPr>
            <w:r>
              <w:rPr>
                <w:b/>
                <w:i w:val="0"/>
                <w:color w:val="FFFFFF"/>
                <w:sz w:val="15"/>
              </w:rPr>
              <w:t>Trading 212</w:t>
            </w:r>
          </w:p>
        </w:tc>
      </w:tr>
      <w:tr>
        <w:tc>
          <w:tcPr>
            <w:tcW w:type="dxa" w:w="1587"/>
          </w:tcPr>
          <w:p>
            <w:pPr>
              <w:spacing w:after="0"/>
            </w:pPr>
            <w:r>
              <w:rPr>
                <w:b/>
                <w:i w:val="0"/>
                <w:sz w:val="15"/>
              </w:rPr>
              <w:t>Primary growth lever</w:t>
            </w:r>
          </w:p>
        </w:tc>
        <w:tc>
          <w:tcPr>
            <w:tcW w:type="dxa" w:w="2154"/>
          </w:tcPr>
          <w:p>
            <w:pPr>
              <w:spacing w:after="0"/>
            </w:pPr>
            <w:r>
              <w:rPr>
                <w:b w:val="0"/>
                <w:i w:val="0"/>
                <w:sz w:val="15"/>
              </w:rPr>
              <w:t>Multi-asset cross-sell; US build-out via TradeZero; AI-first app; marketing ramp</w:t>
            </w:r>
          </w:p>
        </w:tc>
        <w:tc>
          <w:tcPr>
            <w:tcW w:type="dxa" w:w="2154"/>
          </w:tcPr>
          <w:p>
            <w:pPr>
              <w:spacing w:after="0"/>
            </w:pPr>
            <w:r>
              <w:rPr>
                <w:b w:val="0"/>
                <w:i w:val="0"/>
                <w:sz w:val="15"/>
              </w:rPr>
              <w:t>US active traders after the PDT rule was removed; international licences (EEA, LatAm, Thailand)</w:t>
            </w:r>
          </w:p>
        </w:tc>
        <w:tc>
          <w:tcPr>
            <w:tcW w:type="dxa" w:w="2098"/>
          </w:tcPr>
          <w:p>
            <w:pPr>
              <w:spacing w:after="0"/>
            </w:pPr>
            <w:r>
              <w:rPr>
                <w:b w:val="0"/>
                <w:i w:val="0"/>
                <w:sz w:val="15"/>
              </w:rPr>
              <w:t>Marketing-led client acquisition (250–290k/qtr target); product breadth (options, crypto, ISA)</w:t>
            </w:r>
          </w:p>
        </w:tc>
        <w:tc>
          <w:tcPr>
            <w:tcW w:type="dxa" w:w="2098"/>
          </w:tcPr>
          <w:p>
            <w:pPr>
              <w:spacing w:after="0"/>
            </w:pPr>
            <w:r>
              <w:rPr>
                <w:b w:val="0"/>
                <w:i w:val="0"/>
                <w:sz w:val="15"/>
              </w:rPr>
              <w:t>Zero-commission geographic roll-out (UK, then Germany, then Australia)</w:t>
            </w:r>
          </w:p>
        </w:tc>
      </w:tr>
      <w:tr>
        <w:tc>
          <w:tcPr>
            <w:tcW w:type="dxa" w:w="1587"/>
            <w:shd w:val="clear" w:color="auto" w:fill="F2F4F7"/>
          </w:tcPr>
          <w:p>
            <w:pPr>
              <w:spacing w:after="0"/>
            </w:pPr>
            <w:r>
              <w:rPr>
                <w:b/>
                <w:i w:val="0"/>
                <w:sz w:val="15"/>
              </w:rPr>
              <w:t>Revenue / monetisation</w:t>
            </w:r>
          </w:p>
        </w:tc>
        <w:tc>
          <w:tcPr>
            <w:tcW w:type="dxa" w:w="2154"/>
            <w:shd w:val="clear" w:color="auto" w:fill="F2F4F7"/>
          </w:tcPr>
          <w:p>
            <w:pPr>
              <w:spacing w:after="0"/>
            </w:pPr>
            <w:r>
              <w:rPr>
                <w:b w:val="0"/>
                <w:i w:val="0"/>
                <w:sz w:val="15"/>
              </w:rPr>
              <w:t>Trading NC (capital markets $142m, crypto $11m), NII $49m, eToro Money $26m (Q2 26)</w:t>
            </w:r>
          </w:p>
        </w:tc>
        <w:tc>
          <w:tcPr>
            <w:tcW w:type="dxa" w:w="2154"/>
            <w:shd w:val="clear" w:color="auto" w:fill="F2F4F7"/>
          </w:tcPr>
          <w:p>
            <w:pPr>
              <w:spacing w:after="0"/>
            </w:pPr>
            <w:r>
              <w:rPr>
                <w:b w:val="0"/>
                <w:i w:val="0"/>
                <w:sz w:val="15"/>
              </w:rPr>
              <w:t>Trading-related revenue plus interest; prediction markets ~$5–6m/qtr</w:t>
            </w:r>
          </w:p>
        </w:tc>
        <w:tc>
          <w:tcPr>
            <w:tcW w:type="dxa" w:w="2098"/>
            <w:shd w:val="clear" w:color="auto" w:fill="F2F4F7"/>
          </w:tcPr>
          <w:p>
            <w:pPr>
              <w:spacing w:after="0"/>
            </w:pPr>
            <w:r>
              <w:rPr>
                <w:b w:val="0"/>
                <w:i w:val="0"/>
                <w:sz w:val="15"/>
              </w:rPr>
              <w:t>CFD trading result (PLN 2.02bn of 2.09bn H1 26 income) plus invest</w:t>
            </w:r>
          </w:p>
        </w:tc>
        <w:tc>
          <w:tcPr>
            <w:tcW w:type="dxa" w:w="2098"/>
            <w:shd w:val="clear" w:color="auto" w:fill="F2F4F7"/>
          </w:tcPr>
          <w:p>
            <w:pPr>
              <w:spacing w:after="0"/>
            </w:pPr>
            <w:r>
              <w:rPr>
                <w:b w:val="0"/>
                <w:i w:val="0"/>
                <w:sz w:val="15"/>
              </w:rPr>
              <w:t>Trading/FX revenue £257m + NII £20.6m (FY25, UK Ltd)</w:t>
            </w:r>
          </w:p>
        </w:tc>
      </w:tr>
      <w:tr>
        <w:tc>
          <w:tcPr>
            <w:tcW w:type="dxa" w:w="1587"/>
          </w:tcPr>
          <w:p>
            <w:pPr>
              <w:spacing w:after="0"/>
            </w:pPr>
            <w:r>
              <w:rPr>
                <w:b/>
                <w:i w:val="0"/>
                <w:sz w:val="15"/>
              </w:rPr>
              <w:t>Distribution / target segment</w:t>
            </w:r>
          </w:p>
        </w:tc>
        <w:tc>
          <w:tcPr>
            <w:tcW w:type="dxa" w:w="2154"/>
          </w:tcPr>
          <w:p>
            <w:pPr>
              <w:spacing w:after="0"/>
            </w:pPr>
            <w:r>
              <w:rPr>
                <w:b w:val="0"/>
                <w:i w:val="0"/>
                <w:sz w:val="15"/>
              </w:rPr>
              <w:t>Global app, social/copy community; 4.28m funded; EU/UK/AU core</w:t>
            </w:r>
          </w:p>
        </w:tc>
        <w:tc>
          <w:tcPr>
            <w:tcW w:type="dxa" w:w="2154"/>
          </w:tcPr>
          <w:p>
            <w:pPr>
              <w:spacing w:after="0"/>
            </w:pPr>
            <w:r>
              <w:rPr>
                <w:b w:val="0"/>
                <w:i w:val="0"/>
                <w:sz w:val="15"/>
              </w:rPr>
              <w:t>US active and options traders; 5.13m funded; $28.5bn assets</w:t>
            </w:r>
          </w:p>
        </w:tc>
        <w:tc>
          <w:tcPr>
            <w:tcW w:type="dxa" w:w="2098"/>
          </w:tcPr>
          <w:p>
            <w:pPr>
              <w:spacing w:after="0"/>
            </w:pPr>
            <w:r>
              <w:rPr>
                <w:b w:val="0"/>
                <w:i w:val="0"/>
                <w:sz w:val="15"/>
              </w:rPr>
              <w:t>CEE and Western Europe, Middle East (UAE); 1.49m active</w:t>
            </w:r>
          </w:p>
        </w:tc>
        <w:tc>
          <w:tcPr>
            <w:tcW w:type="dxa" w:w="2098"/>
          </w:tcPr>
          <w:p>
            <w:pPr>
              <w:spacing w:after="0"/>
            </w:pPr>
            <w:r>
              <w:rPr>
                <w:b w:val="0"/>
                <w:i w:val="0"/>
                <w:sz w:val="15"/>
              </w:rPr>
              <w:t>Young UK/EU retail and ISA savers; 4.5m funded (self-reported)</w:t>
            </w:r>
          </w:p>
        </w:tc>
      </w:tr>
      <w:tr>
        <w:tc>
          <w:tcPr>
            <w:tcW w:type="dxa" w:w="1587"/>
            <w:shd w:val="clear" w:color="auto" w:fill="F2F4F7"/>
          </w:tcPr>
          <w:p>
            <w:pPr>
              <w:spacing w:after="0"/>
            </w:pPr>
            <w:r>
              <w:rPr>
                <w:b/>
                <w:i w:val="0"/>
                <w:sz w:val="15"/>
              </w:rPr>
              <w:t>Regulatory posture</w:t>
            </w:r>
          </w:p>
        </w:tc>
        <w:tc>
          <w:tcPr>
            <w:tcW w:type="dxa" w:w="2154"/>
            <w:shd w:val="clear" w:color="auto" w:fill="F2F4F7"/>
          </w:tcPr>
          <w:p>
            <w:pPr>
              <w:spacing w:after="0"/>
            </w:pPr>
            <w:r>
              <w:rPr>
                <w:b w:val="0"/>
                <w:i w:val="0"/>
                <w:sz w:val="15"/>
              </w:rPr>
              <w:t>Multi-licence incl. MiCA; ASIC DDO case pending; TradeZero needs US approval</w:t>
            </w:r>
          </w:p>
        </w:tc>
        <w:tc>
          <w:tcPr>
            <w:tcW w:type="dxa" w:w="2154"/>
            <w:shd w:val="clear" w:color="auto" w:fill="F2F4F7"/>
          </w:tcPr>
          <w:p>
            <w:pPr>
              <w:spacing w:after="0"/>
            </w:pPr>
            <w:r>
              <w:rPr>
                <w:b w:val="0"/>
                <w:i w:val="0"/>
                <w:sz w:val="15"/>
              </w:rPr>
              <w:t>SEC/FINRA; EEA licence; CFTC products via Kalshi</w:t>
            </w:r>
          </w:p>
        </w:tc>
        <w:tc>
          <w:tcPr>
            <w:tcW w:type="dxa" w:w="2098"/>
            <w:shd w:val="clear" w:color="auto" w:fill="F2F4F7"/>
          </w:tcPr>
          <w:p>
            <w:pPr>
              <w:spacing w:after="0"/>
            </w:pPr>
            <w:r>
              <w:rPr>
                <w:b w:val="0"/>
                <w:i w:val="0"/>
                <w:sz w:val="15"/>
              </w:rPr>
              <w:t>KNF/CySEC/FCA; UAE Category 1 &amp; 2 licences</w:t>
            </w:r>
          </w:p>
        </w:tc>
        <w:tc>
          <w:tcPr>
            <w:tcW w:type="dxa" w:w="2098"/>
            <w:shd w:val="clear" w:color="auto" w:fill="F2F4F7"/>
          </w:tcPr>
          <w:p>
            <w:pPr>
              <w:spacing w:after="0"/>
            </w:pPr>
            <w:r>
              <w:rPr>
                <w:b w:val="0"/>
                <w:i w:val="0"/>
                <w:sz w:val="15"/>
              </w:rPr>
              <w:t>FCA-led; EU and Australian entities (licences not individually verified)</w:t>
            </w:r>
          </w:p>
        </w:tc>
      </w:tr>
      <w:tr>
        <w:tc>
          <w:tcPr>
            <w:tcW w:type="dxa" w:w="1587"/>
          </w:tcPr>
          <w:p>
            <w:pPr>
              <w:spacing w:after="0"/>
            </w:pPr>
            <w:r>
              <w:rPr>
                <w:b/>
                <w:i w:val="0"/>
                <w:sz w:val="15"/>
              </w:rPr>
              <w:t>Latest dated signal</w:t>
            </w:r>
          </w:p>
        </w:tc>
        <w:tc>
          <w:tcPr>
            <w:tcW w:type="dxa" w:w="2154"/>
          </w:tcPr>
          <w:p>
            <w:pPr>
              <w:spacing w:after="0"/>
            </w:pPr>
            <w:r>
              <w:rPr>
                <w:b w:val="0"/>
                <w:i w:val="0"/>
                <w:sz w:val="15"/>
              </w:rPr>
              <w:t>11 Aug 2026: agreed to buy TradeZero (up to $231m). 7 Jul 2026: new AI-first app, migration from 4 Oct</w:t>
            </w:r>
          </w:p>
        </w:tc>
        <w:tc>
          <w:tcPr>
            <w:tcW w:type="dxa" w:w="2154"/>
          </w:tcPr>
          <w:p>
            <w:pPr>
              <w:spacing w:after="0"/>
            </w:pPr>
            <w:r>
              <w:rPr>
                <w:b w:val="0"/>
                <w:i w:val="0"/>
                <w:sz w:val="15"/>
              </w:rPr>
              <w:t>Aug 2026: record Q2 revenue $198.8m (+51%) after the PDT rule change on 4 Jun 2026</w:t>
            </w:r>
          </w:p>
        </w:tc>
        <w:tc>
          <w:tcPr>
            <w:tcW w:type="dxa" w:w="2098"/>
          </w:tcPr>
          <w:p>
            <w:pPr>
              <w:spacing w:after="0"/>
            </w:pPr>
            <w:r>
              <w:rPr>
                <w:b w:val="0"/>
                <w:i w:val="0"/>
                <w:sz w:val="15"/>
              </w:rPr>
              <w:t>29 Jul 2026: H1 net profit PLN 1.03bn (+150%); active clients +74.5%</w:t>
            </w:r>
          </w:p>
        </w:tc>
        <w:tc>
          <w:tcPr>
            <w:tcW w:type="dxa" w:w="2098"/>
          </w:tcPr>
          <w:p>
            <w:pPr>
              <w:spacing w:after="0"/>
            </w:pPr>
            <w:r>
              <w:rPr>
                <w:b w:val="0"/>
                <w:i w:val="0"/>
                <w:sz w:val="15"/>
              </w:rPr>
              <w:t>Sep 2026: Australia launch push from a Sydney base</w:t>
            </w:r>
          </w:p>
        </w:tc>
      </w:tr>
    </w:tbl>
    <w:p>
      <w:pPr>
        <w:spacing w:after="40"/>
      </w:pPr>
    </w:p>
    <w:p>
      <w:r>
        <w:rPr>
          <w:b/>
          <w:i w:val="0"/>
        </w:rPr>
        <w:t>Webull vs eToro.</w:t>
      </w:r>
      <w:r>
        <w:rPr>
          <w:b w:val="0"/>
          <w:i w:val="0"/>
        </w:rPr>
        <w:t xml:space="preserve"> Webull leads on audited accounts (5.13m vs 4.28m), client assets ($28.5bn vs $19.2bn) and momentum (+44% H1 revenue vs eToro's +14%). eToro leads on product breadth outside US equities and options, on profitability (38% adj. EBITDA margin vs Webull's 31.5% adj. operating margin) and on its established EU/UK/AU franchise. </w:t>
      </w:r>
      <w:r>
        <w:rPr>
          <w:b/>
          <w:i w:val="0"/>
        </w:rPr>
        <w:t>Fastest-closing gap:</w:t>
      </w:r>
      <w:r>
        <w:rPr>
          <w:b w:val="0"/>
          <w:i w:val="0"/>
        </w:rPr>
        <w:t xml:space="preserve"> Webull's EEA licence and Spanish launch put it into eToro's core market while eToro, via TradeZero, moves into Webull's.</w:t>
      </w:r>
    </w:p>
    <w:p>
      <w:r>
        <w:rPr>
          <w:b/>
          <w:i w:val="0"/>
        </w:rPr>
        <w:t>XTB vs eToro.</w:t>
      </w:r>
      <w:r>
        <w:rPr>
          <w:b w:val="0"/>
          <w:i w:val="0"/>
        </w:rPr>
        <w:t xml:space="preserve"> XTB leads on growth (+80% H1 income), margin (58% EBITDA) and marketing firepower (opex up to +30% in 2026). eToro leads on accounts (4.28m funded vs 1.49m active) and on a less CFD-dependent mix. </w:t>
      </w:r>
      <w:r>
        <w:rPr>
          <w:b/>
          <w:i w:val="0"/>
        </w:rPr>
        <w:t>Fastest-closing gap:</w:t>
      </w:r>
      <w:r>
        <w:rPr>
          <w:b w:val="0"/>
          <w:i w:val="0"/>
        </w:rPr>
        <w:t xml:space="preserve"> XTB's move into long-term investing (ISA, options, spot crypto) targets exactly the 'invest, not just trade' positioning eToro claims.</w:t>
      </w:r>
    </w:p>
    <w:p>
      <w:r>
        <w:rPr>
          <w:b/>
          <w:i w:val="0"/>
        </w:rPr>
        <w:t>Trading 212 vs eToro.</w:t>
      </w:r>
      <w:r>
        <w:rPr>
          <w:b w:val="0"/>
          <w:i w:val="0"/>
        </w:rPr>
        <w:t xml:space="preserve"> Trading 212 leads on price (zero commission) and on UK client money and custody (~$43bn in the UK entity alone vs eToro's $19.2bn group AUA). eToro leads on multi-asset and crypto breadth and on its social features. </w:t>
      </w:r>
      <w:r>
        <w:rPr>
          <w:b/>
          <w:i w:val="0"/>
        </w:rPr>
        <w:t>Fastest-closing gap:</w:t>
      </w:r>
      <w:r>
        <w:rPr>
          <w:b w:val="0"/>
          <w:i w:val="0"/>
        </w:rPr>
        <w:t xml:space="preserve"> Trading 212's Australia entry (Sep 2026) hits one of eToro's most important markets, where eToro already faces ASIC litigation.</w:t>
      </w:r>
    </w:p>
    <w:p>
      <w:pPr>
        <w:pStyle w:val="Heading1"/>
      </w:pPr>
      <w:r>
        <w:t>9. Bull / base / bear scenarios (12-month forward, workbook 'Valuation &amp; Scenarios')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75"/>
        <w:gridCol w:w="2268"/>
        <w:gridCol w:w="2324"/>
        <w:gridCol w:w="2324"/>
      </w:tblGrid>
      <w:tr>
        <w:tc>
          <w:tcPr>
            <w:tcW w:type="dxa" w:w="3175"/>
            <w:shd w:val="clear" w:color="auto" w:fill="1F3A5F"/>
          </w:tcPr>
          <w:p>
            <w:pPr>
              <w:spacing w:after="0"/>
            </w:pPr>
          </w:p>
        </w:tc>
        <w:tc>
          <w:tcPr>
            <w:tcW w:type="dxa" w:w="2268"/>
            <w:shd w:val="clear" w:color="auto" w:fill="1F3A5F"/>
          </w:tcPr>
          <w:p>
            <w:pPr>
              <w:spacing w:after="0"/>
            </w:pPr>
            <w:r>
              <w:rPr>
                <w:b/>
                <w:i w:val="0"/>
                <w:color w:val="FFFFFF"/>
                <w:sz w:val="16"/>
              </w:rPr>
              <w:t>Bear</w:t>
            </w:r>
          </w:p>
        </w:tc>
        <w:tc>
          <w:tcPr>
            <w:tcW w:type="dxa" w:w="2324"/>
            <w:shd w:val="clear" w:color="auto" w:fill="1F3A5F"/>
          </w:tcPr>
          <w:p>
            <w:pPr>
              <w:spacing w:after="0"/>
            </w:pPr>
            <w:r>
              <w:rPr>
                <w:b/>
                <w:i w:val="0"/>
                <w:color w:val="FFFFFF"/>
                <w:sz w:val="16"/>
              </w:rPr>
              <w:t>Base</w:t>
            </w:r>
          </w:p>
        </w:tc>
        <w:tc>
          <w:tcPr>
            <w:tcW w:type="dxa" w:w="2324"/>
            <w:shd w:val="clear" w:color="auto" w:fill="1F3A5F"/>
          </w:tcPr>
          <w:p>
            <w:pPr>
              <w:spacing w:after="0"/>
            </w:pPr>
            <w:r>
              <w:rPr>
                <w:b/>
                <w:i w:val="0"/>
                <w:color w:val="FFFFFF"/>
                <w:sz w:val="16"/>
              </w:rPr>
              <w:t>Bull</w:t>
            </w:r>
          </w:p>
        </w:tc>
      </w:tr>
      <w:tr>
        <w:tc>
          <w:tcPr>
            <w:tcW w:type="dxa" w:w="3175"/>
          </w:tcPr>
          <w:p>
            <w:pPr>
              <w:spacing w:after="0"/>
            </w:pPr>
            <w:r>
              <w:rPr>
                <w:b/>
                <w:i w:val="0"/>
                <w:sz w:val="16"/>
              </w:rPr>
              <w:t>NTM NC growth</w:t>
            </w:r>
          </w:p>
        </w:tc>
        <w:tc>
          <w:tcPr>
            <w:tcW w:type="dxa" w:w="2268"/>
          </w:tcPr>
          <w:p>
            <w:pPr>
              <w:spacing w:after="0"/>
            </w:pPr>
            <w:r>
              <w:rPr>
                <w:b w:val="0"/>
                <w:i w:val="0"/>
                <w:sz w:val="16"/>
              </w:rPr>
              <w:t>-10.0%</w:t>
            </w:r>
          </w:p>
        </w:tc>
        <w:tc>
          <w:tcPr>
            <w:tcW w:type="dxa" w:w="2324"/>
          </w:tcPr>
          <w:p>
            <w:pPr>
              <w:spacing w:after="0"/>
            </w:pPr>
            <w:r>
              <w:rPr>
                <w:b w:val="0"/>
                <w:i w:val="0"/>
                <w:sz w:val="16"/>
              </w:rPr>
              <w:t>8.0%</w:t>
            </w:r>
          </w:p>
        </w:tc>
        <w:tc>
          <w:tcPr>
            <w:tcW w:type="dxa" w:w="2324"/>
          </w:tcPr>
          <w:p>
            <w:pPr>
              <w:spacing w:after="0"/>
            </w:pPr>
            <w:r>
              <w:rPr>
                <w:b w:val="0"/>
                <w:i w:val="0"/>
                <w:sz w:val="16"/>
              </w:rPr>
              <w:t>15.0%</w:t>
            </w:r>
          </w:p>
        </w:tc>
      </w:tr>
      <w:tr>
        <w:tc>
          <w:tcPr>
            <w:tcW w:type="dxa" w:w="3175"/>
            <w:shd w:val="clear" w:color="auto" w:fill="F2F4F7"/>
          </w:tcPr>
          <w:p>
            <w:pPr>
              <w:spacing w:after="0"/>
            </w:pPr>
            <w:r>
              <w:rPr>
                <w:b/>
                <w:i w:val="0"/>
                <w:sz w:val="16"/>
              </w:rPr>
              <w:t>Adj. EBITDA margin</w:t>
            </w:r>
          </w:p>
        </w:tc>
        <w:tc>
          <w:tcPr>
            <w:tcW w:type="dxa" w:w="2268"/>
            <w:shd w:val="clear" w:color="auto" w:fill="F2F4F7"/>
          </w:tcPr>
          <w:p>
            <w:pPr>
              <w:spacing w:after="0"/>
            </w:pPr>
            <w:r>
              <w:rPr>
                <w:b w:val="0"/>
                <w:i w:val="0"/>
                <w:sz w:val="16"/>
              </w:rPr>
              <w:t>28.0%</w:t>
            </w:r>
          </w:p>
        </w:tc>
        <w:tc>
          <w:tcPr>
            <w:tcW w:type="dxa" w:w="2324"/>
            <w:shd w:val="clear" w:color="auto" w:fill="F2F4F7"/>
          </w:tcPr>
          <w:p>
            <w:pPr>
              <w:spacing w:after="0"/>
            </w:pPr>
            <w:r>
              <w:rPr>
                <w:b w:val="0"/>
                <w:i w:val="0"/>
                <w:sz w:val="16"/>
              </w:rPr>
              <w:t>34.0%</w:t>
            </w:r>
          </w:p>
        </w:tc>
        <w:tc>
          <w:tcPr>
            <w:tcW w:type="dxa" w:w="2324"/>
            <w:shd w:val="clear" w:color="auto" w:fill="F2F4F7"/>
          </w:tcPr>
          <w:p>
            <w:pPr>
              <w:spacing w:after="0"/>
            </w:pPr>
            <w:r>
              <w:rPr>
                <w:b w:val="0"/>
                <w:i w:val="0"/>
                <w:sz w:val="16"/>
              </w:rPr>
              <w:t>37.0%</w:t>
            </w:r>
          </w:p>
        </w:tc>
      </w:tr>
      <w:tr>
        <w:tc>
          <w:tcPr>
            <w:tcW w:type="dxa" w:w="3175"/>
          </w:tcPr>
          <w:p>
            <w:pPr>
              <w:spacing w:after="0"/>
            </w:pPr>
            <w:r>
              <w:rPr>
                <w:b/>
                <w:i w:val="0"/>
                <w:sz w:val="16"/>
              </w:rPr>
              <w:t>Exit EV / adj. EBITDA</w:t>
            </w:r>
          </w:p>
        </w:tc>
        <w:tc>
          <w:tcPr>
            <w:tcW w:type="dxa" w:w="2268"/>
          </w:tcPr>
          <w:p>
            <w:pPr>
              <w:spacing w:after="0"/>
            </w:pPr>
            <w:r>
              <w:rPr>
                <w:b w:val="0"/>
                <w:i w:val="0"/>
                <w:sz w:val="16"/>
              </w:rPr>
              <w:t>4.00x</w:t>
            </w:r>
          </w:p>
        </w:tc>
        <w:tc>
          <w:tcPr>
            <w:tcW w:type="dxa" w:w="2324"/>
          </w:tcPr>
          <w:p>
            <w:pPr>
              <w:spacing w:after="0"/>
            </w:pPr>
            <w:r>
              <w:rPr>
                <w:b w:val="0"/>
                <w:i w:val="0"/>
                <w:sz w:val="16"/>
              </w:rPr>
              <w:t>6.00x</w:t>
            </w:r>
          </w:p>
        </w:tc>
        <w:tc>
          <w:tcPr>
            <w:tcW w:type="dxa" w:w="2324"/>
          </w:tcPr>
          <w:p>
            <w:pPr>
              <w:spacing w:after="0"/>
            </w:pPr>
            <w:r>
              <w:rPr>
                <w:b w:val="0"/>
                <w:i w:val="0"/>
                <w:sz w:val="16"/>
              </w:rPr>
              <w:t>8.00x</w:t>
            </w:r>
          </w:p>
        </w:tc>
      </w:tr>
      <w:tr>
        <w:tc>
          <w:tcPr>
            <w:tcW w:type="dxa" w:w="3175"/>
            <w:shd w:val="clear" w:color="auto" w:fill="F2F4F7"/>
          </w:tcPr>
          <w:p>
            <w:pPr>
              <w:spacing w:after="0"/>
            </w:pPr>
            <w:r>
              <w:rPr>
                <w:b/>
                <w:i w:val="0"/>
                <w:sz w:val="16"/>
              </w:rPr>
              <w:t>Cash credit (of $1.2bn)</w:t>
            </w:r>
          </w:p>
        </w:tc>
        <w:tc>
          <w:tcPr>
            <w:tcW w:type="dxa" w:w="2268"/>
            <w:shd w:val="clear" w:color="auto" w:fill="F2F4F7"/>
          </w:tcPr>
          <w:p>
            <w:pPr>
              <w:spacing w:after="0"/>
            </w:pPr>
            <w:r>
              <w:rPr>
                <w:b w:val="0"/>
                <w:i w:val="0"/>
                <w:sz w:val="16"/>
              </w:rPr>
              <w:t>50.0%</w:t>
            </w:r>
          </w:p>
        </w:tc>
        <w:tc>
          <w:tcPr>
            <w:tcW w:type="dxa" w:w="2324"/>
            <w:shd w:val="clear" w:color="auto" w:fill="F2F4F7"/>
          </w:tcPr>
          <w:p>
            <w:pPr>
              <w:spacing w:after="0"/>
            </w:pPr>
            <w:r>
              <w:rPr>
                <w:b w:val="0"/>
                <w:i w:val="0"/>
                <w:sz w:val="16"/>
              </w:rPr>
              <w:t>75.0%</w:t>
            </w:r>
          </w:p>
        </w:tc>
        <w:tc>
          <w:tcPr>
            <w:tcW w:type="dxa" w:w="2324"/>
            <w:shd w:val="clear" w:color="auto" w:fill="F2F4F7"/>
          </w:tcPr>
          <w:p>
            <w:pPr>
              <w:spacing w:after="0"/>
            </w:pPr>
            <w:r>
              <w:rPr>
                <w:b w:val="0"/>
                <w:i w:val="0"/>
                <w:sz w:val="16"/>
              </w:rPr>
              <w:t>100.0%</w:t>
            </w:r>
          </w:p>
        </w:tc>
      </w:tr>
      <w:tr>
        <w:tc>
          <w:tcPr>
            <w:tcW w:type="dxa" w:w="3175"/>
          </w:tcPr>
          <w:p>
            <w:pPr>
              <w:spacing w:after="0"/>
            </w:pPr>
            <w:r>
              <w:rPr>
                <w:b/>
                <w:i w:val="0"/>
                <w:sz w:val="16"/>
              </w:rPr>
              <w:t>NTM NC ($m)</w:t>
            </w:r>
          </w:p>
        </w:tc>
        <w:tc>
          <w:tcPr>
            <w:tcW w:type="dxa" w:w="2268"/>
          </w:tcPr>
          <w:p>
            <w:pPr>
              <w:spacing w:after="0"/>
            </w:pPr>
            <w:r>
              <w:rPr>
                <w:b w:val="0"/>
                <w:i w:val="0"/>
                <w:sz w:val="16"/>
              </w:rPr>
              <w:t>836</w:t>
            </w:r>
          </w:p>
        </w:tc>
        <w:tc>
          <w:tcPr>
            <w:tcW w:type="dxa" w:w="2324"/>
          </w:tcPr>
          <w:p>
            <w:pPr>
              <w:spacing w:after="0"/>
            </w:pPr>
            <w:r>
              <w:rPr>
                <w:b w:val="0"/>
                <w:i w:val="0"/>
                <w:sz w:val="16"/>
              </w:rPr>
              <w:t>1,003</w:t>
            </w:r>
          </w:p>
        </w:tc>
        <w:tc>
          <w:tcPr>
            <w:tcW w:type="dxa" w:w="2324"/>
          </w:tcPr>
          <w:p>
            <w:pPr>
              <w:spacing w:after="0"/>
            </w:pPr>
            <w:r>
              <w:rPr>
                <w:b w:val="0"/>
                <w:i w:val="0"/>
                <w:sz w:val="16"/>
              </w:rPr>
              <w:t>1,068</w:t>
            </w:r>
          </w:p>
        </w:tc>
      </w:tr>
      <w:tr>
        <w:tc>
          <w:tcPr>
            <w:tcW w:type="dxa" w:w="3175"/>
            <w:shd w:val="clear" w:color="auto" w:fill="F2F4F7"/>
          </w:tcPr>
          <w:p>
            <w:pPr>
              <w:spacing w:after="0"/>
            </w:pPr>
            <w:r>
              <w:rPr>
                <w:b/>
                <w:i w:val="0"/>
                <w:sz w:val="16"/>
              </w:rPr>
              <w:t>NTM adj. EBITDA ($m)</w:t>
            </w:r>
          </w:p>
        </w:tc>
        <w:tc>
          <w:tcPr>
            <w:tcW w:type="dxa" w:w="2268"/>
            <w:shd w:val="clear" w:color="auto" w:fill="F2F4F7"/>
          </w:tcPr>
          <w:p>
            <w:pPr>
              <w:spacing w:after="0"/>
            </w:pPr>
            <w:r>
              <w:rPr>
                <w:b w:val="0"/>
                <w:i w:val="0"/>
                <w:sz w:val="16"/>
              </w:rPr>
              <w:t>234</w:t>
            </w:r>
          </w:p>
        </w:tc>
        <w:tc>
          <w:tcPr>
            <w:tcW w:type="dxa" w:w="2324"/>
            <w:shd w:val="clear" w:color="auto" w:fill="F2F4F7"/>
          </w:tcPr>
          <w:p>
            <w:pPr>
              <w:spacing w:after="0"/>
            </w:pPr>
            <w:r>
              <w:rPr>
                <w:b w:val="0"/>
                <w:i w:val="0"/>
                <w:sz w:val="16"/>
              </w:rPr>
              <w:t>341</w:t>
            </w:r>
          </w:p>
        </w:tc>
        <w:tc>
          <w:tcPr>
            <w:tcW w:type="dxa" w:w="2324"/>
            <w:shd w:val="clear" w:color="auto" w:fill="F2F4F7"/>
          </w:tcPr>
          <w:p>
            <w:pPr>
              <w:spacing w:after="0"/>
            </w:pPr>
            <w:r>
              <w:rPr>
                <w:b w:val="0"/>
                <w:i w:val="0"/>
                <w:sz w:val="16"/>
              </w:rPr>
              <w:t>395</w:t>
            </w:r>
          </w:p>
        </w:tc>
      </w:tr>
      <w:tr>
        <w:tc>
          <w:tcPr>
            <w:tcW w:type="dxa" w:w="3175"/>
          </w:tcPr>
          <w:p>
            <w:pPr>
              <w:spacing w:after="0"/>
            </w:pPr>
            <w:r>
              <w:rPr>
                <w:b/>
                <w:i w:val="0"/>
                <w:sz w:val="16"/>
              </w:rPr>
              <w:t>Implied EV ($m)</w:t>
            </w:r>
          </w:p>
        </w:tc>
        <w:tc>
          <w:tcPr>
            <w:tcW w:type="dxa" w:w="2268"/>
          </w:tcPr>
          <w:p>
            <w:pPr>
              <w:spacing w:after="0"/>
            </w:pPr>
            <w:r>
              <w:rPr>
                <w:b w:val="0"/>
                <w:i w:val="0"/>
                <w:sz w:val="16"/>
              </w:rPr>
              <w:t>936</w:t>
            </w:r>
          </w:p>
        </w:tc>
        <w:tc>
          <w:tcPr>
            <w:tcW w:type="dxa" w:w="2324"/>
          </w:tcPr>
          <w:p>
            <w:pPr>
              <w:spacing w:after="0"/>
            </w:pPr>
            <w:r>
              <w:rPr>
                <w:b w:val="0"/>
                <w:i w:val="0"/>
                <w:sz w:val="16"/>
              </w:rPr>
              <w:t>2,047</w:t>
            </w:r>
          </w:p>
        </w:tc>
        <w:tc>
          <w:tcPr>
            <w:tcW w:type="dxa" w:w="2324"/>
          </w:tcPr>
          <w:p>
            <w:pPr>
              <w:spacing w:after="0"/>
            </w:pPr>
            <w:r>
              <w:rPr>
                <w:b w:val="0"/>
                <w:i w:val="0"/>
                <w:sz w:val="16"/>
              </w:rPr>
              <w:t>3,162</w:t>
            </w:r>
          </w:p>
        </w:tc>
      </w:tr>
      <w:tr>
        <w:tc>
          <w:tcPr>
            <w:tcW w:type="dxa" w:w="3175"/>
            <w:shd w:val="clear" w:color="auto" w:fill="F2F4F7"/>
          </w:tcPr>
          <w:p>
            <w:pPr>
              <w:spacing w:after="0"/>
            </w:pPr>
            <w:r>
              <w:rPr>
                <w:b/>
                <w:i w:val="0"/>
                <w:sz w:val="16"/>
              </w:rPr>
              <w:t>Implied equity ($m)</w:t>
            </w:r>
          </w:p>
        </w:tc>
        <w:tc>
          <w:tcPr>
            <w:tcW w:type="dxa" w:w="2268"/>
            <w:shd w:val="clear" w:color="auto" w:fill="F2F4F7"/>
          </w:tcPr>
          <w:p>
            <w:pPr>
              <w:spacing w:after="0"/>
            </w:pPr>
            <w:r>
              <w:rPr>
                <w:b w:val="0"/>
                <w:i w:val="0"/>
                <w:sz w:val="16"/>
              </w:rPr>
              <w:t>1,536</w:t>
            </w:r>
          </w:p>
        </w:tc>
        <w:tc>
          <w:tcPr>
            <w:tcW w:type="dxa" w:w="2324"/>
            <w:shd w:val="clear" w:color="auto" w:fill="F2F4F7"/>
          </w:tcPr>
          <w:p>
            <w:pPr>
              <w:spacing w:after="0"/>
            </w:pPr>
            <w:r>
              <w:rPr>
                <w:b w:val="0"/>
                <w:i w:val="0"/>
                <w:sz w:val="16"/>
              </w:rPr>
              <w:t>2,947</w:t>
            </w:r>
          </w:p>
        </w:tc>
        <w:tc>
          <w:tcPr>
            <w:tcW w:type="dxa" w:w="2324"/>
            <w:shd w:val="clear" w:color="auto" w:fill="F2F4F7"/>
          </w:tcPr>
          <w:p>
            <w:pPr>
              <w:spacing w:after="0"/>
            </w:pPr>
            <w:r>
              <w:rPr>
                <w:b w:val="0"/>
                <w:i w:val="0"/>
                <w:sz w:val="16"/>
              </w:rPr>
              <w:t>4,362</w:t>
            </w:r>
          </w:p>
        </w:tc>
      </w:tr>
      <w:tr>
        <w:tc>
          <w:tcPr>
            <w:tcW w:type="dxa" w:w="3175"/>
          </w:tcPr>
          <w:p>
            <w:pPr>
              <w:spacing w:after="0"/>
            </w:pPr>
            <w:r>
              <w:rPr>
                <w:b/>
                <w:i w:val="0"/>
                <w:sz w:val="16"/>
              </w:rPr>
              <w:t>Value per share</w:t>
            </w:r>
          </w:p>
        </w:tc>
        <w:tc>
          <w:tcPr>
            <w:tcW w:type="dxa" w:w="2268"/>
          </w:tcPr>
          <w:p>
            <w:pPr>
              <w:spacing w:after="0"/>
            </w:pPr>
            <w:r>
              <w:rPr>
                <w:b w:val="0"/>
                <w:i w:val="0"/>
                <w:sz w:val="16"/>
              </w:rPr>
              <w:t>$19.32</w:t>
            </w:r>
          </w:p>
        </w:tc>
        <w:tc>
          <w:tcPr>
            <w:tcW w:type="dxa" w:w="2324"/>
          </w:tcPr>
          <w:p>
            <w:pPr>
              <w:spacing w:after="0"/>
            </w:pPr>
            <w:r>
              <w:rPr>
                <w:b w:val="0"/>
                <w:i w:val="0"/>
                <w:sz w:val="16"/>
              </w:rPr>
              <w:t>$37.05</w:t>
            </w:r>
          </w:p>
        </w:tc>
        <w:tc>
          <w:tcPr>
            <w:tcW w:type="dxa" w:w="2324"/>
          </w:tcPr>
          <w:p>
            <w:pPr>
              <w:spacing w:after="0"/>
            </w:pPr>
            <w:r>
              <w:rPr>
                <w:b w:val="0"/>
                <w:i w:val="0"/>
                <w:sz w:val="16"/>
              </w:rPr>
              <w:t>$54.85</w:t>
            </w:r>
          </w:p>
        </w:tc>
      </w:tr>
      <w:tr>
        <w:tc>
          <w:tcPr>
            <w:tcW w:type="dxa" w:w="3175"/>
            <w:shd w:val="clear" w:color="auto" w:fill="FDF0E6"/>
          </w:tcPr>
          <w:p>
            <w:pPr>
              <w:spacing w:after="0"/>
            </w:pPr>
            <w:r>
              <w:rPr>
                <w:b/>
                <w:i w:val="0"/>
                <w:sz w:val="16"/>
              </w:rPr>
              <w:t>Return vs $26.40</w:t>
            </w:r>
          </w:p>
        </w:tc>
        <w:tc>
          <w:tcPr>
            <w:tcW w:type="dxa" w:w="2268"/>
            <w:shd w:val="clear" w:color="auto" w:fill="FDF0E6"/>
          </w:tcPr>
          <w:p>
            <w:pPr>
              <w:spacing w:after="0"/>
            </w:pPr>
            <w:r>
              <w:rPr>
                <w:b w:val="0"/>
                <w:i w:val="0"/>
                <w:sz w:val="16"/>
              </w:rPr>
              <w:t>-27%</w:t>
            </w:r>
          </w:p>
        </w:tc>
        <w:tc>
          <w:tcPr>
            <w:tcW w:type="dxa" w:w="2324"/>
            <w:shd w:val="clear" w:color="auto" w:fill="FDF0E6"/>
          </w:tcPr>
          <w:p>
            <w:pPr>
              <w:spacing w:after="0"/>
            </w:pPr>
            <w:r>
              <w:rPr>
                <w:b w:val="0"/>
                <w:i w:val="0"/>
                <w:sz w:val="16"/>
              </w:rPr>
              <w:t>+40%</w:t>
            </w:r>
          </w:p>
        </w:tc>
        <w:tc>
          <w:tcPr>
            <w:tcW w:type="dxa" w:w="2324"/>
            <w:shd w:val="clear" w:color="auto" w:fill="FDF0E6"/>
          </w:tcPr>
          <w:p>
            <w:pPr>
              <w:spacing w:after="0"/>
            </w:pPr>
            <w:r>
              <w:rPr>
                <w:b w:val="0"/>
                <w:i w:val="0"/>
                <w:sz w:val="16"/>
              </w:rPr>
              <w:t>+108%</w:t>
            </w:r>
          </w:p>
        </w:tc>
      </w:tr>
      <w:tr>
        <w:tc>
          <w:tcPr>
            <w:tcW w:type="dxa" w:w="3175"/>
          </w:tcPr>
          <w:p>
            <w:pPr>
              <w:spacing w:after="0"/>
            </w:pPr>
            <w:r>
              <w:rPr>
                <w:b/>
                <w:i w:val="0"/>
                <w:sz w:val="16"/>
              </w:rPr>
              <w:t>Probability weight</w:t>
            </w:r>
          </w:p>
        </w:tc>
        <w:tc>
          <w:tcPr>
            <w:tcW w:type="dxa" w:w="2268"/>
          </w:tcPr>
          <w:p>
            <w:pPr>
              <w:spacing w:after="0"/>
            </w:pPr>
            <w:r>
              <w:rPr>
                <w:b w:val="0"/>
                <w:i w:val="0"/>
                <w:sz w:val="16"/>
              </w:rPr>
              <w:t>25%</w:t>
            </w:r>
          </w:p>
        </w:tc>
        <w:tc>
          <w:tcPr>
            <w:tcW w:type="dxa" w:w="2324"/>
          </w:tcPr>
          <w:p>
            <w:pPr>
              <w:spacing w:after="0"/>
            </w:pPr>
            <w:r>
              <w:rPr>
                <w:b w:val="0"/>
                <w:i w:val="0"/>
                <w:sz w:val="16"/>
              </w:rPr>
              <w:t>50%</w:t>
            </w:r>
          </w:p>
        </w:tc>
        <w:tc>
          <w:tcPr>
            <w:tcW w:type="dxa" w:w="2324"/>
          </w:tcPr>
          <w:p>
            <w:pPr>
              <w:spacing w:after="0"/>
            </w:pPr>
            <w:r>
              <w:rPr>
                <w:b w:val="0"/>
                <w:i w:val="0"/>
                <w:sz w:val="16"/>
              </w:rPr>
              <w:t>25%</w:t>
            </w:r>
          </w:p>
        </w:tc>
      </w:tr>
    </w:tbl>
    <w:p>
      <w:pPr>
        <w:spacing w:after="40"/>
      </w:pPr>
    </w:p>
    <w:p>
      <w:r>
        <w:rPr>
          <w:b w:val="0"/>
          <w:i w:val="0"/>
        </w:rPr>
        <w:t xml:space="preserve">Probability-weighted value </w:t>
      </w:r>
      <w:r>
        <w:rPr>
          <w:b/>
          <w:i w:val="0"/>
        </w:rPr>
        <w:t>$37.07/share (+40%)</w:t>
      </w:r>
      <w:r>
        <w:rPr>
          <w:b w:val="0"/>
          <w:i w:val="0"/>
        </w:rPr>
        <w:t xml:space="preserve">. </w:t>
      </w:r>
      <w:r>
        <w:rPr>
          <w:b/>
          <w:i w:val="0"/>
        </w:rPr>
        <w:t>Bear:</w:t>
      </w:r>
      <w:r>
        <w:rPr>
          <w:b w:val="0"/>
          <w:i w:val="0"/>
        </w:rPr>
        <w:t xml:space="preserve"> a volatility and crypto slump (-10% NC, 28% margin, 4x, half cash credit), close to the Q2 24 trough margins. </w:t>
      </w:r>
      <w:r>
        <w:rPr>
          <w:b/>
          <w:i w:val="0"/>
        </w:rPr>
        <w:t>Base:</w:t>
      </w:r>
      <w:r>
        <w:rPr>
          <w:b w:val="0"/>
          <w:i w:val="0"/>
        </w:rPr>
        <w:t xml:space="preserve"> FY25-like growth (+8%), the LTM-range margin (34%) and 6x, still below Plus500's 7.3x. </w:t>
      </w:r>
      <w:r>
        <w:rPr>
          <w:b/>
          <w:i w:val="0"/>
        </w:rPr>
        <w:t>Bull:</w:t>
      </w:r>
      <w:r>
        <w:rPr>
          <w:b w:val="0"/>
          <w:i w:val="0"/>
        </w:rPr>
        <w:t xml:space="preserve"> the H1 26 pace is sustained (+15%, 37%, 8x, full cash credit). Not modelled: TradeZero, option dilution (up to 91.4m shares) and buybacks. At diluted shares the base value falls to ~$32.25.</w:t>
      </w:r>
    </w:p>
    <w:p>
      <w:pPr>
        <w:pStyle w:val="Heading1"/>
      </w:pPr>
      <w:r>
        <w:t>10. Recommendation</w:t>
      </w:r>
    </w:p>
    <w:p>
      <w:r>
        <w:rPr>
          <w:b/>
          <w:i w:val="0"/>
        </w:rPr>
        <w:t>Durable competitive advantage? No.</w:t>
      </w:r>
      <w:r>
        <w:rPr>
          <w:b w:val="0"/>
          <w:i w:val="0"/>
        </w:rPr>
        <w:t xml:space="preserve"> eToro rates Moderate at best in three of four moat categories and Weak on switching costs. Its one distinctive asset, the social/copy network, is unproven on audited data. No peer does better than Moderate either, so this is a sector condition, not an eToro-specific failing.</w:t>
      </w:r>
    </w:p>
    <w:p>
      <w:r>
        <w:rPr>
          <w:b/>
          <w:i w:val="0"/>
        </w:rPr>
        <w:t>Price: modestly undervalued.</w:t>
      </w:r>
      <w:r>
        <w:rPr>
          <w:b w:val="0"/>
          <w:i w:val="0"/>
        </w:rPr>
        <w:t xml:space="preserve"> Central EV/EBITDA is 4.3x vs Plus500's 7.3x, and P/E is 8.1x vs a peer median of 11.9x. The base-case value is $37.05 (+40%). The M&amp;A checks bracket the market ($1.3bn–$3.5bn). The discount is the market pricing cyclicality, execution load and cash opacity. It is not a mispricing of a quality franchise.</w:t>
      </w:r>
    </w:p>
    <w:p>
      <w:r>
        <w:rPr>
          <w:b/>
          <w:i w:val="0"/>
        </w:rPr>
        <w:t>Do the scorecard and the valuation agree? No, and that conflict is the conclusion.</w:t>
      </w:r>
      <w:r>
        <w:rPr>
          <w:b w:val="0"/>
          <w:i w:val="0"/>
        </w:rPr>
        <w:t xml:space="preserve"> The valuation test passes while six durability tests are CAUTION and one FAILs. eToro is a trading-volume and rates business that is cheap for identifiable reasons. Upside needs volumes to hold and the cash question to resolve in eToro's favour.</w:t>
      </w:r>
    </w:p>
    <w:p>
      <w:r>
        <w:rPr>
          <w:b/>
          <w:i w:val="0"/>
        </w:rPr>
        <w:t>What would change the view:</w:t>
      </w:r>
      <w:r>
        <w:rPr>
          <w:b w:val="0"/>
          <w:i w:val="0"/>
        </w:rPr>
        <w:t xml:space="preserve"> (i) disclosure of free corporate cash net of regulatory capital (±$0.6bn of EV); (ii) audited cohort or retention data supporting the social network effect; (iii) the ASIC judgment; (iv) TradeZero final terms and integration.</w:t>
      </w:r>
    </w:p>
    <w:p>
      <w:r>
        <w:rPr>
          <w:b/>
          <w:i w:val="0"/>
        </w:rPr>
        <w:t>Read-across for IG (flagged conflict):</w:t>
      </w:r>
      <w:r>
        <w:rPr>
          <w:b w:val="0"/>
          <w:i w:val="0"/>
        </w:rPr>
        <w:t xml:space="preserve"> eToro is not the scale threat in this set; Webull, Trading 212 and XTB are growing faster into overlapping markets. eToro's most relevant overlap with IG is Australia, where both it and Trading 212 are active.</w:t>
      </w:r>
    </w:p>
    <w:p>
      <w:pPr>
        <w:pStyle w:val="Heading1"/>
      </w:pPr>
      <w:r>
        <w:t>11. Risk factors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54"/>
        <w:gridCol w:w="7937"/>
      </w:tblGrid>
      <w:tr>
        <w:tc>
          <w:tcPr>
            <w:tcW w:type="dxa" w:w="2154"/>
            <w:shd w:val="clear" w:color="auto" w:fill="1F3A5F"/>
          </w:tcPr>
          <w:p>
            <w:pPr>
              <w:spacing w:after="0"/>
            </w:pPr>
            <w:r>
              <w:rPr>
                <w:b/>
                <w:i w:val="0"/>
                <w:color w:val="FFFFFF"/>
                <w:sz w:val="16"/>
              </w:rPr>
              <w:t>Category</w:t>
            </w:r>
          </w:p>
        </w:tc>
        <w:tc>
          <w:tcPr>
            <w:tcW w:type="dxa" w:w="7937"/>
            <w:shd w:val="clear" w:color="auto" w:fill="1F3A5F"/>
          </w:tcPr>
          <w:p>
            <w:pPr>
              <w:spacing w:after="0"/>
            </w:pPr>
            <w:r>
              <w:rPr>
                <w:b/>
                <w:i w:val="0"/>
                <w:color w:val="FFFFFF"/>
                <w:sz w:val="16"/>
              </w:rPr>
              <w:t>Risk</w:t>
            </w:r>
          </w:p>
        </w:tc>
      </w:tr>
      <w:tr>
        <w:tc>
          <w:tcPr>
            <w:tcW w:type="dxa" w:w="2154"/>
          </w:tcPr>
          <w:p>
            <w:pPr>
              <w:spacing w:after="0"/>
            </w:pPr>
            <w:r>
              <w:rPr>
                <w:b/>
                <w:i w:val="0"/>
                <w:sz w:val="16"/>
              </w:rPr>
              <w:t>Regulatory</w:t>
            </w:r>
          </w:p>
        </w:tc>
        <w:tc>
          <w:tcPr>
            <w:tcW w:type="dxa" w:w="7937"/>
          </w:tcPr>
          <w:p>
            <w:pPr>
              <w:spacing w:after="0"/>
            </w:pPr>
            <w:r>
              <w:rPr>
                <w:b w:val="0"/>
                <w:i w:val="0"/>
                <w:sz w:val="16"/>
              </w:rPr>
              <w:t>ASIC v eToro Aus Capital (DDO, CFD target market; ~20,000 clients lost money in 2021–23): penalty exposure N/D. Changing CFD, crypto (MiCA) and prediction-market rules. TradeZero needs US approval. US commodities access is guided, not licensed.</w:t>
            </w:r>
          </w:p>
        </w:tc>
      </w:tr>
      <w:tr>
        <w:tc>
          <w:tcPr>
            <w:tcW w:type="dxa" w:w="2154"/>
            <w:shd w:val="clear" w:color="auto" w:fill="F2F4F7"/>
          </w:tcPr>
          <w:p>
            <w:pPr>
              <w:spacing w:after="0"/>
            </w:pPr>
            <w:r>
              <w:rPr>
                <w:b/>
                <w:i w:val="0"/>
                <w:sz w:val="16"/>
              </w:rPr>
              <w:t>Execution</w:t>
            </w:r>
          </w:p>
        </w:tc>
        <w:tc>
          <w:tcPr>
            <w:tcW w:type="dxa" w:w="7937"/>
            <w:shd w:val="clear" w:color="auto" w:fill="F2F4F7"/>
          </w:tcPr>
          <w:p>
            <w:pPr>
              <w:spacing w:after="0"/>
            </w:pPr>
            <w:r>
              <w:rPr>
                <w:b w:val="0"/>
                <w:i w:val="0"/>
                <w:sz w:val="16"/>
              </w:rPr>
              <w:t>Eight concurrent initiatives. App migration from 4 Oct 2026 carries client-experience risk. TradeZero integration from H1 27. Marketing step-up to 25% of NC. Headcount ~1,500 after a 7% cut.</w:t>
            </w:r>
          </w:p>
        </w:tc>
      </w:tr>
      <w:tr>
        <w:tc>
          <w:tcPr>
            <w:tcW w:type="dxa" w:w="2154"/>
          </w:tcPr>
          <w:p>
            <w:pPr>
              <w:spacing w:after="0"/>
            </w:pPr>
            <w:r>
              <w:rPr>
                <w:b/>
                <w:i w:val="0"/>
                <w:sz w:val="16"/>
              </w:rPr>
              <w:t>Financial reporting and data quality</w:t>
            </w:r>
          </w:p>
        </w:tc>
        <w:tc>
          <w:tcPr>
            <w:tcW w:type="dxa" w:w="7937"/>
          </w:tcPr>
          <w:p>
            <w:pPr>
              <w:spacing w:after="0"/>
            </w:pPr>
            <w:r>
              <w:rPr>
                <w:b w:val="0"/>
                <w:i w:val="0"/>
                <w:sz w:val="16"/>
              </w:rPr>
              <w:t>Non-GAAP headline metrics. The gross 'total revenues' line is dominated by crypto pass-through. Conflicting press figures (-11% vs +9% vs -24%). Derived quarters. All figures in this thesis are from search summaries, not primary filings.</w:t>
            </w:r>
          </w:p>
        </w:tc>
      </w:tr>
      <w:tr>
        <w:tc>
          <w:tcPr>
            <w:tcW w:type="dxa" w:w="2154"/>
            <w:shd w:val="clear" w:color="auto" w:fill="F2F4F7"/>
          </w:tcPr>
          <w:p>
            <w:pPr>
              <w:spacing w:after="0"/>
            </w:pPr>
            <w:r>
              <w:rPr>
                <w:b/>
                <w:i w:val="0"/>
                <w:sz w:val="16"/>
              </w:rPr>
              <w:t>Earnings durability and cyclicality</w:t>
            </w:r>
          </w:p>
        </w:tc>
        <w:tc>
          <w:tcPr>
            <w:tcW w:type="dxa" w:w="7937"/>
            <w:shd w:val="clear" w:color="auto" w:fill="F2F4F7"/>
          </w:tcPr>
          <w:p>
            <w:pPr>
              <w:spacing w:after="0"/>
            </w:pPr>
            <w:r>
              <w:rPr>
                <w:b w:val="0"/>
                <w:i w:val="0"/>
                <w:sz w:val="16"/>
              </w:rPr>
              <w:t>The earnings engine has rotated from crypto to commodities to equities within six quarters. NII ($49m/qtr) depends on rates. August AUA growth +3% YoY. Q4 25 NC fell 10% YoY against the crypto-heavy Q4 24.</w:t>
            </w:r>
          </w:p>
        </w:tc>
      </w:tr>
      <w:tr>
        <w:tc>
          <w:tcPr>
            <w:tcW w:type="dxa" w:w="2154"/>
          </w:tcPr>
          <w:p>
            <w:pPr>
              <w:spacing w:after="0"/>
            </w:pPr>
            <w:r>
              <w:rPr>
                <w:b/>
                <w:i w:val="0"/>
                <w:sz w:val="16"/>
              </w:rPr>
              <w:t>Capital structure and instrument</w:t>
            </w:r>
          </w:p>
        </w:tc>
        <w:tc>
          <w:tcPr>
            <w:tcW w:type="dxa" w:w="7937"/>
          </w:tcPr>
          <w:p>
            <w:pPr>
              <w:spacing w:after="0"/>
            </w:pPr>
            <w:r>
              <w:rPr>
                <w:b w:val="0"/>
                <w:i w:val="0"/>
                <w:sz w:val="16"/>
              </w:rPr>
              <w:t>Dual-class shares (Class B). Share count unresolved (79.5m–91.4m). Cash composition undisclosed. Share-funded M&amp;A (up to 2.5m shares) follows a buyback.</w:t>
            </w:r>
          </w:p>
        </w:tc>
      </w:tr>
      <w:tr>
        <w:tc>
          <w:tcPr>
            <w:tcW w:type="dxa" w:w="2154"/>
            <w:shd w:val="clear" w:color="auto" w:fill="F2F4F7"/>
          </w:tcPr>
          <w:p>
            <w:pPr>
              <w:spacing w:after="0"/>
            </w:pPr>
            <w:r>
              <w:rPr>
                <w:b/>
                <w:i w:val="0"/>
                <w:sz w:val="16"/>
              </w:rPr>
              <w:t>Competitive and market</w:t>
            </w:r>
          </w:p>
        </w:tc>
        <w:tc>
          <w:tcPr>
            <w:tcW w:type="dxa" w:w="7937"/>
            <w:shd w:val="clear" w:color="auto" w:fill="F2F4F7"/>
          </w:tcPr>
          <w:p>
            <w:pPr>
              <w:spacing w:after="0"/>
            </w:pPr>
            <w:r>
              <w:rPr>
                <w:b w:val="0"/>
                <w:i w:val="0"/>
                <w:sz w:val="16"/>
              </w:rPr>
              <w:t>Webull (EEA), Trading 212 (Australia), XTB (marketing +50%) and Robinhood (EU perps, UK crypto) are all expanding into eToro's core markets. Commission compression to zero. Substitution into prediction markets and crypto-native venues.</w:t>
            </w:r>
          </w:p>
        </w:tc>
      </w:tr>
      <w:tr>
        <w:tc>
          <w:tcPr>
            <w:tcW w:type="dxa" w:w="2154"/>
          </w:tcPr>
          <w:p>
            <w:pPr>
              <w:spacing w:after="0"/>
            </w:pPr>
            <w:r>
              <w:rPr>
                <w:b/>
                <w:i w:val="0"/>
                <w:sz w:val="16"/>
              </w:rPr>
              <w:t>Concentration and governance</w:t>
            </w:r>
          </w:p>
        </w:tc>
        <w:tc>
          <w:tcPr>
            <w:tcW w:type="dxa" w:w="7937"/>
          </w:tcPr>
          <w:p>
            <w:pPr>
              <w:spacing w:after="0"/>
            </w:pPr>
            <w:r>
              <w:rPr>
                <w:b w:val="0"/>
                <w:i w:val="0"/>
                <w:sz w:val="16"/>
              </w:rPr>
              <w:t>Founder-led, with a CEO holding 9.3% of votes. A history of a reversed flagship decision (SPAC). Revenue concentration by product swings quarter to quarter.</w:t>
            </w:r>
          </w:p>
        </w:tc>
      </w:tr>
      <w:tr>
        <w:tc>
          <w:tcPr>
            <w:tcW w:type="dxa" w:w="2154"/>
            <w:shd w:val="clear" w:color="auto" w:fill="F2F4F7"/>
          </w:tcPr>
          <w:p>
            <w:pPr>
              <w:spacing w:after="0"/>
            </w:pPr>
            <w:r>
              <w:rPr>
                <w:b/>
                <w:i w:val="0"/>
                <w:sz w:val="16"/>
              </w:rPr>
              <w:t>Liquidity</w:t>
            </w:r>
          </w:p>
        </w:tc>
        <w:tc>
          <w:tcPr>
            <w:tcW w:type="dxa" w:w="7937"/>
            <w:shd w:val="clear" w:color="auto" w:fill="F2F4F7"/>
          </w:tcPr>
          <w:p>
            <w:pPr>
              <w:spacing w:after="0"/>
            </w:pPr>
            <w:r>
              <w:rPr>
                <w:b w:val="0"/>
                <w:i w:val="0"/>
                <w:sz w:val="16"/>
              </w:rPr>
              <w:t>Share price is 49% below the IPO price. Daily volume ~0.8m shares (aggregator), roughly $22m a day, which may constrain large positions. The dual-class structure limits governance influence.</w:t>
            </w:r>
          </w:p>
        </w:tc>
      </w:tr>
      <w:tr>
        <w:tc>
          <w:tcPr>
            <w:tcW w:type="dxa" w:w="2154"/>
          </w:tcPr>
          <w:p>
            <w:pPr>
              <w:spacing w:after="0"/>
            </w:pPr>
            <w:r>
              <w:rPr>
                <w:b/>
                <w:i w:val="0"/>
                <w:sz w:val="16"/>
              </w:rPr>
              <w:t>Conflict of interest (this analysis)</w:t>
            </w:r>
          </w:p>
        </w:tc>
        <w:tc>
          <w:tcPr>
            <w:tcW w:type="dxa" w:w="7937"/>
          </w:tcPr>
          <w:p>
            <w:pPr>
              <w:spacing w:after="0"/>
            </w:pPr>
            <w:r>
              <w:rPr>
                <w:b w:val="0"/>
                <w:i w:val="0"/>
                <w:sz w:val="16"/>
              </w:rPr>
              <w:t>Prepared within IG Group, a direct competitor. Peer selection and moat judgments should be read with that in mind.</w:t>
            </w:r>
          </w:p>
        </w:tc>
      </w:tr>
    </w:tbl>
    <w:p>
      <w:pPr>
        <w:spacing w:after="40"/>
      </w:pPr>
    </w:p>
    <w:p>
      <w:pPr>
        <w:pStyle w:val="Heading1"/>
      </w:pPr>
      <w:r>
        <w:t>12. Sources, data-quality notes and disclaimer</w:t>
      </w:r>
    </w:p>
    <w:p>
      <w:r>
        <w:rPr>
          <w:b/>
          <w:i w:val="0"/>
          <w:sz w:val="17"/>
        </w:rPr>
        <w:t>Access limitation:</w:t>
      </w:r>
      <w:r>
        <w:rPr>
          <w:b w:val="0"/>
          <w:i w:val="0"/>
          <w:sz w:val="17"/>
        </w:rPr>
        <w:t xml:space="preserve"> WebFetch was blocked by the session's egress proxy for every domain attempted. All figures were taken from web-search result summaries of the URLs below. Source basis: CO = company disclosure (via summary); PR = press; AGG = aggregator or market-data site. The full per-figure log is in the workbook 'Inputs' sheet and in working/research-notes.md.</w:t>
      </w:r>
    </w:p>
    <w:p>
      <w:pPr>
        <w:pStyle w:val="ListBullet"/>
        <w:spacing w:after="30"/>
      </w:pPr>
      <w:r>
        <w:rPr>
          <w:rFonts w:ascii="Arial" w:hAnsi="Arial"/>
          <w:b w:val="0"/>
          <w:i w:val="0"/>
          <w:sz w:val="16"/>
        </w:rPr>
        <w:t>eToro results releases Q1 2025 to Q2 2026 and the FY25 release: investors.etoro.com; nasdaq.com press releases (CO)</w:t>
      </w:r>
    </w:p>
    <w:p>
      <w:pPr>
        <w:pStyle w:val="ListBullet"/>
        <w:spacing w:after="30"/>
      </w:pPr>
      <w:r>
        <w:rPr>
          <w:rFonts w:ascii="Arial" w:hAnsi="Arial"/>
          <w:b w:val="0"/>
          <w:i w:val="0"/>
          <w:sz w:val="16"/>
        </w:rPr>
        <w:t>eToro 20-F FY2025 and 6-K filings: sec.gov/Archives/edgar/data/1493318 (CO, via summary)</w:t>
      </w:r>
    </w:p>
    <w:p>
      <w:pPr>
        <w:pStyle w:val="ListBullet"/>
        <w:spacing w:after="30"/>
      </w:pPr>
      <w:r>
        <w:rPr>
          <w:rFonts w:ascii="Arial" w:hAnsi="Arial"/>
          <w:b w:val="0"/>
          <w:i w:val="0"/>
          <w:sz w:val="16"/>
        </w:rPr>
        <w:t>eToro IPO: cnbc.com (13–14 May 2025); investmentnews.com (PR). SPAC termination: coindesk.com (5 Jul 2022). 2023 round: techcrunch.com (PR)</w:t>
      </w:r>
    </w:p>
    <w:p>
      <w:pPr>
        <w:pStyle w:val="ListBullet"/>
        <w:spacing w:after="30"/>
      </w:pPr>
      <w:r>
        <w:rPr>
          <w:rFonts w:ascii="Arial" w:hAnsi="Arial"/>
          <w:b w:val="0"/>
          <w:i w:val="0"/>
          <w:sz w:val="16"/>
        </w:rPr>
        <w:t>TradeZero: finance.yahoo.com, calcalistech.com (CO/PR). Q2 26 mix: investing.com slides summary (PR). Crypto: coindesk.com, born2invest.com (PR)</w:t>
      </w:r>
    </w:p>
    <w:p>
      <w:pPr>
        <w:pStyle w:val="ListBullet"/>
        <w:spacing w:after="30"/>
      </w:pPr>
      <w:r>
        <w:rPr>
          <w:rFonts w:ascii="Arial" w:hAnsi="Arial"/>
          <w:b w:val="0"/>
          <w:i w:val="0"/>
          <w:sz w:val="16"/>
        </w:rPr>
        <w:t>ASIC v eToro: asic.gov.au media release 23-204MR (regulator)</w:t>
      </w:r>
    </w:p>
    <w:p>
      <w:pPr>
        <w:pStyle w:val="ListBullet"/>
        <w:spacing w:after="30"/>
      </w:pPr>
      <w:r>
        <w:rPr>
          <w:rFonts w:ascii="Arial" w:hAnsi="Arial"/>
          <w:b w:val="0"/>
          <w:i w:val="0"/>
          <w:sz w:val="16"/>
        </w:rPr>
        <w:t>IG Group CY25 and H1 26 results, Underdog RNS: iggroup.com; financemagnates.com; investing.com (CO/PR). Freetrade: cnbc.com, etfstream.com (PR)</w:t>
      </w:r>
    </w:p>
    <w:p>
      <w:pPr>
        <w:pStyle w:val="ListBullet"/>
        <w:spacing w:after="30"/>
      </w:pPr>
      <w:r>
        <w:rPr>
          <w:rFonts w:ascii="Arial" w:hAnsi="Arial"/>
          <w:b w:val="0"/>
          <w:i w:val="0"/>
          <w:sz w:val="16"/>
        </w:rPr>
        <w:t>Plus500 FY25/H1 26: tradeinformer.com, financemagnates.com (CO/PR). Webull: sec.gov 6-K, barchart.com, finance.yahoo.com (CO/PR)</w:t>
      </w:r>
    </w:p>
    <w:p>
      <w:pPr>
        <w:pStyle w:val="ListBullet"/>
        <w:spacing w:after="30"/>
      </w:pPr>
      <w:r>
        <w:rPr>
          <w:rFonts w:ascii="Arial" w:hAnsi="Arial"/>
          <w:b w:val="0"/>
          <w:i w:val="0"/>
          <w:sz w:val="16"/>
        </w:rPr>
        <w:t>XTB FY25/H1 26: fxnewsgroup.com (current report 18/2026), financemagnates.com (CO/PR). Trading 212: financefeeds.com (Companies House filing), medianet.com.au (CO/PR)</w:t>
      </w:r>
    </w:p>
    <w:p>
      <w:pPr>
        <w:pStyle w:val="ListBullet"/>
        <w:spacing w:after="30"/>
      </w:pPr>
      <w:r>
        <w:rPr>
          <w:rFonts w:ascii="Arial" w:hAnsi="Arial"/>
          <w:b w:val="0"/>
          <w:i w:val="0"/>
          <w:sz w:val="16"/>
        </w:rPr>
        <w:t>Swissquote: investing.com, financemagnates.com, fxnewsgroup.com (CO/PR). Saxo: financefeeds.com, home.saxo (CO/PR)</w:t>
      </w:r>
    </w:p>
    <w:p>
      <w:pPr>
        <w:pStyle w:val="ListBullet"/>
        <w:spacing w:after="30"/>
      </w:pPr>
      <w:r>
        <w:rPr>
          <w:rFonts w:ascii="Arial" w:hAnsi="Arial"/>
          <w:b w:val="0"/>
          <w:i w:val="0"/>
          <w:sz w:val="16"/>
        </w:rPr>
        <w:t>Market data (prices, market caps, share counts) and FX: stockanalysis.com, investing.com, mtfxgroup.com (AGG)</w:t>
      </w:r>
    </w:p>
    <w:p>
      <w:pPr>
        <w:pStyle w:val="ListBullet"/>
        <w:spacing w:after="30"/>
      </w:pPr>
      <w:r>
        <w:rPr>
          <w:rFonts w:ascii="Arial" w:hAnsi="Arial"/>
          <w:b w:val="0"/>
          <w:i w:val="0"/>
          <w:sz w:val="16"/>
        </w:rPr>
        <w:t>Market sizing: grandviewresearch.com, fortunebusinessinsights.com, marketresearchfuture.com, researchandmarkets.com, expertmarketresearch.com (AGG, not corroborated)</w:t>
      </w:r>
    </w:p>
    <w:p>
      <w:r>
        <w:rPr>
          <w:b/>
          <w:i w:val="0"/>
          <w:sz w:val="17"/>
        </w:rPr>
        <w:t>Changes since the competitor checkpoint:</w:t>
      </w:r>
      <w:r>
        <w:rPr>
          <w:b w:val="0"/>
          <w:i w:val="0"/>
          <w:sz w:val="17"/>
        </w:rPr>
        <w:t xml:space="preserve"> (1) LTM NC is $929m (was $928m), LTM adj. EBITDA $352m (was $351m) and LTM NI $260.8m (was $261m), now using the disclosed Q4 25 NC of $227m rather than a derived figure. (2) The market-cap range is $2.10–2.41bn (was $1.85–2.10bn) after the 70.04m share count was rejected against the 20-F. (3) EV is now $0.90–2.41bn across all cases, with a central $1.50bn (the checkpoint showed $0.65–0.90bn at full cash credit only). (4) The Swissquote price discrepancy is resolved. (5) Added: Q4 25 funded-account conflict (3.85m vs 3.81m) and a headcount correction (~1,500, not the aggregator's 2.7k).</w:t>
      </w:r>
    </w:p>
    <w:tbl>
      <w:tblPr>
        <w:tblW w:type="auto" w:w="0"/>
        <w:tblLook w:firstColumn="1" w:firstRow="1" w:lastColumn="0" w:lastRow="0" w:noHBand="0" w:noVBand="1" w:val="04A0"/>
        <w:tblBorders>
          <w:top w:val="single" w:sz="4" w:color="1F3A5F"/>
          <w:left w:val="single" w:sz="4" w:color="1F3A5F"/>
          <w:bottom w:val="single" w:sz="4" w:color="1F3A5F"/>
          <w:right w:val="single" w:sz="4" w:color="1F3A5F"/>
          <w:insideH w:val="single" w:sz="4" w:color="1F3A5F"/>
          <w:insideV w:val="single" w:sz="4" w:color="1F3A5F"/>
        </w:tblBorders>
      </w:tblPr>
      <w:tblGrid>
        <w:gridCol w:w="10092"/>
      </w:tblGrid>
      <w:tr>
        <w:tc>
          <w:tcPr>
            <w:tcW w:type="dxa" w:w="10091"/>
            <w:shd w:val="clear" w:color="auto" w:fill="F2F2F2"/>
          </w:tcPr>
          <w:p>
            <w:r>
              <w:rPr>
                <w:b/>
                <w:i w:val="0"/>
                <w:color w:val="595959"/>
                <w:sz w:val="21"/>
              </w:rPr>
              <w:t>Disclaimer</w:t>
            </w:r>
          </w:p>
          <w:p>
            <w:pPr>
              <w:spacing w:after="30"/>
            </w:pPr>
            <w:r>
              <w:rPr>
                <w:b w:val="0"/>
                <w:i w:val="0"/>
                <w:sz w:val="18"/>
              </w:rPr>
              <w:t>This document is independent analytical work product prepared for internal discussion within IG. It is not financial, legal or tax advice and not a recommendation to invest in, or transact in, any security. It has not been verified with eToro Group Ltd, TradeZero or any arranger or adviser. It must be read alongside the primary documents (eToro's 20-F, 6-K filings and prospectus), which were not directly accessible when it was prepared. External figures come from company disclosures, press and data aggregators as labelled, via search summaries. Figures that could not be sourced are marked N/D. The author's employer, IG Group, competes with the companies discussed.</w:t>
            </w:r>
          </w:p>
        </w:tc>
      </w:tr>
    </w:tbl>
    <w:p>
      <w:pPr>
        <w:spacing w:after="40"/>
      </w:pPr>
    </w:p>
    <w:sectPr w:rsidR="00FC693F" w:rsidRPr="0006063C" w:rsidSect="00034616">
      <w:footerReference w:type="default" r:id="rId9"/>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Confidential – for internal discussion  |  eToro Group Ltd competitive thesis  |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Arial"/>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