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0"/>
        <w:jc w:val="both"/>
      </w:pPr>
    </w:p>
    <w:p>
      <w:pPr>
        <w:spacing w:line="360" w:lineRule="auto" w:before="0" w:after="200"/>
        <w:jc w:val="center"/>
      </w:pPr>
      <w:r>
        <w:rPr>
          <w:rFonts w:ascii="Arial" w:hAnsi="Arial" w:eastAsia="黑体"/>
          <w:b/>
          <w:i w:val="0"/>
          <w:sz w:val="48"/>
        </w:rPr>
        <w:t>精神分析在金融交易中的研究</w:t>
      </w:r>
    </w:p>
    <w:p>
      <w:pPr>
        <w:spacing w:line="360" w:lineRule="auto" w:before="0" w:after="800"/>
        <w:jc w:val="center"/>
      </w:pPr>
      <w:r>
        <w:rPr>
          <w:rFonts w:ascii="Arial" w:hAnsi="Arial" w:eastAsia="黑体"/>
          <w:b w:val="0"/>
          <w:i w:val="0"/>
          <w:sz w:val="27"/>
        </w:rPr>
        <w:t>——从弗洛伊德到情绪金融，再到拉康式政治经济学</w:t>
      </w:r>
    </w:p>
    <w:p>
      <w:pPr>
        <w:spacing w:line="360" w:lineRule="auto" w:before="0" w:after="1800"/>
        <w:jc w:val="center"/>
      </w:pPr>
      <w:r>
        <w:rPr>
          <w:rFonts w:ascii="Times New Roman" w:hAnsi="Times New Roman" w:eastAsia="宋体"/>
          <w:b w:val="0"/>
          <w:i w:val="0"/>
          <w:sz w:val="28"/>
        </w:rPr>
        <w:t>一份批判性综述</w:t>
      </w:r>
    </w:p>
    <w:p>
      <w:pPr>
        <w:spacing w:line="360" w:lineRule="auto" w:before="0" w:after="0"/>
        <w:jc w:val="center"/>
      </w:pPr>
      <w:r>
        <w:rPr>
          <w:rFonts w:ascii="Times New Roman" w:hAnsi="Times New Roman" w:eastAsia="宋体"/>
          <w:b w:val="0"/>
          <w:i w:val="0"/>
          <w:sz w:val="24"/>
        </w:rPr>
        <w:t>叨客宁宁</w:t>
      </w:r>
    </w:p>
    <w:p>
      <w:r>
        <w:br w:type="page"/>
      </w:r>
    </w:p>
    <w:p>
      <w:pPr>
        <w:keepNext/>
        <w:spacing w:before="280" w:after="160" w:line="312" w:lineRule="auto"/>
      </w:pPr>
      <w:r>
        <w:rPr>
          <w:rFonts w:ascii="Arial" w:hAnsi="Arial" w:eastAsia="黑体"/>
          <w:b/>
          <w:i w:val="0"/>
          <w:sz w:val="32"/>
        </w:rPr>
        <w:t>摘要</w:t>
      </w:r>
    </w:p>
    <w:p>
      <w:pPr>
        <w:spacing w:line="360" w:lineRule="auto" w:before="0" w:after="120"/>
        <w:ind w:firstLine="420"/>
        <w:jc w:val="both"/>
      </w:pPr>
      <w:r>
        <w:rPr>
          <w:rFonts w:ascii="Times New Roman" w:hAnsi="Times New Roman" w:eastAsia="宋体"/>
          <w:b w:val="0"/>
          <w:i w:val="0"/>
          <w:sz w:val="21"/>
        </w:rPr>
        <w:t>金融交易长期被两种叙事支配：一种是教科书里的理性人，一种是行为金融里“有偏差的人”。两者共享一个前提——情绪与无意识即便被承认，也只被当作需要被识别、被纠正的噪音。本文梳理第三条路径：以精神分析的无意识理论来解释交易与市场行为。它不满足于罗列偏差，而是追问欲望从哪里来、为什么明知故犯、为什么亏损会反复。文章沿五条研究路线展开：金钱的精神分析学（弗洛伊德、亚伯拉罕、费伦齐一脉）、群体心理学与泡沫的情感轨迹（勒庞、弗洛伊德、比昂）、情绪金融这一独立范式（Tuckett 与 Taffler）、交易者病理（贪婪、成瘾与赌博的重合）、以及拉康取向的政治经济学（Žižek、Pignot、Bjerg）。在此之上，本文把精神分析的主张与行为金融、神经金融的证据并置，逐条评估其可检验性与证据强度，并给出可复现实验建议。结论是克制的：精神分析在“机制解释”上提供了别处没有的深度，在“预测能力”上仍弱于行为金融，它的价值取决于能否把临床概念翻译成可测量、可反驳的命题。</w:t>
      </w:r>
    </w:p>
    <w:p>
      <w:pPr>
        <w:spacing w:line="360" w:lineRule="auto" w:before="0" w:after="120"/>
        <w:jc w:val="both"/>
      </w:pPr>
      <w:r>
        <w:rPr>
          <w:rFonts w:ascii="Times New Roman" w:hAnsi="Times New Roman" w:eastAsia="宋体"/>
          <w:b/>
          <w:i w:val="0"/>
          <w:sz w:val="21"/>
        </w:rPr>
        <w:t>关键词</w:t>
      </w:r>
      <w:r>
        <w:rPr>
          <w:rFonts w:ascii="Times New Roman" w:hAnsi="Times New Roman" w:eastAsia="宋体"/>
          <w:b w:val="0"/>
          <w:i w:val="0"/>
          <w:sz w:val="21"/>
        </w:rPr>
        <w:t>：精神分析；金融交易；无意识；情绪金融；幻觉客体；拉康；交易成瘾；行为金融</w:t>
      </w:r>
    </w:p>
    <w:p>
      <w:pPr>
        <w:spacing w:line="360" w:lineRule="auto" w:before="0" w:after="120"/>
        <w:jc w:val="both"/>
      </w:pPr>
      <w:r>
        <w:rPr>
          <w:rFonts w:ascii="Times New Roman" w:hAnsi="Times New Roman" w:eastAsia="宋体"/>
          <w:b/>
          <w:i w:val="0"/>
          <w:color w:val="5A5A5A"/>
          <w:sz w:val="19"/>
        </w:rPr>
        <w:t>说明</w:t>
      </w:r>
      <w:r>
        <w:rPr>
          <w:rFonts w:ascii="Times New Roman" w:hAnsi="Times New Roman" w:eastAsia="宋体"/>
          <w:b w:val="0"/>
          <w:i w:val="0"/>
          <w:color w:val="5A5A5A"/>
          <w:sz w:val="19"/>
        </w:rPr>
        <w:t>：本文为文献综述，作者系综述撰写者，非原创研究者；所引文献均在文末列出，证据等级在附录 C 逐条标注。检索于 2026 年 10 月完成。</w:t>
      </w:r>
    </w:p>
    <w:p>
      <w:r>
        <w:br w:type="page"/>
      </w:r>
    </w:p>
    <w:p>
      <w:pPr>
        <w:keepNext/>
        <w:spacing w:before="280" w:after="160" w:line="312" w:lineRule="auto"/>
      </w:pPr>
      <w:r>
        <w:rPr>
          <w:rFonts w:ascii="Arial" w:hAnsi="Arial" w:eastAsia="黑体"/>
          <w:b/>
          <w:i w:val="0"/>
          <w:sz w:val="32"/>
        </w:rPr>
        <w:t>一、引言：为什么金融交易值得精神分析来看一眼</w:t>
      </w:r>
    </w:p>
    <w:p>
      <w:pPr>
        <w:spacing w:line="360" w:lineRule="auto" w:before="0" w:after="120"/>
        <w:ind w:firstLine="420"/>
        <w:jc w:val="both"/>
      </w:pPr>
      <w:r>
        <w:rPr>
          <w:rFonts w:ascii="Times New Roman" w:hAnsi="Times New Roman" w:eastAsia="宋体"/>
          <w:b w:val="0"/>
          <w:i w:val="0"/>
          <w:sz w:val="21"/>
        </w:rPr>
        <w:t>先摆出一个不太好回答的现象。绝大多数主动交易者在长期是亏钱的，这一点被反复验证（巴西期货市场的研究显示，坚持交易超过 300 个交易日的人里 97% 最终亏损[36]）；同一个亏钱的人，第二天还会打开交易软件。理性人假设解释不了这个动作，行为金融把它归因于认知偏差，可偏差清单越列越长，也没有回答一个更朴素的问题：</w:t>
      </w:r>
      <w:r>
        <w:rPr>
          <w:rFonts w:ascii="Times New Roman" w:hAnsi="Times New Roman" w:eastAsia="宋体"/>
          <w:b/>
          <w:i w:val="0"/>
          <w:sz w:val="21"/>
        </w:rPr>
        <w:t>为什么知道了偏差，仍然照犯不误？</w:t>
      </w:r>
    </w:p>
    <w:p>
      <w:pPr>
        <w:keepNext/>
        <w:spacing w:before="200" w:after="120" w:line="312" w:lineRule="auto"/>
      </w:pPr>
      <w:r>
        <w:rPr>
          <w:rFonts w:ascii="Arial" w:hAnsi="Arial" w:eastAsia="黑体"/>
          <w:b/>
          <w:i w:val="0"/>
          <w:sz w:val="27"/>
        </w:rPr>
        <w:t>1.1 理性人假设的两道裂缝</w:t>
      </w:r>
    </w:p>
    <w:p>
      <w:pPr>
        <w:spacing w:line="360" w:lineRule="auto" w:before="0" w:after="120"/>
        <w:ind w:firstLine="420"/>
        <w:jc w:val="both"/>
      </w:pPr>
      <w:r>
        <w:rPr>
          <w:rFonts w:ascii="Times New Roman" w:hAnsi="Times New Roman" w:eastAsia="宋体"/>
          <w:b w:val="0"/>
          <w:i w:val="0"/>
          <w:sz w:val="21"/>
        </w:rPr>
        <w:t>有效市场假说与组合理论把价格当作信息的函数，把投资者当作效用最大化的计算器[31]。这套框架在解释资产定价的平均行为上极其成功，但它有两个地方一直没法自洽。第一，它无法解释系统性偏离的持续存在——泡沫不是随机噪声，而是有模式、有节奏、有情绪温度的过程。第二，它把“不确定性”和“风险”混为一谈：概率分布已知的叫风险，未来的不可知叫不确定性；而真实交易面对的，几乎全是后者。凯恩斯早就用“动物精神”提醒过市场的非理性驱动[30]，罗闻全后来用适应性市场假说主张理性与非理性会随环境变迁[32]，这些声音长期被主流定价模型当作背景噪音。</w:t>
      </w:r>
    </w:p>
    <w:p>
      <w:pPr>
        <w:spacing w:line="360" w:lineRule="auto" w:before="0" w:after="120"/>
        <w:ind w:firstLine="420"/>
        <w:jc w:val="both"/>
      </w:pPr>
      <w:r>
        <w:rPr>
          <w:rFonts w:ascii="Times New Roman" w:hAnsi="Times New Roman" w:eastAsia="宋体"/>
          <w:b w:val="0"/>
          <w:i w:val="0"/>
          <w:sz w:val="21"/>
        </w:rPr>
        <w:t>行为金融补上了第一道裂缝。卡尼曼与特沃斯基的前景理论证明，人对得失的评价不对称，损失的痛感大约是同等收益快感的 2.25 倍[27]，参考点决定选择，风险偏好会随盈亏翻转。此后锚定、羊群、过度自信、心理账户被一一纳入模型，投资者从“理性人”变成了“可预测的犯错者”[40]。在资产定价一侧，丹尼尔、赫什莱费尔与苏布拉马尼亚姆进一步把投资者心理直接写进定价模型，用过度反应与反应不足来解释动量与反转[47]，赫什莱费尔则系统整理了“投资者心理与资产定价”的路线图[48]。可是第二道裂缝仍在：行为金融默认偏差是可以被意识、被学习、被克服的，只要你知道自己有偏差。市场里的经验却相反——知道得越清楚的人，有时亏得更狠。</w:t>
      </w:r>
    </w:p>
    <w:p>
      <w:pPr>
        <w:keepNext/>
        <w:spacing w:before="200" w:after="120" w:line="312" w:lineRule="auto"/>
      </w:pPr>
      <w:r>
        <w:rPr>
          <w:rFonts w:ascii="Arial" w:hAnsi="Arial" w:eastAsia="黑体"/>
          <w:b/>
          <w:i w:val="0"/>
          <w:sz w:val="27"/>
        </w:rPr>
        <w:t>1.2 精神分析切入的，是“知道却做不到”这一层</w:t>
      </w:r>
    </w:p>
    <w:p>
      <w:pPr>
        <w:spacing w:line="360" w:lineRule="auto" w:before="0" w:after="120"/>
        <w:ind w:firstLine="420"/>
        <w:jc w:val="both"/>
      </w:pPr>
      <w:r>
        <w:rPr>
          <w:rFonts w:ascii="Times New Roman" w:hAnsi="Times New Roman" w:eastAsia="宋体"/>
          <w:b w:val="0"/>
          <w:i w:val="0"/>
          <w:sz w:val="21"/>
        </w:rPr>
        <w:t>精神分析提供的是一条不同的解释线。它假定人的大部分心理活动在意识之外运行，欲望与恐惧并不总是能被自我看穿；因此“知道偏差”和“不再犯偏差”之间，隔着一整套无意识的防御与幻想机制。用它看交易，能处理三类行为金融难以处理的现象：其一，</w:t>
      </w:r>
      <w:r>
        <w:rPr>
          <w:rFonts w:ascii="Times New Roman" w:hAnsi="Times New Roman" w:eastAsia="宋体"/>
          <w:b/>
          <w:i w:val="0"/>
          <w:sz w:val="21"/>
        </w:rPr>
        <w:t>明知风险却反复重仓</w:t>
      </w:r>
      <w:r>
        <w:rPr>
          <w:rFonts w:ascii="Times New Roman" w:hAnsi="Times New Roman" w:eastAsia="宋体"/>
          <w:b w:val="0"/>
          <w:i w:val="0"/>
          <w:sz w:val="21"/>
        </w:rPr>
        <w:t>——不是信息不足，而是幻想压倒了现实检验；其二，</w:t>
      </w:r>
      <w:r>
        <w:rPr>
          <w:rFonts w:ascii="Times New Roman" w:hAnsi="Times New Roman" w:eastAsia="宋体"/>
          <w:b/>
          <w:i w:val="0"/>
          <w:sz w:val="21"/>
        </w:rPr>
        <w:t>亏损后的自我惩罚式交易</w:t>
      </w:r>
      <w:r>
        <w:rPr>
          <w:rFonts w:ascii="Times New Roman" w:hAnsi="Times New Roman" w:eastAsia="宋体"/>
          <w:b w:val="0"/>
          <w:i w:val="0"/>
          <w:sz w:val="21"/>
        </w:rPr>
        <w:t>——弗洛伊德在分析陀思妥耶夫斯基时提出，赌徒存在“为输而赌”的无意识冲动，赌的目的是赎罪而非获利[2][24]；其三，</w:t>
      </w:r>
      <w:r>
        <w:rPr>
          <w:rFonts w:ascii="Times New Roman" w:hAnsi="Times New Roman" w:eastAsia="宋体"/>
          <w:b/>
          <w:i w:val="0"/>
          <w:sz w:val="21"/>
        </w:rPr>
        <w:t>群体层面的同步狂热与恐慌</w:t>
      </w:r>
      <w:r>
        <w:rPr>
          <w:rFonts w:ascii="Times New Roman" w:hAnsi="Times New Roman" w:eastAsia="宋体"/>
          <w:b w:val="0"/>
          <w:i w:val="0"/>
          <w:sz w:val="21"/>
        </w:rPr>
        <w:t>——市场像一群人，而不像一堆独立计算器[6][1][7]。</w:t>
      </w:r>
    </w:p>
    <w:p>
      <w:pPr>
        <w:spacing w:line="360" w:lineRule="auto" w:before="0" w:after="120"/>
        <w:ind w:firstLine="420"/>
        <w:jc w:val="both"/>
      </w:pPr>
      <w:r>
        <w:rPr>
          <w:rFonts w:ascii="Times New Roman" w:hAnsi="Times New Roman" w:eastAsia="宋体"/>
          <w:b w:val="0"/>
          <w:i w:val="0"/>
          <w:sz w:val="21"/>
        </w:rPr>
        <w:t>需要马上说清楚的是：这条路径的强项是解释，弱项是预测与证伪。波普尔早就把精神分析列为“不可证伪因此不科学”的典型[41]，格林鲍姆则更细致地指出，即便可证伪，临床素材本身作为证据也大打折扣[42]。本文不会回避这个质疑，反而把它作为贯穿全文的衡量尺度：每一条精神分析的主张，我们都要问一句——它拿什么被反驳？</w:t>
      </w:r>
    </w:p>
    <w:p>
      <w:pPr>
        <w:keepNext/>
        <w:spacing w:before="200" w:after="120" w:line="312" w:lineRule="auto"/>
      </w:pPr>
      <w:r>
        <w:rPr>
          <w:rFonts w:ascii="Arial" w:hAnsi="Arial" w:eastAsia="黑体"/>
          <w:b/>
          <w:i w:val="0"/>
          <w:sz w:val="27"/>
        </w:rPr>
        <w:t>1.3 范围、方法与结构</w:t>
      </w:r>
    </w:p>
    <w:p>
      <w:pPr>
        <w:spacing w:line="360" w:lineRule="auto" w:before="0" w:after="120"/>
        <w:ind w:firstLine="420"/>
        <w:jc w:val="both"/>
      </w:pPr>
      <w:r>
        <w:rPr>
          <w:rFonts w:ascii="Times New Roman" w:hAnsi="Times New Roman" w:eastAsia="宋体"/>
          <w:b w:val="0"/>
          <w:i w:val="0"/>
          <w:sz w:val="21"/>
        </w:rPr>
        <w:t>本文采用“精神分析为骨架、行为金融与神经金融为对照层”的组织方式。检索覆盖英文与中文文献，兼顾早期经典原著与近二十年的实证研究，来源包括 arXiv、OpenAlex、Crossref、Semantic Scholar 与公开网络检索；由于本次 Giiisp 论文接口未配置鉴权令牌，其结果标记为接口受限，相关命中改用开放源交叉核验。全部来源见附录 E，证据强度见附录 A 与附录 C。</w:t>
      </w:r>
    </w:p>
    <w:p>
      <w:pPr>
        <w:spacing w:line="360" w:lineRule="auto" w:before="0" w:after="120"/>
        <w:ind w:firstLine="420"/>
        <w:jc w:val="both"/>
      </w:pPr>
      <w:r>
        <w:rPr>
          <w:rFonts w:ascii="Times New Roman" w:hAnsi="Times New Roman" w:eastAsia="宋体"/>
          <w:b w:val="0"/>
          <w:i w:val="0"/>
          <w:sz w:val="21"/>
        </w:rPr>
        <w:t>文章结构如下：第二章建立概念工具箱；第三章讲“钱”的精神分析学；第四章从个体走到群体与泡沫；第五章专论情绪金融这一独立范式；第六章处理交易者病理；第七章进入拉康取向的政治经济学；第八章评估实证与证据层；第九章做方法论批判；第十章给出比较矩阵与置信度分级；第十一章提出未来研究；第十二章收束。</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：精神分析进入金融交易，不是为了多列一张偏差清单，而是为了回答那个偏差清单始终绕开的问题——为什么明知故犯。</w:t>
      </w:r>
    </w:p>
    <w:p>
      <w:pPr>
        <w:keepNext/>
        <w:spacing w:before="280" w:after="160" w:line="312" w:lineRule="auto"/>
      </w:pPr>
      <w:r>
        <w:rPr>
          <w:rFonts w:ascii="Arial" w:hAnsi="Arial" w:eastAsia="黑体"/>
          <w:b/>
          <w:i w:val="0"/>
          <w:sz w:val="32"/>
        </w:rPr>
        <w:t>二、概念工具箱：把临床概念搬到市场之前</w:t>
      </w:r>
    </w:p>
    <w:p>
      <w:pPr>
        <w:spacing w:line="360" w:lineRule="auto" w:before="0" w:after="120"/>
        <w:ind w:firstLine="420"/>
        <w:jc w:val="both"/>
      </w:pPr>
      <w:r>
        <w:rPr>
          <w:rFonts w:ascii="Times New Roman" w:hAnsi="Times New Roman" w:eastAsia="宋体"/>
          <w:b w:val="0"/>
          <w:i w:val="0"/>
          <w:sz w:val="21"/>
        </w:rPr>
        <w:t>把精神分析的术语直接套到交易上，是最常见也最容易翻车的做法。本章先把工具箱摊开，交代每个概念的原始含义与适用条件，再在后面的章节里逐一测试它能不能经得起市场的翻译。</w:t>
      </w:r>
    </w:p>
    <w:p>
      <w:pPr>
        <w:keepNext/>
        <w:spacing w:before="200" w:after="120" w:line="312" w:lineRule="auto"/>
      </w:pPr>
      <w:r>
        <w:rPr>
          <w:rFonts w:ascii="Arial" w:hAnsi="Arial" w:eastAsia="黑体"/>
          <w:b/>
          <w:i w:val="0"/>
          <w:sz w:val="27"/>
        </w:rPr>
        <w:t>2.1 无意识、压抑与防御</w:t>
      </w:r>
    </w:p>
    <w:p>
      <w:pPr>
        <w:spacing w:line="360" w:lineRule="auto" w:before="0" w:after="120"/>
        <w:ind w:firstLine="420"/>
        <w:jc w:val="both"/>
      </w:pPr>
      <w:r>
        <w:rPr>
          <w:rFonts w:ascii="Times New Roman" w:hAnsi="Times New Roman" w:eastAsia="宋体"/>
          <w:b w:val="0"/>
          <w:i w:val="0"/>
          <w:sz w:val="21"/>
        </w:rPr>
        <w:t>精神分析的第一块基石是：心理过程中有一大部分不在意识之内，且并非因为被遗忘，而是因为被主动地压抑。令人不安的念头、愿望、羞耻，被挡在意识门槛之外，但仍以替代形式影响行为。防御机制由此而来——否认、投射、合理化、以及最贴合交易场景的</w:t>
      </w:r>
      <w:r>
        <w:rPr>
          <w:rFonts w:ascii="Times New Roman" w:hAnsi="Times New Roman" w:eastAsia="宋体"/>
          <w:b/>
          <w:i w:val="0"/>
          <w:sz w:val="21"/>
        </w:rPr>
        <w:t>否认（disavowal）</w:t>
      </w:r>
      <w:r>
        <w:rPr>
          <w:rFonts w:ascii="Times New Roman" w:hAnsi="Times New Roman" w:eastAsia="宋体"/>
          <w:b w:val="0"/>
          <w:i w:val="0"/>
          <w:sz w:val="21"/>
        </w:rPr>
        <w:t>：明知事实，却拒绝让这个知道产生后果。</w:t>
      </w:r>
    </w:p>
    <w:p>
      <w:pPr>
        <w:spacing w:line="360" w:lineRule="auto" w:before="0" w:after="120"/>
        <w:ind w:firstLine="420"/>
        <w:jc w:val="both"/>
      </w:pPr>
      <w:r>
        <w:rPr>
          <w:rFonts w:ascii="Times New Roman" w:hAnsi="Times New Roman" w:eastAsia="宋体"/>
          <w:b w:val="0"/>
          <w:i w:val="0"/>
          <w:sz w:val="21"/>
        </w:rPr>
        <w:t>放到交易里，最典型的就是“账面亏损还不算亏损”的心态。投资者并非不知道价格已经下跌，而是拒绝让这个认知改变持有决策。情绪金融把它描述为：理性上知道股票会涨会跌，在心理现实中方向却“只能向上”[15]。这正是压抑与否认在金融场景里的日常形态。</w:t>
      </w:r>
    </w:p>
    <w:p>
      <w:pPr>
        <w:keepNext/>
        <w:spacing w:before="200" w:after="120" w:line="312" w:lineRule="auto"/>
      </w:pPr>
      <w:r>
        <w:rPr>
          <w:rFonts w:ascii="Arial" w:hAnsi="Arial" w:eastAsia="黑体"/>
          <w:b/>
          <w:i w:val="0"/>
          <w:sz w:val="27"/>
        </w:rPr>
        <w:t>2.2 移情与重复强迫</w:t>
      </w:r>
    </w:p>
    <w:p>
      <w:pPr>
        <w:spacing w:line="360" w:lineRule="auto" w:before="0" w:after="120"/>
        <w:ind w:firstLine="420"/>
        <w:jc w:val="both"/>
      </w:pPr>
      <w:r>
        <w:rPr>
          <w:rFonts w:ascii="Times New Roman" w:hAnsi="Times New Roman" w:eastAsia="宋体"/>
          <w:b w:val="0"/>
          <w:i w:val="0"/>
          <w:sz w:val="21"/>
        </w:rPr>
        <w:t>移情指人把过去重要关系中的情感模式，投射到当下的对象身上。它在金融里的对应物，是投资者与“资产”“基金经理”“市场”之间那种带着强烈情感的关系：相信、依赖、失望、背叛。情绪金融观察到，基金持有人之所以反复寻找“值得信任的”管理人，很大程度是在寻找一种可依赖的关系感，而不只是收益率[12]。</w:t>
      </w:r>
    </w:p>
    <w:p>
      <w:pPr>
        <w:spacing w:line="360" w:lineRule="auto" w:before="0" w:after="120"/>
        <w:ind w:firstLine="420"/>
        <w:jc w:val="both"/>
      </w:pPr>
      <w:r>
        <w:rPr>
          <w:rFonts w:ascii="Times New Roman" w:hAnsi="Times New Roman" w:eastAsia="宋体"/>
          <w:b w:val="0"/>
          <w:i w:val="0"/>
          <w:sz w:val="21"/>
        </w:rPr>
        <w:t>重复强迫指主体不自觉地重复痛苦的经历。弗洛伊德在《超越快乐原则》之后，用它解释那些明显违背“趋乐避苦”的行为。交易者一次次回到同一个亏损模式，从经典精神分析看，未必只是纪律问题，而可能是重复强迫在作祟——把亏损当作需要反复经历的东西，而非需要避免的东西[2][24]。</w:t>
      </w:r>
    </w:p>
    <w:p>
      <w:pPr>
        <w:keepNext/>
        <w:spacing w:before="200" w:after="120" w:line="312" w:lineRule="auto"/>
      </w:pPr>
      <w:r>
        <w:rPr>
          <w:rFonts w:ascii="Arial" w:hAnsi="Arial" w:eastAsia="黑体"/>
          <w:b/>
          <w:i w:val="0"/>
          <w:sz w:val="27"/>
        </w:rPr>
        <w:t>2.3 客体关系：偏执-分裂位与抑郁位</w:t>
      </w:r>
    </w:p>
    <w:p>
      <w:pPr>
        <w:spacing w:line="360" w:lineRule="auto" w:before="0" w:after="120"/>
        <w:ind w:firstLine="420"/>
        <w:jc w:val="both"/>
      </w:pPr>
      <w:r>
        <w:rPr>
          <w:rFonts w:ascii="Times New Roman" w:hAnsi="Times New Roman" w:eastAsia="宋体"/>
          <w:b w:val="0"/>
          <w:i w:val="0"/>
          <w:sz w:val="21"/>
        </w:rPr>
        <w:t>克莱因提出，人在较早的心理组织中用“分裂”处理矛盾：把对象劈成全好与全坏两半，这就是偏执-分裂位；当人能承受对象同时是好的又是坏的、并容纳自己的破坏性时，进入抑郁位[8]。市场是一个极好的分裂放大器：牛市里资产是“全好”的，崩盘后同一资产变成“全坏”的；分析师对同一家公司可以给出截然相反却又同样斩钉截铁的评级。从偏执-分裂位到抑郁位的移动，也对应着投资者能否与一个“既会让我赚钱、也会让我亏钱”的资产长期共处。</w:t>
      </w:r>
    </w:p>
    <w:p>
      <w:pPr>
        <w:keepNext/>
        <w:spacing w:before="200" w:after="120" w:line="312" w:lineRule="auto"/>
      </w:pPr>
      <w:r>
        <w:rPr>
          <w:rFonts w:ascii="Arial" w:hAnsi="Arial" w:eastAsia="黑体"/>
          <w:b/>
          <w:i w:val="0"/>
          <w:sz w:val="27"/>
        </w:rPr>
        <w:t>2.4 群体心理学与基本假设</w:t>
      </w:r>
    </w:p>
    <w:p>
      <w:pPr>
        <w:spacing w:line="360" w:lineRule="auto" w:before="0" w:after="120"/>
        <w:ind w:firstLine="420"/>
        <w:jc w:val="both"/>
      </w:pPr>
      <w:r>
        <w:rPr>
          <w:rFonts w:ascii="Times New Roman" w:hAnsi="Times New Roman" w:eastAsia="宋体"/>
          <w:b w:val="0"/>
          <w:i w:val="0"/>
          <w:sz w:val="21"/>
        </w:rPr>
        <w:t>勒庞在《乌合之众》里描述了个体进入群体后智力下降、情绪传染、易受暗示的状态[6]；弗洛伊德在《群体心理学与自我的分析》中把这一现象接进精神分析，指出群体中个体会把领袖当作自我理想的外置，从而放弃自己的批判能力[1]。比昂再往前一步，区分了“工作群体”与“基本假设群体”：后者由三种无意识假设驱动——依赖、战斗-逃跑、配对[7]。市场在极端行情中，几乎每隔一段就切换一次基本假设：依赖“救市”、战斗-逃跑式的踩踏、以及对“下一个叙事”的配对式期待。</w:t>
      </w:r>
    </w:p>
    <w:p>
      <w:pPr>
        <w:keepNext/>
        <w:spacing w:before="200" w:after="120" w:line="312" w:lineRule="auto"/>
      </w:pPr>
      <w:r>
        <w:rPr>
          <w:rFonts w:ascii="Arial" w:hAnsi="Arial" w:eastAsia="黑体"/>
          <w:b/>
          <w:i w:val="0"/>
          <w:sz w:val="27"/>
        </w:rPr>
        <w:t>2.5 拉康：想象界、象征界、实在界与对象 a</w:t>
      </w:r>
    </w:p>
    <w:p>
      <w:pPr>
        <w:spacing w:line="360" w:lineRule="auto" w:before="0" w:after="120"/>
        <w:ind w:firstLine="420"/>
        <w:jc w:val="both"/>
      </w:pPr>
      <w:r>
        <w:rPr>
          <w:rFonts w:ascii="Times New Roman" w:hAnsi="Times New Roman" w:eastAsia="宋体"/>
          <w:b w:val="0"/>
          <w:i w:val="0"/>
          <w:sz w:val="21"/>
        </w:rPr>
        <w:t>拉康的三界提供了一套更结构化的语言。想象界是镜像式的认同与完整感；象征界是语言与法则的秩序，主体由此进入社会；实在界是语言无法完全捕获、总以创伤或缺口形式返回的东西。欲望被拉康定义为“要求减去需要”的差额，因此永远无法被某个具体对象填满——欲望是转喻，得到一件就滑向下一件[44]。金融的“对象 a”（objet petit a）不是钱本身，而是那个被认为能填补缺口的、永远差一点的东西：下一个涨停、下一轮牛市、下一种必胜策略。拉康在《精神分析的四基本概念》中把这一主体结构系统化[9]。Vanheule 把这一结构整理为可分析的“资本主义话语”，并讨论它如何在主体层面再生产[53]。</w:t>
      </w:r>
    </w:p>
    <w:p>
      <w:pPr>
        <w:keepNext/>
        <w:spacing w:before="200" w:after="120" w:line="312" w:lineRule="auto"/>
      </w:pPr>
      <w:r>
        <w:rPr>
          <w:rFonts w:ascii="Arial" w:hAnsi="Arial" w:eastAsia="黑体"/>
          <w:b/>
          <w:i w:val="0"/>
          <w:sz w:val="27"/>
        </w:rPr>
        <w:t>2.6 本章小结：翻译的准入条件</w:t>
      </w:r>
    </w:p>
    <w:p>
      <w:pPr>
        <w:spacing w:line="360" w:lineRule="auto" w:before="0" w:after="120"/>
        <w:ind w:firstLine="420"/>
        <w:jc w:val="both"/>
      </w:pPr>
      <w:r>
        <w:rPr>
          <w:rFonts w:ascii="Times New Roman" w:hAnsi="Times New Roman" w:eastAsia="宋体"/>
          <w:b w:val="0"/>
          <w:i w:val="0"/>
          <w:sz w:val="21"/>
        </w:rPr>
        <w:t>把概念搬到市场之前，必须满足三个条件：概念有明确的行为对应物；该对应物可被独立观测；观测结果能反驳基于该概念做出的预测。第二章给出的每个概念，后文都会按这三条检验。</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：临床概念不是修辞，只有能被观测、能被反驳，它才有资格进入金融研究。</w:t>
      </w:r>
    </w:p>
    <w:p>
      <w:pPr>
        <w:keepNext/>
        <w:spacing w:before="280" w:after="160" w:line="312" w:lineRule="auto"/>
      </w:pPr>
      <w:r>
        <w:rPr>
          <w:rFonts w:ascii="Arial" w:hAnsi="Arial" w:eastAsia="黑体"/>
          <w:b/>
          <w:i w:val="0"/>
          <w:sz w:val="32"/>
        </w:rPr>
        <w:t>三、钱的精神分析学：从肛门欲到象征秩序</w:t>
      </w:r>
    </w:p>
    <w:p>
      <w:pPr>
        <w:spacing w:line="360" w:lineRule="auto" w:before="0" w:after="120"/>
        <w:ind w:firstLine="420"/>
        <w:jc w:val="both"/>
      </w:pPr>
      <w:r>
        <w:rPr>
          <w:rFonts w:ascii="Times New Roman" w:hAnsi="Times New Roman" w:eastAsia="宋体"/>
          <w:b w:val="0"/>
          <w:i w:val="0"/>
          <w:sz w:val="21"/>
        </w:rPr>
        <w:t>在讨论交易之前，得先讨论钱。精神分析对金钱的兴趣早于它对市场的兴趣，而且这条线索一直延伸到最当代的资本批判。</w:t>
      </w:r>
    </w:p>
    <w:p>
      <w:pPr>
        <w:keepNext/>
        <w:spacing w:before="200" w:after="120" w:line="312" w:lineRule="auto"/>
      </w:pPr>
      <w:r>
        <w:rPr>
          <w:rFonts w:ascii="Arial" w:hAnsi="Arial" w:eastAsia="黑体"/>
          <w:b/>
          <w:i w:val="0"/>
          <w:sz w:val="27"/>
        </w:rPr>
        <w:t>3.1 弗洛伊德：金钱与性的同构羞耻</w:t>
      </w:r>
    </w:p>
    <w:p>
      <w:pPr>
        <w:spacing w:line="360" w:lineRule="auto" w:before="0" w:after="120"/>
        <w:ind w:firstLine="420"/>
        <w:jc w:val="both"/>
      </w:pPr>
      <w:r>
        <w:rPr>
          <w:rFonts w:ascii="Times New Roman" w:hAnsi="Times New Roman" w:eastAsia="宋体"/>
          <w:b w:val="0"/>
          <w:i w:val="0"/>
          <w:sz w:val="21"/>
        </w:rPr>
        <w:t>弗洛伊德在《关于治疗的开端》里有一句被反复引用的话：文明人对待金钱，和对待性一样，带着同样的不一致、羞怯与虚伪[19]。这句话的分量不在于道德批评，而在于它指出金钱在心理上不是一个中性的交换工具，而是一个承载羞耻、欲望与压抑的象征物。他又在《性格与肛门性欲》中把金钱与肛门期的心理组织联系起来[3]，为后来亚伯拉罕与费伦齐的发展埋下伏笔。</w:t>
      </w:r>
    </w:p>
    <w:p>
      <w:pPr>
        <w:keepNext/>
        <w:spacing w:before="200" w:after="120" w:line="312" w:lineRule="auto"/>
      </w:pPr>
      <w:r>
        <w:rPr>
          <w:rFonts w:ascii="Arial" w:hAnsi="Arial" w:eastAsia="黑体"/>
          <w:b/>
          <w:i w:val="0"/>
          <w:sz w:val="27"/>
        </w:rPr>
        <w:t>3.2 亚伯拉罕与费伦齐：金钱=粪便的象征链</w:t>
      </w:r>
    </w:p>
    <w:p>
      <w:pPr>
        <w:spacing w:line="360" w:lineRule="auto" w:before="0" w:after="120"/>
        <w:ind w:firstLine="420"/>
        <w:jc w:val="both"/>
      </w:pPr>
      <w:r>
        <w:rPr>
          <w:rFonts w:ascii="Times New Roman" w:hAnsi="Times New Roman" w:eastAsia="宋体"/>
          <w:b w:val="0"/>
          <w:i w:val="0"/>
          <w:sz w:val="21"/>
        </w:rPr>
        <w:t>亚伯拉罕在肛门性格理论中指出，坚持用支票支付哪怕是极小金额，是一种典型的肛门性保留[5]；费伦齐则给出了那条著名的象征链：儿童对泥沙的兴趣，经过沙、石子、硬币、纽扣的置换，最终在成人身上表现为对金钱的占有欲，并把这种占有当作对肛门快感的社会化的反向形成[4]。这条链条在今天是很容易被嘲笑的——它看起来过度联想、缺乏实证。但它至少提出一个值得认真对待的直觉：</w:t>
      </w:r>
      <w:r>
        <w:rPr>
          <w:rFonts w:ascii="Times New Roman" w:hAnsi="Times New Roman" w:eastAsia="宋体"/>
          <w:b/>
          <w:i w:val="0"/>
          <w:sz w:val="21"/>
        </w:rPr>
        <w:t>金钱的心理意义不等于它的经济功能</w:t>
      </w:r>
      <w:r>
        <w:rPr>
          <w:rFonts w:ascii="Times New Roman" w:hAnsi="Times New Roman" w:eastAsia="宋体"/>
          <w:b w:val="0"/>
          <w:i w:val="0"/>
          <w:sz w:val="21"/>
        </w:rPr>
        <w:t>，囤积、挥霍、吝啬都不是收益最大化能解释的。</w:t>
      </w:r>
    </w:p>
    <w:p>
      <w:pPr>
        <w:keepNext/>
        <w:spacing w:before="200" w:after="120" w:line="312" w:lineRule="auto"/>
      </w:pPr>
      <w:r>
        <w:rPr>
          <w:rFonts w:ascii="Arial" w:hAnsi="Arial" w:eastAsia="黑体"/>
          <w:b/>
          <w:i w:val="0"/>
          <w:sz w:val="27"/>
        </w:rPr>
        <w:t>3.3 金钱作为防御与关系</w:t>
      </w:r>
    </w:p>
    <w:p>
      <w:pPr>
        <w:spacing w:line="360" w:lineRule="auto" w:before="0" w:after="120"/>
        <w:ind w:firstLine="420"/>
        <w:jc w:val="both"/>
      </w:pPr>
      <w:r>
        <w:rPr>
          <w:rFonts w:ascii="Times New Roman" w:hAnsi="Times New Roman" w:eastAsia="宋体"/>
          <w:b w:val="0"/>
          <w:i w:val="0"/>
          <w:sz w:val="21"/>
        </w:rPr>
        <w:t>Dimen 把这条线索推到关系维度：金钱在分析情境里既是设置的一部分，也是移情与反移情的载体，爱与恨在金钱上无法调和，只能在悖论中暂时安放[19]。这一点对交易研究有直接价值——它提示我们，金钱行为往往是在处理某种关系张力，而不是在处理数字。一个人对亏损的暴怒，指向的可能不是市场，而是某个更早的对象。</w:t>
      </w:r>
    </w:p>
    <w:p>
      <w:pPr>
        <w:keepNext/>
        <w:spacing w:before="200" w:after="120" w:line="312" w:lineRule="auto"/>
      </w:pPr>
      <w:r>
        <w:rPr>
          <w:rFonts w:ascii="Arial" w:hAnsi="Arial" w:eastAsia="黑体"/>
          <w:b/>
          <w:i w:val="0"/>
          <w:sz w:val="27"/>
        </w:rPr>
        <w:t>3.4 从个体金钱幻想到资本主义动力</w:t>
      </w:r>
    </w:p>
    <w:p>
      <w:pPr>
        <w:spacing w:line="360" w:lineRule="auto" w:before="0" w:after="120"/>
        <w:ind w:firstLine="420"/>
        <w:jc w:val="both"/>
      </w:pPr>
      <w:r>
        <w:rPr>
          <w:rFonts w:ascii="Times New Roman" w:hAnsi="Times New Roman" w:eastAsia="宋体"/>
          <w:b w:val="0"/>
          <w:i w:val="0"/>
          <w:sz w:val="21"/>
        </w:rPr>
        <w:t>Johnston 在《无限的贪婪》里回到马克思与拉康的交汇处，提出一个相当锋利的论断：马克思在《资本论》里描述的 M—C—M′ 循环，本质上是精神分析意义上的“驱动”（drive）——它不追求终点，而是不断回到自身的重复运动；资本的“对剩余价值的无穷渴望”在结构上是无对象的驱动[20]。这意味着贪婪不是资本家的私人缺陷，而是资本关系本身强迫出来的心理形式。这一步把“个体金钱幻想”与“系统动力”接上了。更早的一条线索来自 Maurer，他把金融衍生品分析为一种“神学的无意识”：衍生工具在结构上处理的是对未来的信仰与压抑，而非单纯的风险转移[50]。Chicchi 用“物之幻影”讨论商品如何充当资本的主能指，把恋物式的幻象与资本批判连在一起[22]。</w:t>
      </w:r>
    </w:p>
    <w:p>
      <w:pPr>
        <w:keepNext/>
        <w:spacing w:before="200" w:after="120" w:line="312" w:lineRule="auto"/>
      </w:pPr>
      <w:r>
        <w:rPr>
          <w:rFonts w:ascii="Arial" w:hAnsi="Arial" w:eastAsia="黑体"/>
          <w:b/>
          <w:i w:val="0"/>
          <w:sz w:val="27"/>
        </w:rPr>
        <w:t>3.5 本章小结</w:t>
      </w:r>
    </w:p>
    <w:p>
      <w:pPr>
        <w:spacing w:line="360" w:lineRule="auto" w:before="0" w:after="120"/>
        <w:ind w:firstLine="420"/>
        <w:jc w:val="both"/>
      </w:pPr>
      <w:r>
        <w:rPr>
          <w:rFonts w:ascii="Times New Roman" w:hAnsi="Times New Roman" w:eastAsia="宋体"/>
          <w:b w:val="0"/>
          <w:i w:val="0"/>
          <w:sz w:val="21"/>
        </w:rPr>
        <w:t>钱的精神分析学留下的可用遗产有三条：金钱承载的心理意义超出其经济功能；金钱行为常在处理关系而非数字；贪婪在结构上可以是系统的而非个人的。这三条将在后文被反复调用，也同样会被反复质疑。</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：钱是符号，而符号从来不只兑现成购买力，它还兑现成羞耻、关系和重复。</w:t>
      </w:r>
    </w:p>
    <w:p>
      <w:pPr>
        <w:keepNext/>
        <w:spacing w:before="280" w:after="160" w:line="312" w:lineRule="auto"/>
      </w:pPr>
      <w:r>
        <w:rPr>
          <w:rFonts w:ascii="Arial" w:hAnsi="Arial" w:eastAsia="黑体"/>
          <w:b/>
          <w:i w:val="0"/>
          <w:sz w:val="32"/>
        </w:rPr>
        <w:t>四、从个体到市场：群体心理学与泡沫的情感轨迹</w:t>
      </w:r>
    </w:p>
    <w:p>
      <w:pPr>
        <w:keepNext/>
        <w:spacing w:before="200" w:after="120" w:line="312" w:lineRule="auto"/>
      </w:pPr>
      <w:r>
        <w:rPr>
          <w:rFonts w:ascii="Arial" w:hAnsi="Arial" w:eastAsia="黑体"/>
          <w:b/>
          <w:i w:val="0"/>
          <w:sz w:val="27"/>
        </w:rPr>
        <w:t>4.1 勒庞与弗洛伊德的群体</w:t>
      </w:r>
    </w:p>
    <w:p>
      <w:pPr>
        <w:spacing w:line="360" w:lineRule="auto" w:before="0" w:after="120"/>
        <w:ind w:firstLine="420"/>
        <w:jc w:val="both"/>
      </w:pPr>
      <w:r>
        <w:rPr>
          <w:rFonts w:ascii="Times New Roman" w:hAnsi="Times New Roman" w:eastAsia="宋体"/>
          <w:b w:val="0"/>
          <w:i w:val="0"/>
          <w:sz w:val="21"/>
        </w:rPr>
        <w:t>勒庞的群体是去人格化的、情绪化的、易受暗示的[6]。弗洛伊德接过来，指出群体的黏合靠的是把领袖置于自我理想的位置，成员之间由此产生横向认同[1]。这套描述与市场有惊人的贴合度：行情极端时，市场里的个体确实会放弃独立判断，跟着一个“故事”走——那个故事就是临时的领袖。</w:t>
      </w:r>
    </w:p>
    <w:p>
      <w:pPr>
        <w:spacing w:line="360" w:lineRule="auto" w:before="0" w:after="120"/>
        <w:ind w:firstLine="420"/>
        <w:jc w:val="both"/>
      </w:pPr>
      <w:r>
        <w:rPr>
          <w:rFonts w:ascii="Times New Roman" w:hAnsi="Times New Roman" w:eastAsia="宋体"/>
          <w:b w:val="0"/>
          <w:i w:val="0"/>
          <w:sz w:val="21"/>
        </w:rPr>
        <w:t>近期有研究把这一框架重新带回行为金融，主张在繁荣与崩盘阶段，市场表现为一个“勒庞式群体”，由无意识过程、暗示、情绪传染和冲动行动支配，而非个体偏差的简单加总[26]。这一提法的价值在于它明确反对“加总谬误”：把市场当成许多独立个体的集合，会丢掉群体层面的涌现性质。更早的同类主张来自 Prechter，他把“无意识羊群行为”直接当作市场趋势与形态的心理基础，属于社会经济学（socionomics）取向[49]。叙事经济学则给出了更可操作的版本：驱动市场的常常是流行故事而非数据[28]；席勒更早就用“非理性繁荣”记录过同一现象，并指出情绪会自我强化成价格偏离[29]。</w:t>
      </w:r>
    </w:p>
    <w:p>
      <w:pPr>
        <w:keepNext/>
        <w:spacing w:before="200" w:after="120" w:line="312" w:lineRule="auto"/>
      </w:pPr>
      <w:r>
        <w:rPr>
          <w:rFonts w:ascii="Arial" w:hAnsi="Arial" w:eastAsia="黑体"/>
          <w:b/>
          <w:i w:val="0"/>
          <w:sz w:val="27"/>
        </w:rPr>
        <w:t>4.2 比昂：工作群体与基本假设群体</w:t>
      </w:r>
    </w:p>
    <w:p>
      <w:pPr>
        <w:spacing w:line="360" w:lineRule="auto" w:before="0" w:after="120"/>
        <w:ind w:firstLine="420"/>
        <w:jc w:val="both"/>
      </w:pPr>
      <w:r>
        <w:rPr>
          <w:rFonts w:ascii="Times New Roman" w:hAnsi="Times New Roman" w:eastAsia="宋体"/>
          <w:b w:val="0"/>
          <w:i w:val="0"/>
          <w:sz w:val="21"/>
        </w:rPr>
        <w:t>比昂的贡献是给了群体一个可操作的动力学结构[7]。工作群体面对真实任务，基本假设群体则由无意识幻想驱动。市场大部分时间是工作群体——定价、套利、信息消化；而在泡沫与恐慌中，它整体切换成基本假设群体。有趣的是，这种切换并不需要成员彼此认识，市场恰恰是“虚拟群体”的极端样本：无数陌生人通过价格这个媒介完成了情绪同步[12]。</w:t>
      </w:r>
    </w:p>
    <w:p>
      <w:pPr>
        <w:keepNext/>
        <w:spacing w:before="200" w:after="120" w:line="312" w:lineRule="auto"/>
      </w:pPr>
      <w:r>
        <w:rPr>
          <w:rFonts w:ascii="Arial" w:hAnsi="Arial" w:eastAsia="黑体"/>
          <w:b/>
          <w:i w:val="0"/>
          <w:sz w:val="27"/>
        </w:rPr>
        <w:t>4.3 泡沫与崩盘的情感轨迹</w:t>
      </w:r>
    </w:p>
    <w:p>
      <w:pPr>
        <w:spacing w:line="360" w:lineRule="auto" w:before="0" w:after="120"/>
        <w:ind w:firstLine="420"/>
        <w:jc w:val="both"/>
      </w:pPr>
      <w:r>
        <w:rPr>
          <w:rFonts w:ascii="Times New Roman" w:hAnsi="Times New Roman" w:eastAsia="宋体"/>
          <w:b w:val="0"/>
          <w:i w:val="0"/>
          <w:sz w:val="21"/>
        </w:rPr>
        <w:t>Tuckett 与 Taffler 用“幻觉客体”解释了互联网泡沫的心理轨迹[11]。一个被寄予厚望的新事物（互联网、某只龙头、某种新技术）成为幻觉客体后，投资者与它的关系不再是评估，而是相信；支撑它的是一套“支持性故事”与“覆盖性观念”，使反面证据被有效屏蔽。当故事撑不住时，“恐惧作为被压抑者的返回”出现，市场从兴奋直接跌入恐慌[11]。整个过程可以被概括为从快乐原则主导退回现实原则的失败。</w:t>
      </w:r>
    </w:p>
    <w:p>
      <w:pPr>
        <w:keepNext/>
        <w:spacing w:before="200" w:after="120" w:line="312" w:lineRule="auto"/>
      </w:pPr>
      <w:r>
        <w:rPr>
          <w:rFonts w:ascii="Arial" w:hAnsi="Arial" w:eastAsia="黑体"/>
          <w:b/>
          <w:i w:val="0"/>
          <w:sz w:val="27"/>
        </w:rPr>
        <w:t>4.4 群体心理学进路与行为金融的对照</w:t>
      </w:r>
    </w:p>
    <w:p>
      <w:pPr>
        <w:spacing w:line="360" w:lineRule="auto" w:before="0" w:after="120"/>
        <w:ind w:firstLine="420"/>
        <w:jc w:val="both"/>
      </w:pPr>
      <w:r>
        <w:rPr>
          <w:rFonts w:ascii="Times New Roman" w:hAnsi="Times New Roman" w:eastAsia="宋体"/>
          <w:b w:val="0"/>
          <w:i w:val="0"/>
          <w:sz w:val="21"/>
        </w:rPr>
        <w:t>行为金融用羊群效应、情绪传染解释同步行为，描述准确但机制偏浅[40]。群体心理学给出的是更进一步的机制：为什么个体会主动放弃判断、为什么“知道是泡沫”和“不参与泡沫”是两回事。代价是它的可测量性差，基本假设、自我理想外置这些都很难直接量化。这个“解释力换可测量性”的交换，是本章埋下的核心张力。</w:t>
      </w:r>
    </w:p>
    <w:p>
      <w:pPr>
        <w:keepNext/>
        <w:spacing w:before="200" w:after="120" w:line="312" w:lineRule="auto"/>
      </w:pPr>
      <w:r>
        <w:rPr>
          <w:rFonts w:ascii="Arial" w:hAnsi="Arial" w:eastAsia="黑体"/>
          <w:b/>
          <w:i w:val="0"/>
          <w:sz w:val="27"/>
        </w:rPr>
        <w:t>4.5 本章小结</w:t>
      </w:r>
    </w:p>
    <w:p>
      <w:pPr>
        <w:spacing w:line="360" w:lineRule="auto" w:before="0" w:after="120"/>
        <w:ind w:firstLine="420"/>
        <w:jc w:val="both"/>
      </w:pPr>
      <w:r>
        <w:rPr>
          <w:rFonts w:ascii="Times New Roman" w:hAnsi="Times New Roman" w:eastAsia="宋体"/>
          <w:b w:val="0"/>
          <w:i w:val="0"/>
          <w:sz w:val="21"/>
        </w:rPr>
        <w:t>从个体到群体的这一步，是精神分析相对行为金融最有辨识度的贡献：它把市场看成一个有自己的无意识生活的主体，而不是一群各自犯错的人。</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：泡沫不是很多人的偏差相加，而是一群人共同进入了一种心理状态。</w:t>
      </w:r>
    </w:p>
    <w:p>
      <w:pPr>
        <w:keepNext/>
        <w:spacing w:before="280" w:after="160" w:line="312" w:lineRule="auto"/>
      </w:pPr>
      <w:r>
        <w:rPr>
          <w:rFonts w:ascii="Arial" w:hAnsi="Arial" w:eastAsia="黑体"/>
          <w:b/>
          <w:i w:val="0"/>
          <w:sz w:val="32"/>
        </w:rPr>
        <w:t>五、情绪金融：一个试图独立的范式</w:t>
      </w:r>
    </w:p>
    <w:p>
      <w:pPr>
        <w:keepNext/>
        <w:spacing w:before="200" w:after="120" w:line="312" w:lineRule="auto"/>
      </w:pPr>
      <w:r>
        <w:rPr>
          <w:rFonts w:ascii="Arial" w:hAnsi="Arial" w:eastAsia="黑体"/>
          <w:b/>
          <w:i w:val="0"/>
          <w:sz w:val="27"/>
        </w:rPr>
        <w:t>5.1 范式定位：站在两座山之间</w:t>
      </w:r>
    </w:p>
    <w:p>
      <w:pPr>
        <w:spacing w:line="360" w:lineRule="auto" w:before="0" w:after="120"/>
        <w:ind w:firstLine="420"/>
        <w:jc w:val="both"/>
      </w:pPr>
      <w:r>
        <w:rPr>
          <w:rFonts w:ascii="Times New Roman" w:hAnsi="Times New Roman" w:eastAsia="宋体"/>
          <w:b w:val="0"/>
          <w:i w:val="0"/>
          <w:sz w:val="21"/>
        </w:rPr>
        <w:t>情绪金融是本文认为最值得认真对待的一条路线，因为它有明确的自我定位：它既反对传统金融的理性人，也不满足于行为金融的“有偏差的人”。Taffler 的措辞很清楚——行为金融的前提仍是“只要投资者学会少一点偏差，就会更理性”；而情绪金融要处理的是无意识的幻想、需要与欲望，它们不以“可以被克服的偏差”形式存在[12]。</w:t>
      </w:r>
    </w:p>
    <w:p>
      <w:pPr>
        <w:keepNext/>
        <w:spacing w:before="200" w:after="120" w:line="312" w:lineRule="auto"/>
      </w:pPr>
      <w:r>
        <w:rPr>
          <w:rFonts w:ascii="Arial" w:hAnsi="Arial" w:eastAsia="黑体"/>
          <w:b/>
          <w:i w:val="0"/>
          <w:sz w:val="27"/>
        </w:rPr>
        <w:t>5.2 幻觉客体</w:t>
      </w:r>
    </w:p>
    <w:p>
      <w:pPr>
        <w:spacing w:line="360" w:lineRule="auto" w:before="0" w:after="120"/>
        <w:ind w:firstLine="420"/>
        <w:jc w:val="both"/>
      </w:pPr>
      <w:r>
        <w:rPr>
          <w:rFonts w:ascii="Times New Roman" w:hAnsi="Times New Roman" w:eastAsia="宋体"/>
          <w:b w:val="0"/>
          <w:i w:val="0"/>
          <w:sz w:val="21"/>
        </w:rPr>
        <w:t>“幻觉客体”（phantastic object）是情绪金融的核心概念，由 Tuckett 与 Taffler 在 2003 年对互联网股票估值的研究中提出，并在 2008 年的论文中系统化[11][14]。它指那种被认为能即时、无限地满足主体欲望的心理对象。关键在于：幻觉客体不是被评估的对象，而是被爱的对象；因此它天然排斥中性信息。互联网股票、加密货币、某位明星创始人，都可以临时成为幻觉客体[51]。</w:t>
      </w:r>
    </w:p>
    <w:p>
      <w:pPr>
        <w:keepNext/>
        <w:spacing w:before="200" w:after="120" w:line="312" w:lineRule="auto"/>
      </w:pPr>
      <w:r>
        <w:rPr>
          <w:rFonts w:ascii="Arial" w:hAnsi="Arial" w:eastAsia="黑体"/>
          <w:b/>
          <w:i w:val="0"/>
          <w:sz w:val="27"/>
        </w:rPr>
        <w:t>5.3 分阶段与未分阶段投资</w:t>
      </w:r>
    </w:p>
    <w:p>
      <w:pPr>
        <w:spacing w:line="360" w:lineRule="auto" w:before="0" w:after="120"/>
        <w:ind w:firstLine="420"/>
        <w:jc w:val="both"/>
      </w:pPr>
      <w:r>
        <w:rPr>
          <w:rFonts w:ascii="Times New Roman" w:hAnsi="Times New Roman" w:eastAsia="宋体"/>
          <w:b w:val="0"/>
          <w:i w:val="0"/>
          <w:sz w:val="21"/>
        </w:rPr>
        <w:t>这一对概念是情绪金融里最接近可操作指标的部分。“分阶段投资”意味着投资者能同时容纳“可能赚”和“可能亏”，处在一种能承受矛盾的抑郁位；“未分阶段投资”则把资产分裂成全好或全坏，对应于偏执-分裂位。Tuckett 与 Taffler 主张，市场整体的“现实感”会在两种状态间迁移，这正是泡沫形成与破裂的心理机制[11][13]。</w:t>
      </w:r>
    </w:p>
    <w:p>
      <w:pPr>
        <w:keepNext/>
        <w:spacing w:before="200" w:after="120" w:line="312" w:lineRule="auto"/>
      </w:pPr>
      <w:r>
        <w:rPr>
          <w:rFonts w:ascii="Arial" w:hAnsi="Arial" w:eastAsia="黑体"/>
          <w:b/>
          <w:i w:val="0"/>
          <w:sz w:val="27"/>
        </w:rPr>
        <w:t>5.4 应用：三个案例</w:t>
      </w:r>
    </w:p>
    <w:p>
      <w:pPr>
        <w:spacing w:line="360" w:lineRule="auto" w:before="0" w:after="120"/>
        <w:ind w:firstLine="420"/>
        <w:jc w:val="both"/>
      </w:pPr>
      <w:r>
        <w:rPr>
          <w:rFonts w:ascii="Times New Roman" w:hAnsi="Times New Roman" w:eastAsia="宋体"/>
          <w:b w:val="0"/>
          <w:i w:val="0"/>
          <w:sz w:val="21"/>
        </w:rPr>
        <w:t>情绪金融至少在三个方向上做过应用。其一，互联网泡沫与 2008 年金融危机，用集体幻觉与防御解释市场“现实感”的崩塌[11]。其二，爱尔兰房地产泡沫，Ryan、Taffler 与 Branigan 把创伤的代际传递引入分析，指出对土地与房产的执念是一种试图超越殖民历史的心理补偿[16]。其三，基金行业的悖论：这个行业真正卖给投资者的，很大程度不是超额收益，而是一种被照料、被信任的关系感[12]。Eshraghi 与 Taffler 进一步把这一分析延伸到对冲基金，考察管理者与投资者之间的幻想关系及其幻灭[52]。</w:t>
      </w:r>
    </w:p>
    <w:p>
      <w:pPr>
        <w:keepNext/>
        <w:spacing w:before="200" w:after="120" w:line="312" w:lineRule="auto"/>
      </w:pPr>
      <w:r>
        <w:rPr>
          <w:rFonts w:ascii="Arial" w:hAnsi="Arial" w:eastAsia="黑体"/>
          <w:b/>
          <w:i w:val="0"/>
          <w:sz w:val="27"/>
        </w:rPr>
        <w:t>5.5 实证证据与可检验性</w:t>
      </w:r>
    </w:p>
    <w:p>
      <w:pPr>
        <w:spacing w:line="360" w:lineRule="auto" w:before="0" w:after="120"/>
        <w:ind w:firstLine="420"/>
        <w:jc w:val="both"/>
      </w:pPr>
      <w:r>
        <w:rPr>
          <w:rFonts w:ascii="Times New Roman" w:hAnsi="Times New Roman" w:eastAsia="宋体"/>
          <w:b w:val="0"/>
          <w:i w:val="0"/>
          <w:sz w:val="21"/>
        </w:rPr>
        <w:t>情绪金融自己承认，这一领域的实证研究仍然稀缺，“需要对个体与市场行为的预测做更多实证检验”[15]。近年的尝试把情绪金融与投资绩效、市场知识、投资者保护放进同一模型检验[58]，也有研究把它作为理解市场的新路径加以引介[57]。已有的操作化尝试主要靠深度访谈与质性编码，例如 McDonnell 对 21 位活跃投资者访谈，提炼出幻觉客体、社会防御、基本假设、效价与脆弱性五个动力因素[23]。这类研究的价值在于把概念落地，弱点在于样本小、编码依赖研究者判断、难以重复。第 8、9 章会回到这个问题。</w:t>
      </w:r>
    </w:p>
    <w:p>
      <w:pPr>
        <w:keepNext/>
        <w:spacing w:before="200" w:after="120" w:line="312" w:lineRule="auto"/>
      </w:pPr>
      <w:r>
        <w:rPr>
          <w:rFonts w:ascii="Arial" w:hAnsi="Arial" w:eastAsia="黑体"/>
          <w:b/>
          <w:i w:val="0"/>
          <w:sz w:val="27"/>
        </w:rPr>
        <w:t>5.6 本章小结</w:t>
      </w:r>
    </w:p>
    <w:p>
      <w:pPr>
        <w:spacing w:line="360" w:lineRule="auto" w:before="0" w:after="120"/>
        <w:ind w:firstLine="420"/>
        <w:jc w:val="both"/>
      </w:pPr>
      <w:r>
        <w:rPr>
          <w:rFonts w:ascii="Times New Roman" w:hAnsi="Times New Roman" w:eastAsia="宋体"/>
          <w:b w:val="0"/>
          <w:i w:val="0"/>
          <w:sz w:val="21"/>
        </w:rPr>
        <w:t>情绪金融是精神分析进入金融最成功的一次尝试，因为它既保留了无意识的核心，又主动接受“需要实证检验”这一约束。它下一步的成败，取决于能否把幻觉客体、分阶段投资变成可测量的变量。</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：情绪金融的分量不在于它说了无意识，而在于它愿意让无意识接受检验。</w:t>
      </w:r>
    </w:p>
    <w:p>
      <w:pPr>
        <w:keepNext/>
        <w:spacing w:before="280" w:after="160" w:line="312" w:lineRule="auto"/>
      </w:pPr>
      <w:r>
        <w:rPr>
          <w:rFonts w:ascii="Arial" w:hAnsi="Arial" w:eastAsia="黑体"/>
          <w:b/>
          <w:i w:val="0"/>
          <w:sz w:val="32"/>
        </w:rPr>
        <w:t>六、交易者病理：贪婪、成瘾与赌博的重合</w:t>
      </w:r>
    </w:p>
    <w:p>
      <w:pPr>
        <w:keepNext/>
        <w:spacing w:before="200" w:after="120" w:line="312" w:lineRule="auto"/>
      </w:pPr>
      <w:r>
        <w:rPr>
          <w:rFonts w:ascii="Arial" w:hAnsi="Arial" w:eastAsia="黑体"/>
          <w:b/>
          <w:i w:val="0"/>
          <w:sz w:val="27"/>
        </w:rPr>
        <w:t>6.1 贪婪综合征</w:t>
      </w:r>
    </w:p>
    <w:p>
      <w:pPr>
        <w:spacing w:line="360" w:lineRule="auto" w:before="0" w:after="120"/>
        <w:ind w:firstLine="420"/>
        <w:jc w:val="both"/>
      </w:pPr>
      <w:r>
        <w:rPr>
          <w:rFonts w:ascii="Times New Roman" w:hAnsi="Times New Roman" w:eastAsia="宋体"/>
          <w:b w:val="0"/>
          <w:i w:val="0"/>
          <w:sz w:val="21"/>
        </w:rPr>
        <w:t>Kets de Vries 把不受约束的贪婪类比为成瘾，与毒品、性、食物、赌博并列[18]。从精神动力学看，贪婪的源头常被追溯到养育缺陷：当照料者用“东西”替代照料，孩子会形成一种“缺了什么”的感觉，成年后以不断获取来补偿这个缺口，而缺口永远不会被填满[18]。这套解释与拉康的欲望转喻在结构上高度一致——欲望对象永远滑走的机制，在这里被写成了发展心理学的语言。</w:t>
      </w:r>
    </w:p>
    <w:p>
      <w:pPr>
        <w:keepNext/>
        <w:spacing w:before="200" w:after="120" w:line="312" w:lineRule="auto"/>
      </w:pPr>
      <w:r>
        <w:rPr>
          <w:rFonts w:ascii="Arial" w:hAnsi="Arial" w:eastAsia="黑体"/>
          <w:b/>
          <w:i w:val="0"/>
          <w:sz w:val="27"/>
        </w:rPr>
        <w:t>6.2 赌博的精神分析：从弗洛伊德论陀思妥耶夫斯基说起</w:t>
      </w:r>
    </w:p>
    <w:p>
      <w:pPr>
        <w:spacing w:line="360" w:lineRule="auto" w:before="0" w:after="120"/>
        <w:ind w:firstLine="420"/>
        <w:jc w:val="both"/>
      </w:pPr>
      <w:r>
        <w:rPr>
          <w:rFonts w:ascii="Times New Roman" w:hAnsi="Times New Roman" w:eastAsia="宋体"/>
          <w:b w:val="0"/>
          <w:i w:val="0"/>
          <w:sz w:val="21"/>
        </w:rPr>
        <w:t>1928 年，弗洛伊德发表《陀思妥耶夫斯基与弑父》，提出赌徒存在无意识的自罚需求：赌博是赎罪的形式，输钱才是潜意识里真正想要的结局[2]。这一解释后来被多篇研究重述与讨论，包括对《赌徒》主人公三阶段（赢、输、绝望）的精神分析解读[25]，以及从社会学角度对弗洛伊德解释的再审视——Kingma 指出，陀思妥耶夫斯基自己把赌博看作对困窘处境的理性回应，而弗洛伊德把它读成“病理性激情”，两种解读其实各自预设了对“为赌而赌”的立场[24]。</w:t>
      </w:r>
    </w:p>
    <w:p>
      <w:pPr>
        <w:spacing w:line="360" w:lineRule="auto" w:before="0" w:after="120"/>
        <w:ind w:firstLine="420"/>
        <w:jc w:val="both"/>
      </w:pPr>
      <w:r>
        <w:rPr>
          <w:rFonts w:ascii="Times New Roman" w:hAnsi="Times New Roman" w:eastAsia="宋体"/>
          <w:b w:val="0"/>
          <w:i w:val="0"/>
          <w:sz w:val="21"/>
        </w:rPr>
        <w:t>需要诚实指出的是：弗洛伊德这套“自罚”解释在当代临床里已经边缘化，现代赌博研究更多走的是冲动控制、奖赏回路与共病的路径。它的价值可能不在结论，而在提出了一个行为主义难以提的问题：为什么有人反复求输。</w:t>
      </w:r>
    </w:p>
    <w:p>
      <w:pPr>
        <w:keepNext/>
        <w:spacing w:before="200" w:after="120" w:line="312" w:lineRule="auto"/>
      </w:pPr>
      <w:r>
        <w:rPr>
          <w:rFonts w:ascii="Arial" w:hAnsi="Arial" w:eastAsia="黑体"/>
          <w:b/>
          <w:i w:val="0"/>
          <w:sz w:val="27"/>
        </w:rPr>
        <w:t>6.3 交易成瘾：临床证据与诊断谱系</w:t>
      </w:r>
    </w:p>
    <w:p>
      <w:pPr>
        <w:spacing w:line="360" w:lineRule="auto" w:before="0" w:after="120"/>
        <w:ind w:firstLine="420"/>
        <w:jc w:val="both"/>
      </w:pPr>
      <w:r>
        <w:rPr>
          <w:rFonts w:ascii="Times New Roman" w:hAnsi="Times New Roman" w:eastAsia="宋体"/>
          <w:b w:val="0"/>
          <w:i w:val="0"/>
          <w:sz w:val="21"/>
        </w:rPr>
        <w:t>这一块是精神分析话题里实证最扎实的部分。大量研究表明，过度交易与赌博障碍在诊断标准、共病、轨迹上高度重合[36][37]。荷兰的两项投资者调查发现，4.4% 的投资者符合金融市场强迫性赌博标准，另有 3.6% 属于“问题赌博”；这些投资者表现出无法停止、持续追求、失控、明知有害仍继续，并伴随抑郁与自杀意念[36]。巴西期货市场的数据显示，坚持交易超过 300 个交易日的投资者中97% 亏损[36]。临床描述还记录了一个共同的动力学特征：早期的小额盈利，随后的追损，最终失控[36]。</w:t>
      </w:r>
    </w:p>
    <w:p>
      <w:pPr>
        <w:spacing w:line="360" w:lineRule="auto" w:before="0" w:after="120"/>
        <w:ind w:firstLine="420"/>
        <w:jc w:val="both"/>
      </w:pPr>
      <w:r>
        <w:rPr>
          <w:rFonts w:ascii="Times New Roman" w:hAnsi="Times New Roman" w:eastAsia="宋体"/>
          <w:b w:val="0"/>
          <w:i w:val="0"/>
          <w:sz w:val="21"/>
        </w:rPr>
        <w:t>神经机制层面，对交易的解释集中在可变比率强化、预期性多巴胺与近失效应：真正让人上瘾的不是盈利，而是“不确定的期待”[37]。这与精神分析对赌博的“兴奋/焦虑”二元结构描述可以互相印证，但两边用的证据类型完全不同——一边是量表与流行病学，一边是临床叙事。</w:t>
      </w:r>
    </w:p>
    <w:p>
      <w:pPr>
        <w:keepNext/>
        <w:spacing w:before="200" w:after="120" w:line="312" w:lineRule="auto"/>
      </w:pPr>
      <w:r>
        <w:rPr>
          <w:rFonts w:ascii="Arial" w:hAnsi="Arial" w:eastAsia="黑体"/>
          <w:b/>
          <w:i w:val="0"/>
          <w:sz w:val="27"/>
        </w:rPr>
        <w:t>6.4 控制错觉与幻想的技能感</w:t>
      </w:r>
    </w:p>
    <w:p>
      <w:pPr>
        <w:spacing w:line="360" w:lineRule="auto" w:before="0" w:after="120"/>
        <w:ind w:firstLine="420"/>
        <w:jc w:val="both"/>
      </w:pPr>
      <w:r>
        <w:rPr>
          <w:rFonts w:ascii="Times New Roman" w:hAnsi="Times New Roman" w:eastAsia="宋体"/>
          <w:b w:val="0"/>
          <w:i w:val="0"/>
          <w:sz w:val="21"/>
        </w:rPr>
        <w:t>精神分析把赌博中的“能力幻觉”定义为一种对抗无助感的防御：用“我能控制”来抵御“我无法预知”的焦虑[15]。行为金融把这叫控制错觉与技能幻觉，并发现技术分析给了投机一种“看起来像技能”的外观[36]。两条路径在这里罕见地收敛：都承认这是对抗不确定性的心理装置，分歧只在“装置”是无意识的防御，还是可被纠正的认知错误。</w:t>
      </w:r>
    </w:p>
    <w:p>
      <w:pPr>
        <w:keepNext/>
        <w:spacing w:before="200" w:after="120" w:line="312" w:lineRule="auto"/>
      </w:pPr>
      <w:r>
        <w:rPr>
          <w:rFonts w:ascii="Arial" w:hAnsi="Arial" w:eastAsia="黑体"/>
          <w:b/>
          <w:i w:val="0"/>
          <w:sz w:val="27"/>
        </w:rPr>
        <w:t>6.5 本章小结</w:t>
      </w:r>
    </w:p>
    <w:p>
      <w:pPr>
        <w:spacing w:line="360" w:lineRule="auto" w:before="0" w:after="120"/>
        <w:ind w:firstLine="420"/>
        <w:jc w:val="both"/>
      </w:pPr>
      <w:r>
        <w:rPr>
          <w:rFonts w:ascii="Times New Roman" w:hAnsi="Times New Roman" w:eastAsia="宋体"/>
          <w:b w:val="0"/>
          <w:i w:val="0"/>
          <w:sz w:val="21"/>
        </w:rPr>
        <w:t>交易成瘾是这个交叉领域里最有现实意义的落点：它既有临床诊断的硬证据，也有精神分析对动力机制的细腻描述。把两边接起来，才可能既解释“为什么”，又回答“怎么办”。</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：赌徒求的不是赢，是那个还没揭晓的瞬间——而市场每天都在批量生产这个瞬间。</w:t>
      </w:r>
    </w:p>
    <w:p>
      <w:pPr>
        <w:keepNext/>
        <w:spacing w:before="280" w:after="160" w:line="312" w:lineRule="auto"/>
      </w:pPr>
      <w:r>
        <w:rPr>
          <w:rFonts w:ascii="Arial" w:hAnsi="Arial" w:eastAsia="黑体"/>
          <w:b/>
          <w:i w:val="0"/>
          <w:sz w:val="32"/>
        </w:rPr>
        <w:t>七、拉康视角：欲望、幻想与市场的“大他者”</w:t>
      </w:r>
    </w:p>
    <w:p>
      <w:pPr>
        <w:keepNext/>
        <w:spacing w:before="200" w:after="120" w:line="312" w:lineRule="auto"/>
      </w:pPr>
      <w:r>
        <w:rPr>
          <w:rFonts w:ascii="Arial" w:hAnsi="Arial" w:eastAsia="黑体"/>
          <w:b/>
          <w:i w:val="0"/>
          <w:sz w:val="27"/>
        </w:rPr>
        <w:t>7.1 欲望作为转喻</w:t>
      </w:r>
    </w:p>
    <w:p>
      <w:pPr>
        <w:spacing w:line="360" w:lineRule="auto" w:before="0" w:after="120"/>
        <w:ind w:firstLine="420"/>
        <w:jc w:val="both"/>
      </w:pPr>
      <w:r>
        <w:rPr>
          <w:rFonts w:ascii="Times New Roman" w:hAnsi="Times New Roman" w:eastAsia="宋体"/>
          <w:b w:val="0"/>
          <w:i w:val="0"/>
          <w:sz w:val="21"/>
        </w:rPr>
        <w:t>拉康把欲望定义为“要求减去需要”，因此欲望注定无法被具体对象满足[44]。在金融里，这个结构有近乎教科书式的对应：赚到一笔之后，欲望并不会平息，而是沿着能指链滑向下一笔。孔明安在评论 Žižek 的金融资本主义分析时，把这一逻辑概括为“欲望主体”的悖论——主体集匮乏与欲望、贪婪与恐惧于一身，投机冲动正来自这种结构[44]。</w:t>
      </w:r>
    </w:p>
    <w:p>
      <w:pPr>
        <w:keepNext/>
        <w:spacing w:before="200" w:after="120" w:line="312" w:lineRule="auto"/>
      </w:pPr>
      <w:r>
        <w:rPr>
          <w:rFonts w:ascii="Arial" w:hAnsi="Arial" w:eastAsia="黑体"/>
          <w:b/>
          <w:i w:val="0"/>
          <w:sz w:val="27"/>
        </w:rPr>
        <w:t>7.2 意识形态幻想与腐败交易</w:t>
      </w:r>
    </w:p>
    <w:p>
      <w:pPr>
        <w:spacing w:line="360" w:lineRule="auto" w:before="0" w:after="120"/>
        <w:ind w:firstLine="420"/>
        <w:jc w:val="both"/>
      </w:pPr>
      <w:r>
        <w:rPr>
          <w:rFonts w:ascii="Times New Roman" w:hAnsi="Times New Roman" w:eastAsia="宋体"/>
          <w:b w:val="0"/>
          <w:i w:val="0"/>
          <w:sz w:val="21"/>
        </w:rPr>
        <w:t>Pignot 用拉康的“意识形态幻想”分析了高盛 Abacus 交易中的邮件往来，提出交易员的腐败行为并非单纯的道德败坏，而是一种“自逾越的享乐”（self-transgressive jouissance）——既带来快感又自我破坏，用以维系公司那些不可能的理想规范[17]。这是把拉康概念落到具体交易证据上的少数尝试之一，其材料来自真实的内部邮件，比其他纯理论推演更有说服力。</w:t>
      </w:r>
    </w:p>
    <w:p>
      <w:pPr>
        <w:keepNext/>
        <w:spacing w:before="200" w:after="120" w:line="312" w:lineRule="auto"/>
      </w:pPr>
      <w:r>
        <w:rPr>
          <w:rFonts w:ascii="Arial" w:hAnsi="Arial" w:eastAsia="黑体"/>
          <w:b/>
          <w:i w:val="0"/>
          <w:sz w:val="27"/>
        </w:rPr>
        <w:t>7.3 剩余享乐与资本主义话语</w:t>
      </w:r>
    </w:p>
    <w:p>
      <w:pPr>
        <w:spacing w:line="360" w:lineRule="auto" w:before="0" w:after="120"/>
        <w:ind w:firstLine="420"/>
        <w:jc w:val="both"/>
      </w:pPr>
      <w:r>
        <w:rPr>
          <w:rFonts w:ascii="Times New Roman" w:hAnsi="Times New Roman" w:eastAsia="宋体"/>
          <w:b w:val="0"/>
          <w:i w:val="0"/>
          <w:sz w:val="21"/>
        </w:rPr>
        <w:t>Žižek 的贡献在于把拉康的“剩余享乐”接进马克思的政治经济学，主张当代资本主义已经从生产主导转向金融投机主导，其运作方式近似于“对象 a”的机制[10][44][45]。陈剑对“资本主义恋物癖”的梳理进一步指出：人们明知金钱、地位只是社会关系的折射，行为上却仍将其当神来膜拜，这种“知而不信、信而不言”的自动化，正是商品恋物癖的当代形态[45]。在更宏观的层面，Maher 用“自由市场作为幻想”解释新自由主义为何具有惊人韧性[54]。</w:t>
      </w:r>
    </w:p>
    <w:p>
      <w:pPr>
        <w:keepNext/>
        <w:spacing w:before="200" w:after="120" w:line="312" w:lineRule="auto"/>
      </w:pPr>
      <w:r>
        <w:rPr>
          <w:rFonts w:ascii="Arial" w:hAnsi="Arial" w:eastAsia="黑体"/>
          <w:b/>
          <w:i w:val="0"/>
          <w:sz w:val="27"/>
        </w:rPr>
        <w:t>7.4 恋物癖：从商品到货币到比特币</w:t>
      </w:r>
    </w:p>
    <w:p>
      <w:pPr>
        <w:spacing w:line="360" w:lineRule="auto" w:before="0" w:after="120"/>
        <w:ind w:firstLine="420"/>
        <w:jc w:val="both"/>
      </w:pPr>
      <w:r>
        <w:rPr>
          <w:rFonts w:ascii="Times New Roman" w:hAnsi="Times New Roman" w:eastAsia="宋体"/>
          <w:b w:val="0"/>
          <w:i w:val="0"/>
          <w:sz w:val="21"/>
        </w:rPr>
        <w:t>Bjerg 用 Žižek 的“实在界/象征界/想象界”三元组分析了比特币的本体构成，给出一个漂亮的判词：比特币是“没有黄金的商品货币、没有国家的法币、没有债务的信用货币”[21]。这项研究的意义在于示范了三界框架如何被用来分析具体货币现象，而不只是做概念游戏。</w:t>
      </w:r>
    </w:p>
    <w:p>
      <w:pPr>
        <w:keepNext/>
        <w:spacing w:before="200" w:after="120" w:line="312" w:lineRule="auto"/>
      </w:pPr>
      <w:r>
        <w:rPr>
          <w:rFonts w:ascii="Arial" w:hAnsi="Arial" w:eastAsia="黑体"/>
          <w:b/>
          <w:i w:val="0"/>
          <w:sz w:val="27"/>
        </w:rPr>
        <w:t>7.5 这条路径的定位与风险</w:t>
      </w:r>
    </w:p>
    <w:p>
      <w:pPr>
        <w:spacing w:line="360" w:lineRule="auto" w:before="0" w:after="120"/>
        <w:ind w:firstLine="420"/>
        <w:jc w:val="both"/>
      </w:pPr>
      <w:r>
        <w:rPr>
          <w:rFonts w:ascii="Times New Roman" w:hAnsi="Times New Roman" w:eastAsia="宋体"/>
          <w:b w:val="0"/>
          <w:i w:val="0"/>
          <w:sz w:val="21"/>
        </w:rPr>
        <w:t>拉康取向的好处是能处理“结构与意识形态”层面的问题，这是行为金融完全够不着的层次。风险同样明显：它极易滑向对一切现象的万能解释，从而丧失证伪的可能——而这正是波普尔当年对精神分析的核心指控[41]。把拉康讲成“什么都能解释”，恰好是让它变得什么都不能反驳。</w:t>
      </w:r>
    </w:p>
    <w:p>
      <w:pPr>
        <w:keepNext/>
        <w:spacing w:before="200" w:after="120" w:line="312" w:lineRule="auto"/>
      </w:pPr>
      <w:r>
        <w:rPr>
          <w:rFonts w:ascii="Arial" w:hAnsi="Arial" w:eastAsia="黑体"/>
          <w:b/>
          <w:i w:val="0"/>
          <w:sz w:val="27"/>
        </w:rPr>
        <w:t>7.6 本章小结</w:t>
      </w:r>
    </w:p>
    <w:p>
      <w:pPr>
        <w:spacing w:line="360" w:lineRule="auto" w:before="0" w:after="120"/>
        <w:ind w:firstLine="420"/>
        <w:jc w:val="both"/>
      </w:pPr>
      <w:r>
        <w:rPr>
          <w:rFonts w:ascii="Times New Roman" w:hAnsi="Times New Roman" w:eastAsia="宋体"/>
          <w:b w:val="0"/>
          <w:i w:val="0"/>
          <w:sz w:val="21"/>
        </w:rPr>
        <w:t>拉康取向把精神分析从诊室推到了政治经济学，它最有价值的产出，是把“贪婪与恐惧”从情绪词升级为结构位置。</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：市场不缺故事，缺的是弄明白为什么明知是故事，还要往里投钱。</w:t>
      </w:r>
    </w:p>
    <w:p>
      <w:pPr>
        <w:keepNext/>
        <w:spacing w:before="280" w:after="160" w:line="312" w:lineRule="auto"/>
      </w:pPr>
      <w:r>
        <w:rPr>
          <w:rFonts w:ascii="Arial" w:hAnsi="Arial" w:eastAsia="黑体"/>
          <w:b/>
          <w:i w:val="0"/>
          <w:sz w:val="32"/>
        </w:rPr>
        <w:t>八、实证与证据层：精神分析的主张如何被检验</w:t>
      </w:r>
    </w:p>
    <w:p>
      <w:pPr>
        <w:keepNext/>
        <w:spacing w:before="200" w:after="120" w:line="312" w:lineRule="auto"/>
      </w:pPr>
      <w:r>
        <w:rPr>
          <w:rFonts w:ascii="Arial" w:hAnsi="Arial" w:eastAsia="黑体"/>
          <w:b/>
          <w:i w:val="0"/>
          <w:sz w:val="27"/>
        </w:rPr>
        <w:t>8.1 质性证据：访谈与临床</w:t>
      </w:r>
    </w:p>
    <w:p>
      <w:pPr>
        <w:spacing w:line="360" w:lineRule="auto" w:before="0" w:after="120"/>
        <w:ind w:firstLine="420"/>
        <w:jc w:val="both"/>
      </w:pPr>
      <w:r>
        <w:rPr>
          <w:rFonts w:ascii="Times New Roman" w:hAnsi="Times New Roman" w:eastAsia="宋体"/>
          <w:b w:val="0"/>
          <w:i w:val="0"/>
          <w:sz w:val="21"/>
        </w:rPr>
        <w:t>情绪金融的实证主要靠深度访谈。McDonnell 的 21 人访谈是较完整的样本，它把“幻觉客体、社会防御、基本假设、效价、脆弱性”编码为动力因素，并从精神动力学角度解释前景理论中风险偏好翻转的成因[23]。这类研究的长处是能捕捉意义结构，短处是样本小、无法独立重复、结论受访谈者与编码者影响。</w:t>
      </w:r>
    </w:p>
    <w:p>
      <w:pPr>
        <w:keepNext/>
        <w:spacing w:before="200" w:after="120" w:line="312" w:lineRule="auto"/>
      </w:pPr>
      <w:r>
        <w:rPr>
          <w:rFonts w:ascii="Arial" w:hAnsi="Arial" w:eastAsia="黑体"/>
          <w:b/>
          <w:i w:val="0"/>
          <w:sz w:val="27"/>
        </w:rPr>
        <w:t>8.2 神经金融与躯体标记</w:t>
      </w:r>
    </w:p>
    <w:p>
      <w:pPr>
        <w:spacing w:line="360" w:lineRule="auto" w:before="0" w:after="120"/>
        <w:ind w:firstLine="420"/>
        <w:jc w:val="both"/>
      </w:pPr>
      <w:r>
        <w:rPr>
          <w:rFonts w:ascii="Times New Roman" w:hAnsi="Times New Roman" w:eastAsia="宋体"/>
          <w:b w:val="0"/>
          <w:i w:val="0"/>
          <w:sz w:val="21"/>
        </w:rPr>
        <w:t>达马西奥的躯体标记假说主张，身体状态信号（如皮肤电反应）会为决策“打标”，情绪因此不是理性的对立面，而是复杂不确定情境下决策的必要环节[33]。这条思路被用于交易研究：一项实验测量了 30 名被试在交易博弈中的预期性情绪（皮肤电），发现其与交易表现显著相关，但相关方向取决于标的价格的走势——情绪既非全好也非全坏，而是情境依赖的[35]。</w:t>
      </w:r>
    </w:p>
    <w:p>
      <w:pPr>
        <w:spacing w:line="360" w:lineRule="auto" w:before="0" w:after="120"/>
        <w:ind w:firstLine="420"/>
        <w:jc w:val="both"/>
      </w:pPr>
      <w:r>
        <w:rPr>
          <w:rFonts w:ascii="Times New Roman" w:hAnsi="Times New Roman" w:eastAsia="宋体"/>
          <w:b w:val="0"/>
          <w:i w:val="0"/>
          <w:sz w:val="21"/>
        </w:rPr>
        <w:t>需要注意的是，躯体标记假说本身受到严厉批评：Dunn 等人指出，其证据主要来自爱荷华赌博任务，而该任务存在奖励结构可被认知穿透、心理生理数据解释含混、缺乏外周反馈与任务表现之间因果证据等问题[34]。换言之，即便神经金融这一层，也不是铁板一块。中文语境的普及性读物则把“大脑把股市当作原始森林”式的神经金融解释讲给了普通投资者[46]。</w:t>
      </w:r>
    </w:p>
    <w:p>
      <w:pPr>
        <w:keepNext/>
        <w:spacing w:before="200" w:after="120" w:line="312" w:lineRule="auto"/>
      </w:pPr>
      <w:r>
        <w:rPr>
          <w:rFonts w:ascii="Arial" w:hAnsi="Arial" w:eastAsia="黑体"/>
          <w:b/>
          <w:i w:val="0"/>
          <w:sz w:val="27"/>
        </w:rPr>
        <w:t>8.3 情绪的可测量化</w:t>
      </w:r>
    </w:p>
    <w:p>
      <w:pPr>
        <w:spacing w:line="360" w:lineRule="auto" w:before="0" w:after="120"/>
        <w:ind w:firstLine="420"/>
        <w:jc w:val="both"/>
      </w:pPr>
      <w:r>
        <w:rPr>
          <w:rFonts w:ascii="Times New Roman" w:hAnsi="Times New Roman" w:eastAsia="宋体"/>
          <w:b w:val="0"/>
          <w:i w:val="0"/>
          <w:sz w:val="21"/>
        </w:rPr>
        <w:t>行为与资产定价文献尝试把情绪变成因子：有研究用情绪的异质波动率（EMO）度量行为唤醒风险，发现其与横截面收益相关，并认为其来源是噪音交易而非知情交易[38]；也有研究把行为异质性引入情绪指标，发现情绪与收益的肥尾、波动聚集等异象相关，并能在模型中复现不同类型危机[39]。这些工作与精神分析没有直接血缘，但它们的度量思路，恰恰是情绪金融若想被检验所必须借用的工具。需要一提的是，Forbes 直接讨论了无意识思维如何既推动又阻碍良好的财务决策[55]，而 Dow 把凯恩斯、明斯基与情绪金融放进同一个比较框架[56]。</w:t>
      </w:r>
    </w:p>
    <w:p>
      <w:pPr>
        <w:keepNext/>
        <w:spacing w:before="200" w:after="120" w:line="312" w:lineRule="auto"/>
      </w:pPr>
      <w:r>
        <w:rPr>
          <w:rFonts w:ascii="Arial" w:hAnsi="Arial" w:eastAsia="黑体"/>
          <w:b/>
          <w:i w:val="0"/>
          <w:sz w:val="27"/>
        </w:rPr>
        <w:t>8.4 交易成瘾的流行病学</w:t>
      </w:r>
    </w:p>
    <w:p>
      <w:pPr>
        <w:spacing w:line="360" w:lineRule="auto" w:before="0" w:after="120"/>
        <w:ind w:firstLine="420"/>
        <w:jc w:val="both"/>
      </w:pPr>
      <w:r>
        <w:rPr>
          <w:rFonts w:ascii="Times New Roman" w:hAnsi="Times New Roman" w:eastAsia="宋体"/>
          <w:b w:val="0"/>
          <w:i w:val="0"/>
          <w:sz w:val="21"/>
        </w:rPr>
        <w:t>这是全领域证据最硬的一块：诊断标准可移植[36][37]、患病率可统计、共病与后果可追踪。它给精神分析式解释提供了一个可落地的“地面”：如果心理动力机制确实存在，它应当在这些可观测的临床人群里留下痕迹。</w:t>
      </w:r>
    </w:p>
    <w:p>
      <w:pPr>
        <w:keepNext/>
        <w:spacing w:before="200" w:after="120" w:line="312" w:lineRule="auto"/>
      </w:pPr>
      <w:r>
        <w:rPr>
          <w:rFonts w:ascii="Arial" w:hAnsi="Arial" w:eastAsia="黑体"/>
          <w:b/>
          <w:i w:val="0"/>
          <w:sz w:val="27"/>
        </w:rPr>
        <w:t>8.5 证据的分级与置信度</w:t>
      </w:r>
    </w:p>
    <w:p>
      <w:pPr>
        <w:spacing w:line="360" w:lineRule="auto" w:before="0" w:after="120"/>
        <w:ind w:firstLine="420"/>
        <w:jc w:val="both"/>
      </w:pPr>
      <w:r>
        <w:rPr>
          <w:rFonts w:ascii="Times New Roman" w:hAnsi="Times New Roman" w:eastAsia="宋体"/>
          <w:b w:val="0"/>
          <w:i w:val="0"/>
          <w:sz w:val="21"/>
        </w:rPr>
        <w:t>把上述证据按强度排序，大致是：交易成瘾与赌博重合（实证强）、情绪影响决策且情境依赖（实验中等、可重复）、躯体标记的具体机制（争议中）、群体层面“市场作为心理群体”（理论强、实证弱）、幻觉客体与分阶段投资（理论丰富、操作化不足）、拉康式结构解释（思辨性最强、几乎不可证伪）。逐条评级见附录 C。</w:t>
      </w:r>
    </w:p>
    <w:p>
      <w:pPr>
        <w:keepNext/>
        <w:spacing w:before="200" w:after="120" w:line="312" w:lineRule="auto"/>
      </w:pPr>
      <w:r>
        <w:rPr>
          <w:rFonts w:ascii="Arial" w:hAnsi="Arial" w:eastAsia="黑体"/>
          <w:b/>
          <w:i w:val="0"/>
          <w:sz w:val="27"/>
        </w:rPr>
        <w:t>8.6 本章小结</w:t>
      </w:r>
    </w:p>
    <w:p>
      <w:pPr>
        <w:spacing w:line="360" w:lineRule="auto" w:before="0" w:after="120"/>
        <w:ind w:firstLine="420"/>
        <w:jc w:val="both"/>
      </w:pPr>
      <w:r>
        <w:rPr>
          <w:rFonts w:ascii="Times New Roman" w:hAnsi="Times New Roman" w:eastAsia="宋体"/>
          <w:b w:val="0"/>
          <w:i w:val="0"/>
          <w:sz w:val="21"/>
        </w:rPr>
        <w:t>精神分析的实证困境可以归结为一句话：越接近无意识核心的主张，越难找到干净的可观测对应物；越好测量的部分，越接近行为金融已有的结论。</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：一条解释要想有分量，必须承受被反证的代价。</w:t>
      </w:r>
    </w:p>
    <w:p>
      <w:pPr>
        <w:keepNext/>
        <w:spacing w:before="280" w:after="160" w:line="312" w:lineRule="auto"/>
      </w:pPr>
      <w:r>
        <w:rPr>
          <w:rFonts w:ascii="Arial" w:hAnsi="Arial" w:eastAsia="黑体"/>
          <w:b/>
          <w:i w:val="0"/>
          <w:sz w:val="32"/>
        </w:rPr>
        <w:t>九、方法论批判：科学地位与边界</w:t>
      </w:r>
    </w:p>
    <w:p>
      <w:pPr>
        <w:keepNext/>
        <w:spacing w:before="200" w:after="120" w:line="312" w:lineRule="auto"/>
      </w:pPr>
      <w:r>
        <w:rPr>
          <w:rFonts w:ascii="Arial" w:hAnsi="Arial" w:eastAsia="黑体"/>
          <w:b/>
          <w:i w:val="0"/>
          <w:sz w:val="27"/>
        </w:rPr>
        <w:t>9.1 波普尔的质疑</w:t>
      </w:r>
    </w:p>
    <w:p>
      <w:pPr>
        <w:spacing w:line="360" w:lineRule="auto" w:before="0" w:after="120"/>
        <w:ind w:firstLine="420"/>
        <w:jc w:val="both"/>
      </w:pPr>
      <w:r>
        <w:rPr>
          <w:rFonts w:ascii="Times New Roman" w:hAnsi="Times New Roman" w:eastAsia="宋体"/>
          <w:b w:val="0"/>
          <w:i w:val="0"/>
          <w:sz w:val="21"/>
        </w:rPr>
        <w:t>波普尔把可证伪性当作科学与非科学的分界，并明确把精神分析（与马克思主义历史观）列为“与一切可能观察相容、因而不可证伪”的典型[41]。这个批评对本文的主题极其关键：如果精神分析的解释永远能与任何结果自洽，那它对金融研究的贡献就只能停留在事后叙事。</w:t>
      </w:r>
    </w:p>
    <w:p>
      <w:pPr>
        <w:keepNext/>
        <w:spacing w:before="200" w:after="120" w:line="312" w:lineRule="auto"/>
      </w:pPr>
      <w:r>
        <w:rPr>
          <w:rFonts w:ascii="Arial" w:hAnsi="Arial" w:eastAsia="黑体"/>
          <w:b/>
          <w:i w:val="0"/>
          <w:sz w:val="27"/>
        </w:rPr>
        <w:t>9.2 格林鲍姆的补刀</w:t>
      </w:r>
    </w:p>
    <w:p>
      <w:pPr>
        <w:spacing w:line="360" w:lineRule="auto" w:before="0" w:after="120"/>
        <w:ind w:firstLine="420"/>
        <w:jc w:val="both"/>
      </w:pPr>
      <w:r>
        <w:rPr>
          <w:rFonts w:ascii="Times New Roman" w:hAnsi="Times New Roman" w:eastAsia="宋体"/>
          <w:b w:val="0"/>
          <w:i w:val="0"/>
          <w:sz w:val="21"/>
        </w:rPr>
        <w:t>格林鲍姆比波普尔更不留情，但他也不认为波普尔说对了。他指出弗洛伊德其实做出过可检验的预测，问题不在可证伪性，而在证据价值：临床素材很可能是分析师自我实现预期的产物，自由联想并未真正支持无意识动机理论；他主张，若要检验精神分析的核心主张，必须依靠设计良好的“临床之外”的研究[42][43]。这一判断为本文指了方向：精神分析要在金融里站住脚，靠的不是更多案例，而是更多独立、可重复的实证。</w:t>
      </w:r>
    </w:p>
    <w:p>
      <w:pPr>
        <w:keepNext/>
        <w:spacing w:before="200" w:after="120" w:line="312" w:lineRule="auto"/>
      </w:pPr>
      <w:r>
        <w:rPr>
          <w:rFonts w:ascii="Arial" w:hAnsi="Arial" w:eastAsia="黑体"/>
          <w:b/>
          <w:i w:val="0"/>
          <w:sz w:val="27"/>
        </w:rPr>
        <w:t>9.3 情绪金融能不能被证伪</w:t>
      </w:r>
    </w:p>
    <w:p>
      <w:pPr>
        <w:spacing w:line="360" w:lineRule="auto" w:before="0" w:after="120"/>
        <w:ind w:firstLine="420"/>
        <w:jc w:val="both"/>
      </w:pPr>
      <w:r>
        <w:rPr>
          <w:rFonts w:ascii="Times New Roman" w:hAnsi="Times New Roman" w:eastAsia="宋体"/>
          <w:b w:val="0"/>
          <w:i w:val="0"/>
          <w:sz w:val="21"/>
        </w:rPr>
        <w:t>把情绪金融的核心主张翻译成可反驳的命题，是可行的。例如：如果“幻觉客体”真实存在，那么在资产成为幻觉客体期间，负面信息的定价速度应当显著慢于中性时期，且这种差异在对象被“去幻觉化”后消失。如果“分阶段投资”是一个真实状态，那么它应当与可测量的心理指标（如矛盾情感容忍度、持仓集中度的时间序列）相关。这些命题至少在原则上是可检验的。</w:t>
      </w:r>
    </w:p>
    <w:p>
      <w:pPr>
        <w:keepNext/>
        <w:spacing w:before="200" w:after="120" w:line="312" w:lineRule="auto"/>
      </w:pPr>
      <w:r>
        <w:rPr>
          <w:rFonts w:ascii="Arial" w:hAnsi="Arial" w:eastAsia="黑体"/>
          <w:b/>
          <w:i w:val="0"/>
          <w:sz w:val="27"/>
        </w:rPr>
        <w:t>9.4 与行为金融的分工</w:t>
      </w:r>
    </w:p>
    <w:p>
      <w:pPr>
        <w:spacing w:line="360" w:lineRule="auto" w:before="0" w:after="120"/>
        <w:ind w:firstLine="420"/>
        <w:jc w:val="both"/>
      </w:pPr>
      <w:r>
        <w:rPr>
          <w:rFonts w:ascii="Times New Roman" w:hAnsi="Times New Roman" w:eastAsia="宋体"/>
          <w:b w:val="0"/>
          <w:i w:val="0"/>
          <w:sz w:val="21"/>
        </w:rPr>
        <w:t>一个务实的判断是：精神分析与行为金融不是替代关系，而是分工关系。行为金融擅长刻画偏差的形态与统计规律，精神分析擅长解释偏差的动力学来源与重复性。把前者当作预测引擎，把后者当作机制假说库，比强行让精神分析去做它不擅长的预测更诚实。</w:t>
      </w:r>
    </w:p>
    <w:p>
      <w:pPr>
        <w:keepNext/>
        <w:spacing w:before="200" w:after="120" w:line="312" w:lineRule="auto"/>
      </w:pPr>
      <w:r>
        <w:rPr>
          <w:rFonts w:ascii="Arial" w:hAnsi="Arial" w:eastAsia="黑体"/>
          <w:b/>
          <w:i w:val="0"/>
          <w:sz w:val="27"/>
        </w:rPr>
        <w:t>9.5 过度解读的风险清单</w:t>
      </w:r>
    </w:p>
    <w:p>
      <w:pPr>
        <w:spacing w:line="360" w:lineRule="auto" w:after="60"/>
        <w:ind w:left="420" w:hanging="210"/>
      </w:pPr>
      <w:r>
        <w:rPr>
          <w:rFonts w:ascii="Times New Roman" w:hAnsi="Times New Roman" w:eastAsia="宋体"/>
          <w:b w:val="0"/>
          <w:i w:val="0"/>
          <w:sz w:val="21"/>
        </w:rPr>
        <w:t>— 把一切亏损都解释为“无意识求输”，会取消对纪律、成本、技能的严肃讨论。</w:t>
      </w:r>
    </w:p>
    <w:p>
      <w:pPr>
        <w:spacing w:line="360" w:lineRule="auto" w:after="60"/>
        <w:ind w:left="420" w:hanging="210"/>
      </w:pPr>
      <w:r>
        <w:rPr>
          <w:rFonts w:ascii="Times New Roman" w:hAnsi="Times New Roman" w:eastAsia="宋体"/>
          <w:b w:val="0"/>
          <w:i w:val="0"/>
          <w:sz w:val="21"/>
        </w:rPr>
        <w:t>— 把市场说成“一个大主体”，可能掩盖异质性——不同交易者的心理结构并不相同。</w:t>
      </w:r>
    </w:p>
    <w:p>
      <w:pPr>
        <w:spacing w:line="360" w:lineRule="auto" w:after="60"/>
        <w:ind w:left="420" w:hanging="210"/>
      </w:pPr>
      <w:r>
        <w:rPr>
          <w:rFonts w:ascii="Times New Roman" w:hAnsi="Times New Roman" w:eastAsia="宋体"/>
          <w:b w:val="0"/>
          <w:i w:val="0"/>
          <w:sz w:val="21"/>
        </w:rPr>
        <w:t>— 用拉康术语解释一切，等于什么都没解释；万能解释是理论退化的标志。</w:t>
      </w:r>
    </w:p>
    <w:p>
      <w:pPr>
        <w:spacing w:line="360" w:lineRule="auto" w:after="60"/>
        <w:ind w:left="420" w:hanging="210"/>
      </w:pPr>
      <w:r>
        <w:rPr>
          <w:rFonts w:ascii="Times New Roman" w:hAnsi="Times New Roman" w:eastAsia="宋体"/>
          <w:b w:val="0"/>
          <w:i w:val="0"/>
          <w:sz w:val="21"/>
        </w:rPr>
        <w:t>— 将临床概念未经改造地移植到市场，容易产生“看起来深刻、其实不可操作”的结论。</w:t>
      </w:r>
    </w:p>
    <w:p>
      <w:pPr>
        <w:spacing w:line="360" w:lineRule="auto" w:after="60"/>
        <w:ind w:left="420" w:hanging="210"/>
      </w:pPr>
      <w:r>
        <w:rPr>
          <w:rFonts w:ascii="Times New Roman" w:hAnsi="Times New Roman" w:eastAsia="宋体"/>
          <w:b w:val="0"/>
          <w:i w:val="0"/>
          <w:sz w:val="21"/>
        </w:rPr>
        <w:t>— 忽略反方证据（如躯体标记的批评、弗洛伊德自罚解释的边缘化），会高估证据强度。</w:t>
      </w:r>
    </w:p>
    <w:p>
      <w:pPr>
        <w:keepNext/>
        <w:spacing w:before="200" w:after="120" w:line="312" w:lineRule="auto"/>
      </w:pPr>
      <w:r>
        <w:rPr>
          <w:rFonts w:ascii="Arial" w:hAnsi="Arial" w:eastAsia="黑体"/>
          <w:b/>
          <w:i w:val="0"/>
          <w:sz w:val="27"/>
        </w:rPr>
        <w:t>9.6 本章小结</w:t>
      </w:r>
    </w:p>
    <w:p>
      <w:pPr>
        <w:spacing w:line="360" w:lineRule="auto" w:before="0" w:after="120"/>
        <w:ind w:firstLine="420"/>
        <w:jc w:val="both"/>
      </w:pPr>
      <w:r>
        <w:rPr>
          <w:rFonts w:ascii="Times New Roman" w:hAnsi="Times New Roman" w:eastAsia="宋体"/>
          <w:b w:val="0"/>
          <w:i w:val="0"/>
          <w:sz w:val="21"/>
        </w:rPr>
        <w:t>方法论的诚实，是这个领域能否被主流金融接纳的前提。承认哪些主张不可证伪，比假装它们都能证伪，更能保住可信度。</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：精神分析要进入金融，先得放下“什么都能解释”的诱惑。</w:t>
      </w:r>
    </w:p>
    <w:p>
      <w:pPr>
        <w:keepNext/>
        <w:spacing w:before="280" w:after="160" w:line="312" w:lineRule="auto"/>
      </w:pPr>
      <w:r>
        <w:rPr>
          <w:rFonts w:ascii="Arial" w:hAnsi="Arial" w:eastAsia="黑体"/>
          <w:b/>
          <w:i w:val="0"/>
          <w:sz w:val="32"/>
        </w:rPr>
        <w:t>十、综合：五条路线对照与置信度</w:t>
      </w:r>
    </w:p>
    <w:p>
      <w:pPr>
        <w:keepNext/>
        <w:spacing w:before="200" w:after="120" w:line="312" w:lineRule="auto"/>
      </w:pPr>
      <w:r>
        <w:rPr>
          <w:rFonts w:ascii="Arial" w:hAnsi="Arial" w:eastAsia="黑体"/>
          <w:b/>
          <w:i w:val="0"/>
          <w:sz w:val="27"/>
        </w:rPr>
        <w:t>10.1 五条研究路线对照</w:t>
      </w:r>
    </w:p>
    <w:p>
      <w:pPr>
        <w:spacing w:line="360" w:lineRule="auto" w:before="0" w:after="120"/>
        <w:ind w:firstLine="420"/>
        <w:jc w:val="both"/>
      </w:pPr>
      <w:r>
        <w:rPr>
          <w:rFonts w:ascii="Times New Roman" w:hAnsi="Times New Roman" w:eastAsia="宋体"/>
          <w:b w:val="0"/>
          <w:i w:val="0"/>
          <w:sz w:val="21"/>
        </w:rPr>
        <w:t>本文梳理的五条路线，可以按“核心问题—解释层次—证据类型—主要弱点”四个维度对照，见附录 B。简要地说：钱的精神分析学提供象征与关系视角，但离交易现场较远；群体心理学解释同步与泡沫，但可测量性差；情绪金融最成体系，处在可检验化的临界点；交易者病理证据最硬，但更接近临床精神病学而非金融；拉康取向理论最深，可证伪性最弱。</w:t>
      </w:r>
    </w:p>
    <w:p>
      <w:pPr>
        <w:keepNext/>
        <w:spacing w:before="200" w:after="120" w:line="312" w:lineRule="auto"/>
      </w:pPr>
      <w:r>
        <w:rPr>
          <w:rFonts w:ascii="Arial" w:hAnsi="Arial" w:eastAsia="黑体"/>
          <w:b/>
          <w:i w:val="0"/>
          <w:sz w:val="27"/>
        </w:rPr>
        <w:t>10.2 术语到市场现象的映射</w:t>
      </w:r>
    </w:p>
    <w:p>
      <w:pPr>
        <w:spacing w:line="360" w:lineRule="auto" w:before="0" w:after="120"/>
        <w:ind w:firstLine="420"/>
        <w:jc w:val="both"/>
      </w:pPr>
      <w:r>
        <w:rPr>
          <w:rFonts w:ascii="Times New Roman" w:hAnsi="Times New Roman" w:eastAsia="宋体"/>
          <w:b w:val="0"/>
          <w:i w:val="0"/>
          <w:sz w:val="21"/>
        </w:rPr>
        <w:t>把概念落到现象，是检验翻译条件是否满足的关键一步，见附录 D。映射表的价值不在好看，而在于它暴露了哪些概念其实找不到干净的行为对应物——这些恰恰是最需要未来研究填补的地方。</w:t>
      </w:r>
    </w:p>
    <w:p>
      <w:pPr>
        <w:keepNext/>
        <w:spacing w:before="200" w:after="120" w:line="312" w:lineRule="auto"/>
      </w:pPr>
      <w:r>
        <w:rPr>
          <w:rFonts w:ascii="Arial" w:hAnsi="Arial" w:eastAsia="黑体"/>
          <w:b/>
          <w:i w:val="0"/>
          <w:sz w:val="27"/>
        </w:rPr>
        <w:t>10.3 一个整体判断</w:t>
      </w:r>
    </w:p>
    <w:p>
      <w:pPr>
        <w:spacing w:line="360" w:lineRule="auto" w:before="0" w:after="120"/>
        <w:ind w:firstLine="420"/>
        <w:jc w:val="both"/>
      </w:pPr>
      <w:r>
        <w:rPr>
          <w:rFonts w:ascii="Times New Roman" w:hAnsi="Times New Roman" w:eastAsia="宋体"/>
          <w:b w:val="0"/>
          <w:i w:val="0"/>
          <w:sz w:val="21"/>
        </w:rPr>
        <w:t>综合全部证据，本文的判断是克制的：</w:t>
      </w:r>
      <w:r>
        <w:rPr>
          <w:rFonts w:ascii="Times New Roman" w:hAnsi="Times New Roman" w:eastAsia="宋体"/>
          <w:b/>
          <w:i w:val="0"/>
          <w:sz w:val="21"/>
        </w:rPr>
        <w:t>精神分析在金融交易研究中的地位，是机制假说的供给方，而不是预测模型的竞争者。</w:t>
      </w:r>
      <w:r>
        <w:rPr>
          <w:rFonts w:ascii="Times New Roman" w:hAnsi="Times New Roman" w:eastAsia="宋体"/>
          <w:b w:val="0"/>
          <w:i w:val="0"/>
          <w:sz w:val="21"/>
        </w:rPr>
        <w:t>它在三个问题上提供了别处找不到的深度——明知故犯、亏损的重复、群体的同步狂热；它在三个问题上明显弱于行为金融——参数估计、可重复的实证、跨样本泛化。把它放在正确的位置上，它能反过来为行为金融提供更好的问题意识；放错位置，它就会退化成一套事后圆故事的话术。</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：精神分析解释得越深，越需要承认它预测得越浅。</w:t>
      </w:r>
    </w:p>
    <w:p>
      <w:pPr>
        <w:keepNext/>
        <w:spacing w:before="280" w:after="160" w:line="312" w:lineRule="auto"/>
      </w:pPr>
      <w:r>
        <w:rPr>
          <w:rFonts w:ascii="Arial" w:hAnsi="Arial" w:eastAsia="黑体"/>
          <w:b/>
          <w:i w:val="0"/>
          <w:sz w:val="32"/>
        </w:rPr>
        <w:t>十一、未来研究方向</w:t>
      </w:r>
    </w:p>
    <w:p>
      <w:pPr>
        <w:keepNext/>
        <w:spacing w:before="200" w:after="120" w:line="312" w:lineRule="auto"/>
      </w:pPr>
      <w:r>
        <w:rPr>
          <w:rFonts w:ascii="Arial" w:hAnsi="Arial" w:eastAsia="黑体"/>
          <w:b/>
          <w:i w:val="0"/>
          <w:sz w:val="27"/>
        </w:rPr>
        <w:t>11.1 可复现实验设计建议</w:t>
      </w:r>
    </w:p>
    <w:p>
      <w:pPr>
        <w:spacing w:line="360" w:lineRule="auto" w:before="0" w:after="120"/>
        <w:ind w:firstLine="420"/>
        <w:jc w:val="both"/>
      </w:pPr>
      <w:r>
        <w:rPr>
          <w:rFonts w:ascii="Times New Roman" w:hAnsi="Times New Roman" w:eastAsia="宋体"/>
          <w:b w:val="0"/>
          <w:i w:val="0"/>
          <w:sz w:val="21"/>
        </w:rPr>
        <w:t>若要推进这一领域，至少可以做四件事。第一，为“幻觉客体”定义可操作的识别规则，例如用信息不对称定价速度、叙事密度、社交讨论量的联合指标来标记对象进入“幻觉态”的时间窗。第二，把“分阶段/未分阶段投资”与已有的心理学量表及持仓行为的时间序列对接，做预注册的假设检验。第三，在交易成瘾研究里加入精神动力学访谈，把“硬诊断”与“动力机制”放在同一批被试上验证。第四，对拉康式命题做“可反驳化”改造，明确给出在什么观察下该命题被推翻。</w:t>
      </w:r>
    </w:p>
    <w:p>
      <w:pPr>
        <w:keepNext/>
        <w:spacing w:before="200" w:after="120" w:line="312" w:lineRule="auto"/>
      </w:pPr>
      <w:r>
        <w:rPr>
          <w:rFonts w:ascii="Arial" w:hAnsi="Arial" w:eastAsia="黑体"/>
          <w:b/>
          <w:i w:val="0"/>
          <w:sz w:val="27"/>
        </w:rPr>
        <w:t>11.2 数据与方法的整合</w:t>
      </w:r>
    </w:p>
    <w:p>
      <w:pPr>
        <w:spacing w:line="360" w:lineRule="auto" w:before="0" w:after="120"/>
        <w:ind w:firstLine="420"/>
        <w:jc w:val="both"/>
      </w:pPr>
      <w:r>
        <w:rPr>
          <w:rFonts w:ascii="Times New Roman" w:hAnsi="Times New Roman" w:eastAsia="宋体"/>
          <w:b w:val="0"/>
          <w:i w:val="0"/>
          <w:sz w:val="21"/>
        </w:rPr>
        <w:t>技术上，可以把情绪因子（EMO、情绪指标[38][39]）、文本与叙事指标、以及个体层面的心理生理数据整合进同一研究，用精神分析提供假设、用计量方法提供检验，避免两边各说各话。</w:t>
      </w:r>
    </w:p>
    <w:p>
      <w:pPr>
        <w:keepNext/>
        <w:spacing w:before="200" w:after="120" w:line="312" w:lineRule="auto"/>
      </w:pPr>
      <w:r>
        <w:rPr>
          <w:rFonts w:ascii="Arial" w:hAnsi="Arial" w:eastAsia="黑体"/>
          <w:b/>
          <w:i w:val="0"/>
          <w:sz w:val="27"/>
        </w:rPr>
        <w:t>11.3 伦理与监管含义</w:t>
      </w:r>
    </w:p>
    <w:p>
      <w:pPr>
        <w:spacing w:line="360" w:lineRule="auto" w:before="0" w:after="120"/>
        <w:ind w:firstLine="420"/>
        <w:jc w:val="both"/>
      </w:pPr>
      <w:r>
        <w:rPr>
          <w:rFonts w:ascii="Times New Roman" w:hAnsi="Times New Roman" w:eastAsia="宋体"/>
          <w:b w:val="0"/>
          <w:i w:val="0"/>
          <w:sz w:val="21"/>
        </w:rPr>
        <w:t>交易成瘾的证据已经足以支持监管层面的动作：既然过度交易与赌博障碍共享机制，那么券商的产品设计（高频推送、简易杠杆、游戏化界面）就应当被纳入消费者保护视野，而不是仅当作“用户偏好”[36][37]。</w:t>
      </w:r>
    </w:p>
    <w:p>
      <w:pPr>
        <w:keepNext/>
        <w:spacing w:before="200" w:after="120" w:line="312" w:lineRule="auto"/>
      </w:pPr>
      <w:r>
        <w:rPr>
          <w:rFonts w:ascii="Arial" w:hAnsi="Arial" w:eastAsia="黑体"/>
          <w:b/>
          <w:i w:val="0"/>
          <w:sz w:val="27"/>
        </w:rPr>
        <w:t>11.4 本章小结</w:t>
      </w:r>
    </w:p>
    <w:p>
      <w:pPr>
        <w:spacing w:line="360" w:lineRule="auto" w:before="0" w:after="120"/>
        <w:ind w:firstLine="420"/>
        <w:jc w:val="both"/>
      </w:pPr>
      <w:r>
        <w:rPr>
          <w:rFonts w:ascii="Times New Roman" w:hAnsi="Times New Roman" w:eastAsia="宋体"/>
          <w:b w:val="0"/>
          <w:i w:val="0"/>
          <w:sz w:val="21"/>
        </w:rPr>
        <w:t>这一领域的下一步，不是产出更漂亮的理论，而是把已有理论拆成可以被证伪的碎片，逐块实证。</w:t>
      </w:r>
    </w:p>
    <w:p>
      <w:pPr>
        <w:spacing w:line="360" w:lineRule="auto" w:before="0" w:after="120"/>
        <w:jc w:val="both"/>
      </w:pPr>
      <w:r>
        <w:rPr>
          <w:rFonts w:ascii="Times New Roman" w:hAnsi="Times New Roman" w:eastAsia="宋体"/>
          <w:b/>
          <w:i/>
          <w:sz w:val="21"/>
        </w:rPr>
        <w:t>本章主句</w:t>
      </w:r>
      <w:r>
        <w:rPr>
          <w:rFonts w:ascii="Times New Roman" w:hAnsi="Times New Roman" w:eastAsia="宋体"/>
          <w:b w:val="0"/>
          <w:i/>
          <w:sz w:val="21"/>
        </w:rPr>
        <w:t>：让概念变得可测量，是这个领域唯一真正的前进方向。</w:t>
      </w:r>
    </w:p>
    <w:p>
      <w:pPr>
        <w:keepNext/>
        <w:spacing w:before="280" w:after="160" w:line="312" w:lineRule="auto"/>
      </w:pPr>
      <w:r>
        <w:rPr>
          <w:rFonts w:ascii="Arial" w:hAnsi="Arial" w:eastAsia="黑体"/>
          <w:b/>
          <w:i w:val="0"/>
          <w:sz w:val="32"/>
        </w:rPr>
        <w:t>十二、结论</w:t>
      </w:r>
    </w:p>
    <w:p>
      <w:pPr>
        <w:spacing w:line="360" w:lineRule="auto" w:before="0" w:after="120"/>
        <w:ind w:firstLine="420"/>
        <w:jc w:val="both"/>
      </w:pPr>
      <w:r>
        <w:rPr>
          <w:rFonts w:ascii="Times New Roman" w:hAnsi="Times New Roman" w:eastAsia="宋体"/>
          <w:b w:val="0"/>
          <w:i w:val="0"/>
          <w:sz w:val="21"/>
        </w:rPr>
        <w:t>精神分析进入金融交易研究，带来的不是一套新的预测公式，而是一批更难被绕开的问题。它逼着研究者和实践者承认：交易者不是一台会学习的计算器，市场也不总是一群独立个体的加总；在“知道”与“做到”之间，横着一整套无意识的欲望、防御与重复。</w:t>
      </w:r>
    </w:p>
    <w:p>
      <w:pPr>
        <w:spacing w:line="360" w:lineRule="auto" w:before="0" w:after="120"/>
        <w:ind w:firstLine="420"/>
        <w:jc w:val="both"/>
      </w:pPr>
      <w:r>
        <w:rPr>
          <w:rFonts w:ascii="Times New Roman" w:hAnsi="Times New Roman" w:eastAsia="宋体"/>
          <w:b w:val="0"/>
          <w:i w:val="0"/>
          <w:sz w:val="21"/>
        </w:rPr>
        <w:t>这条路径的成败，不取决于它的术语多精致，而取决于它能否把自己交给检验。情绪金融已经迈出这一步，交易成瘾研究已经提供了硬证据，拉康取向则仍停在思辨的门槛内。本文的总体立场是：把精神分析当作机制假说的来源，把行为金融与神经金融当作检验工具，让前者的问题意识与后者的方法纪律相互制衡。</w:t>
      </w:r>
    </w:p>
    <w:p>
      <w:pPr>
        <w:spacing w:line="360" w:lineRule="auto" w:before="0" w:after="120"/>
        <w:jc w:val="both"/>
      </w:pPr>
      <w:r>
        <w:rPr>
          <w:rFonts w:ascii="Times New Roman" w:hAnsi="Times New Roman" w:eastAsia="宋体"/>
          <w:b/>
          <w:i/>
          <w:sz w:val="21"/>
        </w:rPr>
        <w:t>主句</w:t>
      </w:r>
      <w:r>
        <w:rPr>
          <w:rFonts w:ascii="Times New Roman" w:hAnsi="Times New Roman" w:eastAsia="宋体"/>
          <w:b w:val="0"/>
          <w:i/>
          <w:sz w:val="21"/>
        </w:rPr>
        <w:t>：一万份偏差清单也回答不了“为什么明知故犯”，而这正是精神分析值得被认真对待的理由。</w:t>
      </w:r>
    </w:p>
    <w:p>
      <w:r>
        <w:br w:type="page"/>
      </w:r>
    </w:p>
    <w:p>
      <w:pPr>
        <w:keepNext/>
        <w:spacing w:before="280" w:after="160" w:line="312" w:lineRule="auto"/>
      </w:pPr>
      <w:r>
        <w:rPr>
          <w:rFonts w:ascii="Arial" w:hAnsi="Arial" w:eastAsia="黑体"/>
          <w:b/>
          <w:i w:val="0"/>
          <w:sz w:val="32"/>
        </w:rPr>
        <w:t>附录 A　证据表（核心条目）</w:t>
      </w:r>
    </w:p>
    <w:p>
      <w:pPr>
        <w:spacing w:line="360" w:lineRule="auto" w:before="0" w:after="120"/>
        <w:jc w:val="both"/>
      </w:pPr>
      <w:r>
        <w:rPr>
          <w:rFonts w:ascii="Times New Roman" w:hAnsi="Times New Roman" w:eastAsia="宋体"/>
          <w:b w:val="0"/>
          <w:i w:val="0"/>
          <w:sz w:val="19"/>
        </w:rPr>
        <w:t>下表列出本文依赖的核心条目，标注证据类型与核验状态。“已核验”指题名、作者、年份与 DOI/来源页可互相对应；“部分核验”指元数据可见但缺少全文或缺 DOI。</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928"/>
          </w:tcPr>
          <w:p>
            <w:pPr>
              <w:spacing w:line="276" w:lineRule="auto" w:after="40" w:before="40"/>
              <w:jc w:val="center"/>
            </w:pPr>
            <w:r/>
            <w:r>
              <w:rPr>
                <w:rFonts w:ascii="Times New Roman" w:hAnsi="Times New Roman" w:eastAsia="宋体"/>
                <w:b/>
                <w:i w:val="0"/>
                <w:sz w:val="19"/>
              </w:rPr>
              <w:t>条目</w:t>
            </w:r>
          </w:p>
        </w:tc>
        <w:tc>
          <w:tcPr>
            <w:tcW w:type="dxa" w:w="1814"/>
          </w:tcPr>
          <w:p>
            <w:pPr>
              <w:spacing w:line="276" w:lineRule="auto" w:after="40" w:before="40"/>
              <w:jc w:val="center"/>
            </w:pPr>
            <w:r/>
            <w:r>
              <w:rPr>
                <w:rFonts w:ascii="Times New Roman" w:hAnsi="Times New Roman" w:eastAsia="宋体"/>
                <w:b/>
                <w:i w:val="0"/>
                <w:sz w:val="19"/>
              </w:rPr>
              <w:t>主题</w:t>
            </w:r>
          </w:p>
        </w:tc>
        <w:tc>
          <w:tcPr>
            <w:tcW w:type="dxa" w:w="1474"/>
          </w:tcPr>
          <w:p>
            <w:pPr>
              <w:spacing w:line="276" w:lineRule="auto" w:after="40" w:before="40"/>
              <w:jc w:val="center"/>
            </w:pPr>
            <w:r/>
            <w:r>
              <w:rPr>
                <w:rFonts w:ascii="Times New Roman" w:hAnsi="Times New Roman" w:eastAsia="宋体"/>
                <w:b/>
                <w:i w:val="0"/>
                <w:sz w:val="19"/>
              </w:rPr>
              <w:t>证据类型</w:t>
            </w:r>
          </w:p>
        </w:tc>
        <w:tc>
          <w:tcPr>
            <w:tcW w:type="dxa" w:w="1928"/>
          </w:tcPr>
          <w:p>
            <w:pPr>
              <w:spacing w:line="276" w:lineRule="auto" w:after="40" w:before="40"/>
              <w:jc w:val="center"/>
            </w:pPr>
            <w:r/>
            <w:r>
              <w:rPr>
                <w:rFonts w:ascii="Times New Roman" w:hAnsi="Times New Roman" w:eastAsia="宋体"/>
                <w:b/>
                <w:i w:val="0"/>
                <w:sz w:val="19"/>
              </w:rPr>
              <w:t>来源</w:t>
            </w:r>
          </w:p>
        </w:tc>
        <w:tc>
          <w:tcPr>
            <w:tcW w:type="dxa" w:w="2041"/>
          </w:tcPr>
          <w:p>
            <w:pPr>
              <w:spacing w:line="276" w:lineRule="auto" w:after="40" w:before="40"/>
              <w:jc w:val="center"/>
            </w:pPr>
            <w:r/>
            <w:r>
              <w:rPr>
                <w:rFonts w:ascii="Times New Roman" w:hAnsi="Times New Roman" w:eastAsia="宋体"/>
                <w:b/>
                <w:i w:val="0"/>
                <w:sz w:val="19"/>
              </w:rPr>
              <w:t>标识</w:t>
            </w:r>
          </w:p>
        </w:tc>
        <w:tc>
          <w:tcPr>
            <w:tcW w:type="dxa" w:w="1020"/>
          </w:tcPr>
          <w:p>
            <w:pPr>
              <w:spacing w:line="276" w:lineRule="auto" w:after="40" w:before="40"/>
              <w:jc w:val="center"/>
            </w:pPr>
            <w:r/>
            <w:r>
              <w:rPr>
                <w:rFonts w:ascii="Times New Roman" w:hAnsi="Times New Roman" w:eastAsia="宋体"/>
                <w:b/>
                <w:i w:val="0"/>
                <w:sz w:val="19"/>
              </w:rPr>
              <w:t>核验状态</w:t>
            </w:r>
          </w:p>
        </w:tc>
      </w:tr>
      <w:tr>
        <w:tc>
          <w:tcPr>
            <w:tcW w:type="dxa" w:w="1928"/>
          </w:tcPr>
          <w:p>
            <w:pPr>
              <w:spacing w:line="276" w:lineRule="auto" w:after="40" w:before="40"/>
            </w:pPr>
            <w:r/>
            <w:r>
              <w:rPr>
                <w:rFonts w:ascii="Times New Roman" w:hAnsi="Times New Roman" w:eastAsia="宋体"/>
                <w:b w:val="0"/>
                <w:i w:val="0"/>
                <w:sz w:val="18"/>
              </w:rPr>
              <w:t>Tuckett &amp; Taffler (2008)</w:t>
            </w:r>
          </w:p>
        </w:tc>
        <w:tc>
          <w:tcPr>
            <w:tcW w:type="dxa" w:w="1814"/>
          </w:tcPr>
          <w:p>
            <w:pPr>
              <w:spacing w:line="276" w:lineRule="auto" w:after="40" w:before="40"/>
            </w:pPr>
            <w:r/>
            <w:r>
              <w:rPr>
                <w:rFonts w:ascii="Times New Roman" w:hAnsi="Times New Roman" w:eastAsia="宋体"/>
                <w:b w:val="0"/>
                <w:i w:val="0"/>
                <w:sz w:val="18"/>
              </w:rPr>
              <w:t>幻觉客体与市场现实感</w:t>
            </w:r>
          </w:p>
        </w:tc>
        <w:tc>
          <w:tcPr>
            <w:tcW w:type="dxa" w:w="1474"/>
          </w:tcPr>
          <w:p>
            <w:pPr>
              <w:spacing w:line="276" w:lineRule="auto" w:after="40" w:before="40"/>
            </w:pPr>
            <w:r/>
            <w:r>
              <w:rPr>
                <w:rFonts w:ascii="Times New Roman" w:hAnsi="Times New Roman" w:eastAsia="宋体"/>
                <w:b w:val="0"/>
                <w:i w:val="0"/>
                <w:sz w:val="18"/>
              </w:rPr>
              <w:t>理论+案例</w:t>
            </w:r>
          </w:p>
        </w:tc>
        <w:tc>
          <w:tcPr>
            <w:tcW w:type="dxa" w:w="1928"/>
          </w:tcPr>
          <w:p>
            <w:pPr>
              <w:spacing w:line="276" w:lineRule="auto" w:after="40" w:before="40"/>
            </w:pPr>
            <w:r/>
            <w:r>
              <w:rPr>
                <w:rFonts w:ascii="Times New Roman" w:hAnsi="Times New Roman" w:eastAsia="宋体"/>
                <w:b w:val="0"/>
                <w:i w:val="0"/>
                <w:sz w:val="18"/>
              </w:rPr>
              <w:t>IJP 89(2):389-412</w:t>
            </w:r>
          </w:p>
        </w:tc>
        <w:tc>
          <w:tcPr>
            <w:tcW w:type="dxa" w:w="2041"/>
          </w:tcPr>
          <w:p>
            <w:pPr>
              <w:spacing w:line="276" w:lineRule="auto" w:after="40" w:before="40"/>
            </w:pPr>
            <w:r/>
            <w:r>
              <w:rPr>
                <w:rFonts w:ascii="Times New Roman" w:hAnsi="Times New Roman" w:eastAsia="宋体"/>
                <w:b w:val="0"/>
                <w:i w:val="0"/>
                <w:sz w:val="18"/>
              </w:rPr>
              <w:t>DOI 10.1111/j.1745-8315.2008.00040.x</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Taffler (2017/2018)</w:t>
            </w:r>
          </w:p>
        </w:tc>
        <w:tc>
          <w:tcPr>
            <w:tcW w:type="dxa" w:w="1814"/>
          </w:tcPr>
          <w:p>
            <w:pPr>
              <w:spacing w:line="276" w:lineRule="auto" w:after="40" w:before="40"/>
            </w:pPr>
            <w:r/>
            <w:r>
              <w:rPr>
                <w:rFonts w:ascii="Times New Roman" w:hAnsi="Times New Roman" w:eastAsia="宋体"/>
                <w:b w:val="0"/>
                <w:i w:val="0"/>
                <w:sz w:val="18"/>
              </w:rPr>
              <w:t>情绪金融：投资与无意识</w:t>
            </w:r>
          </w:p>
        </w:tc>
        <w:tc>
          <w:tcPr>
            <w:tcW w:type="dxa" w:w="1474"/>
          </w:tcPr>
          <w:p>
            <w:pPr>
              <w:spacing w:line="276" w:lineRule="auto" w:after="40" w:before="40"/>
            </w:pPr>
            <w:r/>
            <w:r>
              <w:rPr>
                <w:rFonts w:ascii="Times New Roman" w:hAnsi="Times New Roman" w:eastAsia="宋体"/>
                <w:b w:val="0"/>
                <w:i w:val="0"/>
                <w:sz w:val="18"/>
              </w:rPr>
              <w:t>理论综述</w:t>
            </w:r>
          </w:p>
        </w:tc>
        <w:tc>
          <w:tcPr>
            <w:tcW w:type="dxa" w:w="1928"/>
          </w:tcPr>
          <w:p>
            <w:pPr>
              <w:spacing w:line="276" w:lineRule="auto" w:after="40" w:before="40"/>
            </w:pPr>
            <w:r/>
            <w:r>
              <w:rPr>
                <w:rFonts w:ascii="Times New Roman" w:hAnsi="Times New Roman" w:eastAsia="宋体"/>
                <w:b w:val="0"/>
                <w:i w:val="0"/>
                <w:sz w:val="18"/>
              </w:rPr>
              <w:t>European Journal of Finance</w:t>
            </w:r>
          </w:p>
        </w:tc>
        <w:tc>
          <w:tcPr>
            <w:tcW w:type="dxa" w:w="2041"/>
          </w:tcPr>
          <w:p>
            <w:pPr>
              <w:spacing w:line="276" w:lineRule="auto" w:after="40" w:before="40"/>
            </w:pPr>
            <w:r/>
            <w:r>
              <w:rPr>
                <w:rFonts w:ascii="Times New Roman" w:hAnsi="Times New Roman" w:eastAsia="宋体"/>
                <w:b w:val="0"/>
                <w:i w:val="0"/>
                <w:sz w:val="18"/>
              </w:rPr>
              <w:t>DOI 10.1080/1351847X.2017.1369445</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Tuckett (2011)</w:t>
            </w:r>
          </w:p>
        </w:tc>
        <w:tc>
          <w:tcPr>
            <w:tcW w:type="dxa" w:w="1814"/>
          </w:tcPr>
          <w:p>
            <w:pPr>
              <w:spacing w:line="276" w:lineRule="auto" w:after="40" w:before="40"/>
            </w:pPr>
            <w:r/>
            <w:r>
              <w:rPr>
                <w:rFonts w:ascii="Times New Roman" w:hAnsi="Times New Roman" w:eastAsia="宋体"/>
                <w:b w:val="0"/>
                <w:i w:val="0"/>
                <w:sz w:val="18"/>
              </w:rPr>
              <w:t>《读懂市场》专著</w:t>
            </w:r>
          </w:p>
        </w:tc>
        <w:tc>
          <w:tcPr>
            <w:tcW w:type="dxa" w:w="1474"/>
          </w:tcPr>
          <w:p>
            <w:pPr>
              <w:spacing w:line="276" w:lineRule="auto" w:after="40" w:before="40"/>
            </w:pPr>
            <w:r/>
            <w:r>
              <w:rPr>
                <w:rFonts w:ascii="Times New Roman" w:hAnsi="Times New Roman" w:eastAsia="宋体"/>
                <w:b w:val="0"/>
                <w:i w:val="0"/>
                <w:sz w:val="18"/>
              </w:rPr>
              <w:t>专著</w:t>
            </w:r>
          </w:p>
        </w:tc>
        <w:tc>
          <w:tcPr>
            <w:tcW w:type="dxa" w:w="1928"/>
          </w:tcPr>
          <w:p>
            <w:pPr>
              <w:spacing w:line="276" w:lineRule="auto" w:after="40" w:before="40"/>
            </w:pPr>
            <w:r/>
            <w:r>
              <w:rPr>
                <w:rFonts w:ascii="Times New Roman" w:hAnsi="Times New Roman" w:eastAsia="宋体"/>
                <w:b w:val="0"/>
                <w:i w:val="0"/>
                <w:sz w:val="18"/>
              </w:rPr>
              <w:t>Palgrave Macmillan</w:t>
            </w:r>
          </w:p>
        </w:tc>
        <w:tc>
          <w:tcPr>
            <w:tcW w:type="dxa" w:w="2041"/>
          </w:tcPr>
          <w:p>
            <w:pPr>
              <w:spacing w:line="276" w:lineRule="auto" w:after="40" w:before="40"/>
            </w:pPr>
            <w:r/>
            <w:r>
              <w:rPr>
                <w:rFonts w:ascii="Times New Roman" w:hAnsi="Times New Roman" w:eastAsia="宋体"/>
                <w:b w:val="0"/>
                <w:i w:val="0"/>
                <w:sz w:val="18"/>
              </w:rPr>
              <w:t>见 Warwick 政策简报引用[15]</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Ryan, Taffler &amp; Branigan (2023)</w:t>
            </w:r>
          </w:p>
        </w:tc>
        <w:tc>
          <w:tcPr>
            <w:tcW w:type="dxa" w:w="1814"/>
          </w:tcPr>
          <w:p>
            <w:pPr>
              <w:spacing w:line="276" w:lineRule="auto" w:after="40" w:before="40"/>
            </w:pPr>
            <w:r/>
            <w:r>
              <w:rPr>
                <w:rFonts w:ascii="Times New Roman" w:hAnsi="Times New Roman" w:eastAsia="宋体"/>
                <w:b w:val="0"/>
                <w:i w:val="0"/>
                <w:sz w:val="18"/>
              </w:rPr>
              <w:t>爱尔兰房地产泡沫的精神分析</w:t>
            </w:r>
          </w:p>
        </w:tc>
        <w:tc>
          <w:tcPr>
            <w:tcW w:type="dxa" w:w="1474"/>
          </w:tcPr>
          <w:p>
            <w:pPr>
              <w:spacing w:line="276" w:lineRule="auto" w:after="40" w:before="40"/>
            </w:pPr>
            <w:r/>
            <w:r>
              <w:rPr>
                <w:rFonts w:ascii="Times New Roman" w:hAnsi="Times New Roman" w:eastAsia="宋体"/>
                <w:b w:val="0"/>
                <w:i w:val="0"/>
                <w:sz w:val="18"/>
              </w:rPr>
              <w:t>案例研究</w:t>
            </w:r>
          </w:p>
        </w:tc>
        <w:tc>
          <w:tcPr>
            <w:tcW w:type="dxa" w:w="1928"/>
          </w:tcPr>
          <w:p>
            <w:pPr>
              <w:spacing w:line="276" w:lineRule="auto" w:after="40" w:before="40"/>
            </w:pPr>
            <w:r/>
            <w:r>
              <w:rPr>
                <w:rFonts w:ascii="Times New Roman" w:hAnsi="Times New Roman" w:eastAsia="宋体"/>
                <w:b w:val="0"/>
                <w:i w:val="0"/>
                <w:sz w:val="18"/>
              </w:rPr>
              <w:t>IJAPS 20(4):666-681</w:t>
            </w:r>
          </w:p>
        </w:tc>
        <w:tc>
          <w:tcPr>
            <w:tcW w:type="dxa" w:w="2041"/>
          </w:tcPr>
          <w:p>
            <w:pPr>
              <w:spacing w:line="276" w:lineRule="auto" w:after="40" w:before="40"/>
            </w:pPr>
            <w:r/>
            <w:r>
              <w:rPr>
                <w:rFonts w:ascii="Times New Roman" w:hAnsi="Times New Roman" w:eastAsia="宋体"/>
                <w:b w:val="0"/>
                <w:i w:val="0"/>
                <w:sz w:val="18"/>
              </w:rPr>
              <w:t>DOI 10.1002/aps.1804</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Pignot (2015)</w:t>
            </w:r>
          </w:p>
        </w:tc>
        <w:tc>
          <w:tcPr>
            <w:tcW w:type="dxa" w:w="1814"/>
          </w:tcPr>
          <w:p>
            <w:pPr>
              <w:spacing w:line="276" w:lineRule="auto" w:after="40" w:before="40"/>
            </w:pPr>
            <w:r/>
            <w:r>
              <w:rPr>
                <w:rFonts w:ascii="Times New Roman" w:hAnsi="Times New Roman" w:eastAsia="宋体"/>
                <w:b w:val="0"/>
                <w:i w:val="0"/>
                <w:sz w:val="18"/>
              </w:rPr>
              <w:t>用拉康分析高盛腐败交易</w:t>
            </w:r>
          </w:p>
        </w:tc>
        <w:tc>
          <w:tcPr>
            <w:tcW w:type="dxa" w:w="1474"/>
          </w:tcPr>
          <w:p>
            <w:pPr>
              <w:spacing w:line="276" w:lineRule="auto" w:after="40" w:before="40"/>
            </w:pPr>
            <w:r/>
            <w:r>
              <w:rPr>
                <w:rFonts w:ascii="Times New Roman" w:hAnsi="Times New Roman" w:eastAsia="宋体"/>
                <w:b w:val="0"/>
                <w:i w:val="0"/>
                <w:sz w:val="18"/>
              </w:rPr>
              <w:t>质性+邮件证据</w:t>
            </w:r>
          </w:p>
        </w:tc>
        <w:tc>
          <w:tcPr>
            <w:tcW w:type="dxa" w:w="1928"/>
          </w:tcPr>
          <w:p>
            <w:pPr>
              <w:spacing w:line="276" w:lineRule="auto" w:after="40" w:before="40"/>
            </w:pPr>
            <w:r/>
            <w:r>
              <w:rPr>
                <w:rFonts w:ascii="Times New Roman" w:hAnsi="Times New Roman" w:eastAsia="宋体"/>
                <w:b w:val="0"/>
                <w:i w:val="0"/>
                <w:sz w:val="18"/>
              </w:rPr>
              <w:t>ephemera 15(2)</w:t>
            </w:r>
          </w:p>
        </w:tc>
        <w:tc>
          <w:tcPr>
            <w:tcW w:type="dxa" w:w="2041"/>
          </w:tcPr>
          <w:p>
            <w:pPr>
              <w:spacing w:line="276" w:lineRule="auto" w:after="40" w:before="40"/>
            </w:pPr>
            <w:r/>
            <w:r>
              <w:rPr>
                <w:rFonts w:ascii="Times New Roman" w:hAnsi="Times New Roman" w:eastAsia="宋体"/>
                <w:b w:val="0"/>
                <w:i w:val="0"/>
                <w:sz w:val="18"/>
              </w:rPr>
              <w:t>期刊页可查</w:t>
            </w:r>
          </w:p>
        </w:tc>
        <w:tc>
          <w:tcPr>
            <w:tcW w:type="dxa" w:w="1020"/>
          </w:tcPr>
          <w:p>
            <w:pPr>
              <w:spacing w:line="276" w:lineRule="auto" w:after="40" w:before="40"/>
            </w:pPr>
            <w:r/>
            <w:r>
              <w:rPr>
                <w:rFonts w:ascii="Times New Roman" w:hAnsi="Times New Roman" w:eastAsia="宋体"/>
                <w:b w:val="0"/>
                <w:i w:val="0"/>
                <w:sz w:val="18"/>
              </w:rPr>
              <w:t>部分核验</w:t>
            </w:r>
          </w:p>
        </w:tc>
      </w:tr>
      <w:tr>
        <w:tc>
          <w:tcPr>
            <w:tcW w:type="dxa" w:w="1928"/>
          </w:tcPr>
          <w:p>
            <w:pPr>
              <w:spacing w:line="276" w:lineRule="auto" w:after="40" w:before="40"/>
            </w:pPr>
            <w:r/>
            <w:r>
              <w:rPr>
                <w:rFonts w:ascii="Times New Roman" w:hAnsi="Times New Roman" w:eastAsia="宋体"/>
                <w:b w:val="0"/>
                <w:i w:val="0"/>
                <w:sz w:val="18"/>
              </w:rPr>
              <w:t>McDonnell (2021)</w:t>
            </w:r>
          </w:p>
        </w:tc>
        <w:tc>
          <w:tcPr>
            <w:tcW w:type="dxa" w:w="1814"/>
          </w:tcPr>
          <w:p>
            <w:pPr>
              <w:spacing w:line="276" w:lineRule="auto" w:after="40" w:before="40"/>
            </w:pPr>
            <w:r/>
            <w:r>
              <w:rPr>
                <w:rFonts w:ascii="Times New Roman" w:hAnsi="Times New Roman" w:eastAsia="宋体"/>
                <w:b w:val="0"/>
                <w:i w:val="0"/>
                <w:sz w:val="18"/>
              </w:rPr>
              <w:t>前景理论的动力驱动因素</w:t>
            </w:r>
          </w:p>
        </w:tc>
        <w:tc>
          <w:tcPr>
            <w:tcW w:type="dxa" w:w="1474"/>
          </w:tcPr>
          <w:p>
            <w:pPr>
              <w:spacing w:line="276" w:lineRule="auto" w:after="40" w:before="40"/>
            </w:pPr>
            <w:r/>
            <w:r>
              <w:rPr>
                <w:rFonts w:ascii="Times New Roman" w:hAnsi="Times New Roman" w:eastAsia="宋体"/>
                <w:b w:val="0"/>
                <w:i w:val="0"/>
                <w:sz w:val="18"/>
              </w:rPr>
              <w:t>21 人访谈</w:t>
            </w:r>
          </w:p>
        </w:tc>
        <w:tc>
          <w:tcPr>
            <w:tcW w:type="dxa" w:w="1928"/>
          </w:tcPr>
          <w:p>
            <w:pPr>
              <w:spacing w:line="276" w:lineRule="auto" w:after="40" w:before="40"/>
            </w:pPr>
            <w:r/>
            <w:r>
              <w:rPr>
                <w:rFonts w:ascii="Times New Roman" w:hAnsi="Times New Roman" w:eastAsia="宋体"/>
                <w:b w:val="0"/>
                <w:i w:val="0"/>
                <w:sz w:val="18"/>
              </w:rPr>
              <w:t>INSEAD EMC 论文</w:t>
            </w:r>
          </w:p>
        </w:tc>
        <w:tc>
          <w:tcPr>
            <w:tcW w:type="dxa" w:w="2041"/>
          </w:tcPr>
          <w:p>
            <w:pPr>
              <w:spacing w:line="276" w:lineRule="auto" w:after="40" w:before="40"/>
            </w:pPr>
            <w:r/>
            <w:r>
              <w:rPr>
                <w:rFonts w:ascii="Times New Roman" w:hAnsi="Times New Roman" w:eastAsia="宋体"/>
                <w:b w:val="0"/>
                <w:i w:val="0"/>
                <w:sz w:val="18"/>
              </w:rPr>
              <w:t>公开 PDF</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Kets de Vries (2016)</w:t>
            </w:r>
          </w:p>
        </w:tc>
        <w:tc>
          <w:tcPr>
            <w:tcW w:type="dxa" w:w="1814"/>
          </w:tcPr>
          <w:p>
            <w:pPr>
              <w:spacing w:line="276" w:lineRule="auto" w:after="40" w:before="40"/>
            </w:pPr>
            <w:r/>
            <w:r>
              <w:rPr>
                <w:rFonts w:ascii="Times New Roman" w:hAnsi="Times New Roman" w:eastAsia="宋体"/>
                <w:b w:val="0"/>
                <w:i w:val="0"/>
                <w:sz w:val="18"/>
              </w:rPr>
              <w:t>贪婪综合征</w:t>
            </w:r>
          </w:p>
        </w:tc>
        <w:tc>
          <w:tcPr>
            <w:tcW w:type="dxa" w:w="1474"/>
          </w:tcPr>
          <w:p>
            <w:pPr>
              <w:spacing w:line="276" w:lineRule="auto" w:after="40" w:before="40"/>
            </w:pPr>
            <w:r/>
            <w:r>
              <w:rPr>
                <w:rFonts w:ascii="Times New Roman" w:hAnsi="Times New Roman" w:eastAsia="宋体"/>
                <w:b w:val="0"/>
                <w:i w:val="0"/>
                <w:sz w:val="18"/>
              </w:rPr>
              <w:t>工作论文+案例</w:t>
            </w:r>
          </w:p>
        </w:tc>
        <w:tc>
          <w:tcPr>
            <w:tcW w:type="dxa" w:w="1928"/>
          </w:tcPr>
          <w:p>
            <w:pPr>
              <w:spacing w:line="276" w:lineRule="auto" w:after="40" w:before="40"/>
            </w:pPr>
            <w:r/>
            <w:r>
              <w:rPr>
                <w:rFonts w:ascii="Times New Roman" w:hAnsi="Times New Roman" w:eastAsia="宋体"/>
                <w:b w:val="0"/>
                <w:i w:val="0"/>
                <w:sz w:val="18"/>
              </w:rPr>
              <w:t>INSEAD WP 2016/26/EFE</w:t>
            </w:r>
          </w:p>
        </w:tc>
        <w:tc>
          <w:tcPr>
            <w:tcW w:type="dxa" w:w="2041"/>
          </w:tcPr>
          <w:p>
            <w:pPr>
              <w:spacing w:line="276" w:lineRule="auto" w:after="40" w:before="40"/>
            </w:pPr>
            <w:r/>
            <w:r>
              <w:rPr>
                <w:rFonts w:ascii="Times New Roman" w:hAnsi="Times New Roman" w:eastAsia="宋体"/>
                <w:b w:val="0"/>
                <w:i w:val="0"/>
                <w:sz w:val="18"/>
              </w:rPr>
              <w:t>SSRN 2766233</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Kingma (2017)</w:t>
            </w:r>
          </w:p>
        </w:tc>
        <w:tc>
          <w:tcPr>
            <w:tcW w:type="dxa" w:w="1814"/>
          </w:tcPr>
          <w:p>
            <w:pPr>
              <w:spacing w:line="276" w:lineRule="auto" w:after="40" w:before="40"/>
            </w:pPr>
            <w:r/>
            <w:r>
              <w:rPr>
                <w:rFonts w:ascii="Times New Roman" w:hAnsi="Times New Roman" w:eastAsia="宋体"/>
                <w:b w:val="0"/>
                <w:i w:val="0"/>
                <w:sz w:val="18"/>
              </w:rPr>
              <w:t>陀思妥耶夫斯基与弗洛伊德：赌博成瘾</w:t>
            </w:r>
          </w:p>
        </w:tc>
        <w:tc>
          <w:tcPr>
            <w:tcW w:type="dxa" w:w="1474"/>
          </w:tcPr>
          <w:p>
            <w:pPr>
              <w:spacing w:line="276" w:lineRule="auto" w:after="40" w:before="40"/>
            </w:pPr>
            <w:r/>
            <w:r>
              <w:rPr>
                <w:rFonts w:ascii="Times New Roman" w:hAnsi="Times New Roman" w:eastAsia="宋体"/>
                <w:b w:val="0"/>
                <w:i w:val="0"/>
                <w:sz w:val="18"/>
              </w:rPr>
              <w:t>历史社会学</w:t>
            </w:r>
          </w:p>
        </w:tc>
        <w:tc>
          <w:tcPr>
            <w:tcW w:type="dxa" w:w="1928"/>
          </w:tcPr>
          <w:p>
            <w:pPr>
              <w:spacing w:line="276" w:lineRule="auto" w:after="40" w:before="40"/>
            </w:pPr>
            <w:r/>
            <w:r>
              <w:rPr>
                <w:rFonts w:ascii="Times New Roman" w:hAnsi="Times New Roman" w:eastAsia="宋体"/>
                <w:b w:val="0"/>
                <w:i w:val="0"/>
                <w:sz w:val="18"/>
              </w:rPr>
              <w:t>J. Historical Sociology 30(4)</w:t>
            </w:r>
          </w:p>
        </w:tc>
        <w:tc>
          <w:tcPr>
            <w:tcW w:type="dxa" w:w="2041"/>
          </w:tcPr>
          <w:p>
            <w:pPr>
              <w:spacing w:line="276" w:lineRule="auto" w:after="40" w:before="40"/>
            </w:pPr>
            <w:r/>
            <w:r>
              <w:rPr>
                <w:rFonts w:ascii="Times New Roman" w:hAnsi="Times New Roman" w:eastAsia="宋体"/>
                <w:b w:val="0"/>
                <w:i w:val="0"/>
                <w:sz w:val="18"/>
              </w:rPr>
              <w:t>DOI 10.1111/johs.12086</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Dias 等 (2008)</w:t>
            </w:r>
          </w:p>
        </w:tc>
        <w:tc>
          <w:tcPr>
            <w:tcW w:type="dxa" w:w="1814"/>
          </w:tcPr>
          <w:p>
            <w:pPr>
              <w:spacing w:line="276" w:lineRule="auto" w:after="40" w:before="40"/>
            </w:pPr>
            <w:r/>
            <w:r>
              <w:rPr>
                <w:rFonts w:ascii="Times New Roman" w:hAnsi="Times New Roman" w:eastAsia="宋体"/>
                <w:b w:val="0"/>
                <w:i w:val="0"/>
                <w:sz w:val="18"/>
              </w:rPr>
              <w:t>《赌徒》中的病理性赌博</w:t>
            </w:r>
          </w:p>
        </w:tc>
        <w:tc>
          <w:tcPr>
            <w:tcW w:type="dxa" w:w="1474"/>
          </w:tcPr>
          <w:p>
            <w:pPr>
              <w:spacing w:line="276" w:lineRule="auto" w:after="40" w:before="40"/>
            </w:pPr>
            <w:r/>
            <w:r>
              <w:rPr>
                <w:rFonts w:ascii="Times New Roman" w:hAnsi="Times New Roman" w:eastAsia="宋体"/>
                <w:b w:val="0"/>
                <w:i w:val="0"/>
                <w:sz w:val="18"/>
              </w:rPr>
              <w:t>临床文本分析</w:t>
            </w:r>
          </w:p>
        </w:tc>
        <w:tc>
          <w:tcPr>
            <w:tcW w:type="dxa" w:w="1928"/>
          </w:tcPr>
          <w:p>
            <w:pPr>
              <w:spacing w:line="276" w:lineRule="auto" w:after="40" w:before="40"/>
            </w:pPr>
            <w:r/>
            <w:r>
              <w:rPr>
                <w:rFonts w:ascii="Times New Roman" w:hAnsi="Times New Roman" w:eastAsia="宋体"/>
                <w:b w:val="0"/>
                <w:i w:val="0"/>
                <w:sz w:val="18"/>
              </w:rPr>
              <w:t>Rev Psiquiatr RS 30(3)</w:t>
            </w:r>
          </w:p>
        </w:tc>
        <w:tc>
          <w:tcPr>
            <w:tcW w:type="dxa" w:w="2041"/>
          </w:tcPr>
          <w:p>
            <w:pPr>
              <w:spacing w:line="276" w:lineRule="auto" w:after="40" w:before="40"/>
            </w:pPr>
            <w:r/>
            <w:r>
              <w:rPr>
                <w:rFonts w:ascii="Times New Roman" w:hAnsi="Times New Roman" w:eastAsia="宋体"/>
                <w:b w:val="0"/>
                <w:i w:val="0"/>
                <w:sz w:val="18"/>
              </w:rPr>
              <w:t>期刊页可查</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Roza 等 (2024)</w:t>
            </w:r>
          </w:p>
        </w:tc>
        <w:tc>
          <w:tcPr>
            <w:tcW w:type="dxa" w:w="1814"/>
          </w:tcPr>
          <w:p>
            <w:pPr>
              <w:spacing w:line="276" w:lineRule="auto" w:after="40" w:before="40"/>
            </w:pPr>
            <w:r/>
            <w:r>
              <w:rPr>
                <w:rFonts w:ascii="Times New Roman" w:hAnsi="Times New Roman" w:eastAsia="宋体"/>
                <w:b w:val="0"/>
                <w:i w:val="0"/>
                <w:sz w:val="18"/>
              </w:rPr>
              <w:t>问题交易：日交易与加密投资</w:t>
            </w:r>
          </w:p>
        </w:tc>
        <w:tc>
          <w:tcPr>
            <w:tcW w:type="dxa" w:w="1474"/>
          </w:tcPr>
          <w:p>
            <w:pPr>
              <w:spacing w:line="276" w:lineRule="auto" w:after="40" w:before="40"/>
            </w:pPr>
            <w:r/>
            <w:r>
              <w:rPr>
                <w:rFonts w:ascii="Times New Roman" w:hAnsi="Times New Roman" w:eastAsia="宋体"/>
                <w:b w:val="0"/>
                <w:i w:val="0"/>
                <w:sz w:val="18"/>
              </w:rPr>
              <w:t>社论+综述</w:t>
            </w:r>
          </w:p>
        </w:tc>
        <w:tc>
          <w:tcPr>
            <w:tcW w:type="dxa" w:w="1928"/>
          </w:tcPr>
          <w:p>
            <w:pPr>
              <w:spacing w:line="276" w:lineRule="auto" w:after="40" w:before="40"/>
            </w:pPr>
            <w:r/>
            <w:r>
              <w:rPr>
                <w:rFonts w:ascii="Times New Roman" w:hAnsi="Times New Roman" w:eastAsia="宋体"/>
                <w:b w:val="0"/>
                <w:i w:val="0"/>
                <w:sz w:val="18"/>
              </w:rPr>
              <w:t>Trends Psychiatry Psychother 46</w:t>
            </w:r>
          </w:p>
        </w:tc>
        <w:tc>
          <w:tcPr>
            <w:tcW w:type="dxa" w:w="2041"/>
          </w:tcPr>
          <w:p>
            <w:pPr>
              <w:spacing w:line="276" w:lineRule="auto" w:after="40" w:before="40"/>
            </w:pPr>
            <w:r/>
            <w:r>
              <w:rPr>
                <w:rFonts w:ascii="Times New Roman" w:hAnsi="Times New Roman" w:eastAsia="宋体"/>
                <w:b w:val="0"/>
                <w:i w:val="0"/>
                <w:sz w:val="18"/>
              </w:rPr>
              <w:t>DOI 10.47626/2237-6089-2023-0623</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Leong Wei Lyn 等 (2025)</w:t>
            </w:r>
          </w:p>
        </w:tc>
        <w:tc>
          <w:tcPr>
            <w:tcW w:type="dxa" w:w="1814"/>
          </w:tcPr>
          <w:p>
            <w:pPr>
              <w:spacing w:line="276" w:lineRule="auto" w:after="40" w:before="40"/>
            </w:pPr>
            <w:r/>
            <w:r>
              <w:rPr>
                <w:rFonts w:ascii="Times New Roman" w:hAnsi="Times New Roman" w:eastAsia="宋体"/>
                <w:b w:val="0"/>
                <w:i w:val="0"/>
                <w:sz w:val="18"/>
              </w:rPr>
              <w:t>股票/加密交易与问题赌博</w:t>
            </w:r>
          </w:p>
        </w:tc>
        <w:tc>
          <w:tcPr>
            <w:tcW w:type="dxa" w:w="1474"/>
          </w:tcPr>
          <w:p>
            <w:pPr>
              <w:spacing w:line="276" w:lineRule="auto" w:after="40" w:before="40"/>
            </w:pPr>
            <w:r/>
            <w:r>
              <w:rPr>
                <w:rFonts w:ascii="Times New Roman" w:hAnsi="Times New Roman" w:eastAsia="宋体"/>
                <w:b w:val="0"/>
                <w:i w:val="0"/>
                <w:sz w:val="18"/>
              </w:rPr>
              <w:t>叙述性综述</w:t>
            </w:r>
          </w:p>
        </w:tc>
        <w:tc>
          <w:tcPr>
            <w:tcW w:type="dxa" w:w="1928"/>
          </w:tcPr>
          <w:p>
            <w:pPr>
              <w:spacing w:line="276" w:lineRule="auto" w:after="40" w:before="40"/>
            </w:pPr>
            <w:r/>
            <w:r>
              <w:rPr>
                <w:rFonts w:ascii="Times New Roman" w:hAnsi="Times New Roman" w:eastAsia="宋体"/>
                <w:b w:val="0"/>
                <w:i w:val="0"/>
                <w:sz w:val="18"/>
              </w:rPr>
              <w:t>Front. Psychol. 16:1585094</w:t>
            </w:r>
          </w:p>
        </w:tc>
        <w:tc>
          <w:tcPr>
            <w:tcW w:type="dxa" w:w="2041"/>
          </w:tcPr>
          <w:p>
            <w:pPr>
              <w:spacing w:line="276" w:lineRule="auto" w:after="40" w:before="40"/>
            </w:pPr>
            <w:r/>
            <w:r>
              <w:rPr>
                <w:rFonts w:ascii="Times New Roman" w:hAnsi="Times New Roman" w:eastAsia="宋体"/>
                <w:b w:val="0"/>
                <w:i w:val="0"/>
                <w:sz w:val="18"/>
              </w:rPr>
              <w:t>DOI 10.3389/fpsyg.2025.1585094</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Hinvest 等 (2021)</w:t>
            </w:r>
          </w:p>
        </w:tc>
        <w:tc>
          <w:tcPr>
            <w:tcW w:type="dxa" w:w="1814"/>
          </w:tcPr>
          <w:p>
            <w:pPr>
              <w:spacing w:line="276" w:lineRule="auto" w:after="40" w:before="40"/>
            </w:pPr>
            <w:r/>
            <w:r>
              <w:rPr>
                <w:rFonts w:ascii="Times New Roman" w:hAnsi="Times New Roman" w:eastAsia="宋体"/>
                <w:b w:val="0"/>
                <w:i w:val="0"/>
                <w:sz w:val="18"/>
              </w:rPr>
              <w:t>预期性情绪与投资决策</w:t>
            </w:r>
          </w:p>
        </w:tc>
        <w:tc>
          <w:tcPr>
            <w:tcW w:type="dxa" w:w="1474"/>
          </w:tcPr>
          <w:p>
            <w:pPr>
              <w:spacing w:line="276" w:lineRule="auto" w:after="40" w:before="40"/>
            </w:pPr>
            <w:r/>
            <w:r>
              <w:rPr>
                <w:rFonts w:ascii="Times New Roman" w:hAnsi="Times New Roman" w:eastAsia="宋体"/>
                <w:b w:val="0"/>
                <w:i w:val="0"/>
                <w:sz w:val="18"/>
              </w:rPr>
              <w:t>实验（30 人，皮肤电）</w:t>
            </w:r>
          </w:p>
        </w:tc>
        <w:tc>
          <w:tcPr>
            <w:tcW w:type="dxa" w:w="1928"/>
          </w:tcPr>
          <w:p>
            <w:pPr>
              <w:spacing w:line="276" w:lineRule="auto" w:after="40" w:before="40"/>
            </w:pPr>
            <w:r/>
            <w:r>
              <w:rPr>
                <w:rFonts w:ascii="Times New Roman" w:hAnsi="Times New Roman" w:eastAsia="宋体"/>
                <w:b w:val="0"/>
                <w:i w:val="0"/>
                <w:sz w:val="18"/>
              </w:rPr>
              <w:t>Front. Psychol. 12:705476</w:t>
            </w:r>
          </w:p>
        </w:tc>
        <w:tc>
          <w:tcPr>
            <w:tcW w:type="dxa" w:w="2041"/>
          </w:tcPr>
          <w:p>
            <w:pPr>
              <w:spacing w:line="276" w:lineRule="auto" w:after="40" w:before="40"/>
            </w:pPr>
            <w:r/>
            <w:r>
              <w:rPr>
                <w:rFonts w:ascii="Times New Roman" w:hAnsi="Times New Roman" w:eastAsia="宋体"/>
                <w:b w:val="0"/>
                <w:i w:val="0"/>
                <w:sz w:val="18"/>
              </w:rPr>
              <w:t>DOI 10.3389/fpsyg.2021.705476</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Dunn, Dalgleish &amp; Lawrence (2006)</w:t>
            </w:r>
          </w:p>
        </w:tc>
        <w:tc>
          <w:tcPr>
            <w:tcW w:type="dxa" w:w="1814"/>
          </w:tcPr>
          <w:p>
            <w:pPr>
              <w:spacing w:line="276" w:lineRule="auto" w:after="40" w:before="40"/>
            </w:pPr>
            <w:r/>
            <w:r>
              <w:rPr>
                <w:rFonts w:ascii="Times New Roman" w:hAnsi="Times New Roman" w:eastAsia="宋体"/>
                <w:b w:val="0"/>
                <w:i w:val="0"/>
                <w:sz w:val="18"/>
              </w:rPr>
              <w:t>躯体标记假说的批判评估</w:t>
            </w:r>
          </w:p>
        </w:tc>
        <w:tc>
          <w:tcPr>
            <w:tcW w:type="dxa" w:w="1474"/>
          </w:tcPr>
          <w:p>
            <w:pPr>
              <w:spacing w:line="276" w:lineRule="auto" w:after="40" w:before="40"/>
            </w:pPr>
            <w:r/>
            <w:r>
              <w:rPr>
                <w:rFonts w:ascii="Times New Roman" w:hAnsi="Times New Roman" w:eastAsia="宋体"/>
                <w:b w:val="0"/>
                <w:i w:val="0"/>
                <w:sz w:val="18"/>
              </w:rPr>
              <w:t>方法学综述</w:t>
            </w:r>
          </w:p>
        </w:tc>
        <w:tc>
          <w:tcPr>
            <w:tcW w:type="dxa" w:w="1928"/>
          </w:tcPr>
          <w:p>
            <w:pPr>
              <w:spacing w:line="276" w:lineRule="auto" w:after="40" w:before="40"/>
            </w:pPr>
            <w:r/>
            <w:r>
              <w:rPr>
                <w:rFonts w:ascii="Times New Roman" w:hAnsi="Times New Roman" w:eastAsia="宋体"/>
                <w:b w:val="0"/>
                <w:i w:val="0"/>
                <w:sz w:val="18"/>
              </w:rPr>
              <w:t>Neurosci. Biobehav. Rev. 30</w:t>
            </w:r>
          </w:p>
        </w:tc>
        <w:tc>
          <w:tcPr>
            <w:tcW w:type="dxa" w:w="2041"/>
          </w:tcPr>
          <w:p>
            <w:pPr>
              <w:spacing w:line="276" w:lineRule="auto" w:after="40" w:before="40"/>
            </w:pPr>
            <w:r/>
            <w:r>
              <w:rPr>
                <w:rFonts w:ascii="Times New Roman" w:hAnsi="Times New Roman" w:eastAsia="宋体"/>
                <w:b w:val="0"/>
                <w:i w:val="0"/>
                <w:sz w:val="18"/>
              </w:rPr>
              <w:t>期刊页可查</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Kahneman &amp; Tversky (1979)</w:t>
            </w:r>
          </w:p>
        </w:tc>
        <w:tc>
          <w:tcPr>
            <w:tcW w:type="dxa" w:w="1814"/>
          </w:tcPr>
          <w:p>
            <w:pPr>
              <w:spacing w:line="276" w:lineRule="auto" w:after="40" w:before="40"/>
            </w:pPr>
            <w:r/>
            <w:r>
              <w:rPr>
                <w:rFonts w:ascii="Times New Roman" w:hAnsi="Times New Roman" w:eastAsia="宋体"/>
                <w:b w:val="0"/>
                <w:i w:val="0"/>
                <w:sz w:val="18"/>
              </w:rPr>
              <w:t>前景理论</w:t>
            </w:r>
          </w:p>
        </w:tc>
        <w:tc>
          <w:tcPr>
            <w:tcW w:type="dxa" w:w="1474"/>
          </w:tcPr>
          <w:p>
            <w:pPr>
              <w:spacing w:line="276" w:lineRule="auto" w:after="40" w:before="40"/>
            </w:pPr>
            <w:r/>
            <w:r>
              <w:rPr>
                <w:rFonts w:ascii="Times New Roman" w:hAnsi="Times New Roman" w:eastAsia="宋体"/>
                <w:b w:val="0"/>
                <w:i w:val="0"/>
                <w:sz w:val="18"/>
              </w:rPr>
              <w:t>实验+理论</w:t>
            </w:r>
          </w:p>
        </w:tc>
        <w:tc>
          <w:tcPr>
            <w:tcW w:type="dxa" w:w="1928"/>
          </w:tcPr>
          <w:p>
            <w:pPr>
              <w:spacing w:line="276" w:lineRule="auto" w:after="40" w:before="40"/>
            </w:pPr>
            <w:r/>
            <w:r>
              <w:rPr>
                <w:rFonts w:ascii="Times New Roman" w:hAnsi="Times New Roman" w:eastAsia="宋体"/>
                <w:b w:val="0"/>
                <w:i w:val="0"/>
                <w:sz w:val="18"/>
              </w:rPr>
              <w:t>Econometrica 47(2)</w:t>
            </w:r>
          </w:p>
        </w:tc>
        <w:tc>
          <w:tcPr>
            <w:tcW w:type="dxa" w:w="2041"/>
          </w:tcPr>
          <w:p>
            <w:pPr>
              <w:spacing w:line="276" w:lineRule="auto" w:after="40" w:before="40"/>
            </w:pPr>
            <w:r/>
            <w:r>
              <w:rPr>
                <w:rFonts w:ascii="Times New Roman" w:hAnsi="Times New Roman" w:eastAsia="宋体"/>
                <w:b w:val="0"/>
                <w:i w:val="0"/>
                <w:sz w:val="18"/>
              </w:rPr>
              <w:t>经典文献</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Barraud (2025)</w:t>
            </w:r>
          </w:p>
        </w:tc>
        <w:tc>
          <w:tcPr>
            <w:tcW w:type="dxa" w:w="1814"/>
          </w:tcPr>
          <w:p>
            <w:pPr>
              <w:spacing w:line="276" w:lineRule="auto" w:after="40" w:before="40"/>
            </w:pPr>
            <w:r/>
            <w:r>
              <w:rPr>
                <w:rFonts w:ascii="Times New Roman" w:hAnsi="Times New Roman" w:eastAsia="宋体"/>
                <w:b w:val="0"/>
                <w:i w:val="0"/>
                <w:sz w:val="18"/>
              </w:rPr>
              <w:t>市场作为勒庞式群体</w:t>
            </w:r>
          </w:p>
        </w:tc>
        <w:tc>
          <w:tcPr>
            <w:tcW w:type="dxa" w:w="1474"/>
          </w:tcPr>
          <w:p>
            <w:pPr>
              <w:spacing w:line="276" w:lineRule="auto" w:after="40" w:before="40"/>
            </w:pPr>
            <w:r/>
            <w:r>
              <w:rPr>
                <w:rFonts w:ascii="Times New Roman" w:hAnsi="Times New Roman" w:eastAsia="宋体"/>
                <w:b w:val="0"/>
                <w:i w:val="0"/>
                <w:sz w:val="18"/>
              </w:rPr>
              <w:t>理论框架</w:t>
            </w:r>
          </w:p>
        </w:tc>
        <w:tc>
          <w:tcPr>
            <w:tcW w:type="dxa" w:w="1928"/>
          </w:tcPr>
          <w:p>
            <w:pPr>
              <w:spacing w:line="276" w:lineRule="auto" w:after="40" w:before="40"/>
            </w:pPr>
            <w:r/>
            <w:r>
              <w:rPr>
                <w:rFonts w:ascii="Times New Roman" w:hAnsi="Times New Roman" w:eastAsia="宋体"/>
                <w:b w:val="0"/>
                <w:i w:val="0"/>
                <w:sz w:val="18"/>
              </w:rPr>
              <w:t>arXiv:2510.23175</w:t>
            </w:r>
          </w:p>
        </w:tc>
        <w:tc>
          <w:tcPr>
            <w:tcW w:type="dxa" w:w="2041"/>
          </w:tcPr>
          <w:p>
            <w:pPr>
              <w:spacing w:line="276" w:lineRule="auto" w:after="40" w:before="40"/>
            </w:pPr>
            <w:r/>
            <w:r>
              <w:rPr>
                <w:rFonts w:ascii="Times New Roman" w:hAnsi="Times New Roman" w:eastAsia="宋体"/>
                <w:b w:val="0"/>
                <w:i w:val="0"/>
                <w:sz w:val="18"/>
              </w:rPr>
              <w:t>预印本</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Bjerg (2016)</w:t>
            </w:r>
          </w:p>
        </w:tc>
        <w:tc>
          <w:tcPr>
            <w:tcW w:type="dxa" w:w="1814"/>
          </w:tcPr>
          <w:p>
            <w:pPr>
              <w:spacing w:line="276" w:lineRule="auto" w:after="40" w:before="40"/>
            </w:pPr>
            <w:r/>
            <w:r>
              <w:rPr>
                <w:rFonts w:ascii="Times New Roman" w:hAnsi="Times New Roman" w:eastAsia="宋体"/>
                <w:b w:val="0"/>
                <w:i w:val="0"/>
                <w:sz w:val="18"/>
              </w:rPr>
              <w:t>比特币是货币吗</w:t>
            </w:r>
          </w:p>
        </w:tc>
        <w:tc>
          <w:tcPr>
            <w:tcW w:type="dxa" w:w="1474"/>
          </w:tcPr>
          <w:p>
            <w:pPr>
              <w:spacing w:line="276" w:lineRule="auto" w:after="40" w:before="40"/>
            </w:pPr>
            <w:r/>
            <w:r>
              <w:rPr>
                <w:rFonts w:ascii="Times New Roman" w:hAnsi="Times New Roman" w:eastAsia="宋体"/>
                <w:b w:val="0"/>
                <w:i w:val="0"/>
                <w:sz w:val="18"/>
              </w:rPr>
              <w:t>理论分析</w:t>
            </w:r>
          </w:p>
        </w:tc>
        <w:tc>
          <w:tcPr>
            <w:tcW w:type="dxa" w:w="1928"/>
          </w:tcPr>
          <w:p>
            <w:pPr>
              <w:spacing w:line="276" w:lineRule="auto" w:after="40" w:before="40"/>
            </w:pPr>
            <w:r/>
            <w:r>
              <w:rPr>
                <w:rFonts w:ascii="Times New Roman" w:hAnsi="Times New Roman" w:eastAsia="宋体"/>
                <w:b w:val="0"/>
                <w:i w:val="0"/>
                <w:sz w:val="18"/>
              </w:rPr>
              <w:t>Theory, Culture &amp; Society 33(1)</w:t>
            </w:r>
          </w:p>
        </w:tc>
        <w:tc>
          <w:tcPr>
            <w:tcW w:type="dxa" w:w="2041"/>
          </w:tcPr>
          <w:p>
            <w:pPr>
              <w:spacing w:line="276" w:lineRule="auto" w:after="40" w:before="40"/>
            </w:pPr>
            <w:r/>
            <w:r>
              <w:rPr>
                <w:rFonts w:ascii="Times New Roman" w:hAnsi="Times New Roman" w:eastAsia="宋体"/>
                <w:b w:val="0"/>
                <w:i w:val="0"/>
                <w:sz w:val="18"/>
              </w:rPr>
              <w:t>DOI 10.1177/0263276415619015</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Grünbaum (1984/1986)</w:t>
            </w:r>
          </w:p>
        </w:tc>
        <w:tc>
          <w:tcPr>
            <w:tcW w:type="dxa" w:w="1814"/>
          </w:tcPr>
          <w:p>
            <w:pPr>
              <w:spacing w:line="276" w:lineRule="auto" w:after="40" w:before="40"/>
            </w:pPr>
            <w:r/>
            <w:r>
              <w:rPr>
                <w:rFonts w:ascii="Times New Roman" w:hAnsi="Times New Roman" w:eastAsia="宋体"/>
                <w:b w:val="0"/>
                <w:i w:val="0"/>
                <w:sz w:val="18"/>
              </w:rPr>
              <w:t>精神分析基础：哲学批判</w:t>
            </w:r>
          </w:p>
        </w:tc>
        <w:tc>
          <w:tcPr>
            <w:tcW w:type="dxa" w:w="1474"/>
          </w:tcPr>
          <w:p>
            <w:pPr>
              <w:spacing w:line="276" w:lineRule="auto" w:after="40" w:before="40"/>
            </w:pPr>
            <w:r/>
            <w:r>
              <w:rPr>
                <w:rFonts w:ascii="Times New Roman" w:hAnsi="Times New Roman" w:eastAsia="宋体"/>
                <w:b w:val="0"/>
                <w:i w:val="0"/>
                <w:sz w:val="18"/>
              </w:rPr>
              <w:t>哲学批判</w:t>
            </w:r>
          </w:p>
        </w:tc>
        <w:tc>
          <w:tcPr>
            <w:tcW w:type="dxa" w:w="1928"/>
          </w:tcPr>
          <w:p>
            <w:pPr>
              <w:spacing w:line="276" w:lineRule="auto" w:after="40" w:before="40"/>
            </w:pPr>
            <w:r/>
            <w:r>
              <w:rPr>
                <w:rFonts w:ascii="Times New Roman" w:hAnsi="Times New Roman" w:eastAsia="宋体"/>
                <w:b w:val="0"/>
                <w:i w:val="0"/>
                <w:sz w:val="18"/>
              </w:rPr>
              <w:t>Univ. of California Press</w:t>
            </w:r>
          </w:p>
        </w:tc>
        <w:tc>
          <w:tcPr>
            <w:tcW w:type="dxa" w:w="2041"/>
          </w:tcPr>
          <w:p>
            <w:pPr>
              <w:spacing w:line="276" w:lineRule="auto" w:after="40" w:before="40"/>
            </w:pPr>
            <w:r/>
            <w:r>
              <w:rPr>
                <w:rFonts w:ascii="Times New Roman" w:hAnsi="Times New Roman" w:eastAsia="宋体"/>
                <w:b w:val="0"/>
                <w:i w:val="0"/>
                <w:sz w:val="18"/>
              </w:rPr>
              <w:t>BBS 1986 摘要</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孔明安 (2019)</w:t>
            </w:r>
          </w:p>
        </w:tc>
        <w:tc>
          <w:tcPr>
            <w:tcW w:type="dxa" w:w="1814"/>
          </w:tcPr>
          <w:p>
            <w:pPr>
              <w:spacing w:line="276" w:lineRule="auto" w:after="40" w:before="40"/>
            </w:pPr>
            <w:r/>
            <w:r>
              <w:rPr>
                <w:rFonts w:ascii="Times New Roman" w:hAnsi="Times New Roman" w:eastAsia="宋体"/>
                <w:b w:val="0"/>
                <w:i w:val="0"/>
                <w:sz w:val="18"/>
              </w:rPr>
              <w:t>贪婪与恐惧：金融危机新阐释</w:t>
            </w:r>
          </w:p>
        </w:tc>
        <w:tc>
          <w:tcPr>
            <w:tcW w:type="dxa" w:w="1474"/>
          </w:tcPr>
          <w:p>
            <w:pPr>
              <w:spacing w:line="276" w:lineRule="auto" w:after="40" w:before="40"/>
            </w:pPr>
            <w:r/>
            <w:r>
              <w:rPr>
                <w:rFonts w:ascii="Times New Roman" w:hAnsi="Times New Roman" w:eastAsia="宋体"/>
                <w:b w:val="0"/>
                <w:i w:val="0"/>
                <w:sz w:val="18"/>
              </w:rPr>
              <w:t>中文理论</w:t>
            </w:r>
          </w:p>
        </w:tc>
        <w:tc>
          <w:tcPr>
            <w:tcW w:type="dxa" w:w="1928"/>
          </w:tcPr>
          <w:p>
            <w:pPr>
              <w:spacing w:line="276" w:lineRule="auto" w:after="40" w:before="40"/>
            </w:pPr>
            <w:r/>
            <w:r>
              <w:rPr>
                <w:rFonts w:ascii="Times New Roman" w:hAnsi="Times New Roman" w:eastAsia="宋体"/>
                <w:b w:val="0"/>
                <w:i w:val="0"/>
                <w:sz w:val="18"/>
              </w:rPr>
              <w:t>国外理论动态 2019(6)</w:t>
            </w:r>
          </w:p>
        </w:tc>
        <w:tc>
          <w:tcPr>
            <w:tcW w:type="dxa" w:w="2041"/>
          </w:tcPr>
          <w:p>
            <w:pPr>
              <w:spacing w:line="276" w:lineRule="auto" w:after="40" w:before="40"/>
            </w:pPr>
            <w:r/>
            <w:r>
              <w:rPr>
                <w:rFonts w:ascii="Times New Roman" w:hAnsi="Times New Roman" w:eastAsia="宋体"/>
                <w:b w:val="0"/>
                <w:i w:val="0"/>
                <w:sz w:val="18"/>
              </w:rPr>
              <w:t>中国社会科学网转载</w:t>
            </w:r>
          </w:p>
        </w:tc>
        <w:tc>
          <w:tcPr>
            <w:tcW w:type="dxa" w:w="1020"/>
          </w:tcPr>
          <w:p>
            <w:pPr>
              <w:spacing w:line="276" w:lineRule="auto" w:after="40" w:before="40"/>
            </w:pPr>
            <w:r/>
            <w:r>
              <w:rPr>
                <w:rFonts w:ascii="Times New Roman" w:hAnsi="Times New Roman" w:eastAsia="宋体"/>
                <w:b w:val="0"/>
                <w:i w:val="0"/>
                <w:sz w:val="18"/>
              </w:rPr>
              <w:t>已核验</w:t>
            </w:r>
          </w:p>
        </w:tc>
      </w:tr>
      <w:tr>
        <w:tc>
          <w:tcPr>
            <w:tcW w:type="dxa" w:w="1928"/>
          </w:tcPr>
          <w:p>
            <w:pPr>
              <w:spacing w:line="276" w:lineRule="auto" w:after="40" w:before="40"/>
            </w:pPr>
            <w:r/>
            <w:r>
              <w:rPr>
                <w:rFonts w:ascii="Times New Roman" w:hAnsi="Times New Roman" w:eastAsia="宋体"/>
                <w:b w:val="0"/>
                <w:i w:val="0"/>
                <w:sz w:val="18"/>
              </w:rPr>
              <w:t>陈剑 (2017)</w:t>
            </w:r>
          </w:p>
        </w:tc>
        <w:tc>
          <w:tcPr>
            <w:tcW w:type="dxa" w:w="1814"/>
          </w:tcPr>
          <w:p>
            <w:pPr>
              <w:spacing w:line="276" w:lineRule="auto" w:after="40" w:before="40"/>
            </w:pPr>
            <w:r/>
            <w:r>
              <w:rPr>
                <w:rFonts w:ascii="Times New Roman" w:hAnsi="Times New Roman" w:eastAsia="宋体"/>
                <w:b w:val="0"/>
                <w:i w:val="0"/>
                <w:sz w:val="18"/>
              </w:rPr>
              <w:t>齐泽克笔下的资本主义恋物癖</w:t>
            </w:r>
          </w:p>
        </w:tc>
        <w:tc>
          <w:tcPr>
            <w:tcW w:type="dxa" w:w="1474"/>
          </w:tcPr>
          <w:p>
            <w:pPr>
              <w:spacing w:line="276" w:lineRule="auto" w:after="40" w:before="40"/>
            </w:pPr>
            <w:r/>
            <w:r>
              <w:rPr>
                <w:rFonts w:ascii="Times New Roman" w:hAnsi="Times New Roman" w:eastAsia="宋体"/>
                <w:b w:val="0"/>
                <w:i w:val="0"/>
                <w:sz w:val="18"/>
              </w:rPr>
              <w:t>中文理论</w:t>
            </w:r>
          </w:p>
        </w:tc>
        <w:tc>
          <w:tcPr>
            <w:tcW w:type="dxa" w:w="1928"/>
          </w:tcPr>
          <w:p>
            <w:pPr>
              <w:spacing w:line="276" w:lineRule="auto" w:after="40" w:before="40"/>
            </w:pPr>
            <w:r/>
            <w:r>
              <w:rPr>
                <w:rFonts w:ascii="Times New Roman" w:hAnsi="Times New Roman" w:eastAsia="宋体"/>
                <w:b w:val="0"/>
                <w:i w:val="0"/>
                <w:sz w:val="18"/>
              </w:rPr>
              <w:t>马克思主义研究网</w:t>
            </w:r>
          </w:p>
        </w:tc>
        <w:tc>
          <w:tcPr>
            <w:tcW w:type="dxa" w:w="2041"/>
          </w:tcPr>
          <w:p>
            <w:pPr>
              <w:spacing w:line="276" w:lineRule="auto" w:after="40" w:before="40"/>
            </w:pPr>
            <w:r/>
            <w:r>
              <w:rPr>
                <w:rFonts w:ascii="Times New Roman" w:hAnsi="Times New Roman" w:eastAsia="宋体"/>
                <w:b w:val="0"/>
                <w:i w:val="0"/>
                <w:sz w:val="18"/>
              </w:rPr>
              <w:t>网页可查</w:t>
            </w:r>
          </w:p>
        </w:tc>
        <w:tc>
          <w:tcPr>
            <w:tcW w:type="dxa" w:w="1020"/>
          </w:tcPr>
          <w:p>
            <w:pPr>
              <w:spacing w:line="276" w:lineRule="auto" w:after="40" w:before="40"/>
            </w:pPr>
            <w:r/>
            <w:r>
              <w:rPr>
                <w:rFonts w:ascii="Times New Roman" w:hAnsi="Times New Roman" w:eastAsia="宋体"/>
                <w:b w:val="0"/>
                <w:i w:val="0"/>
                <w:sz w:val="18"/>
              </w:rPr>
              <w:t>部分核验</w:t>
            </w:r>
          </w:p>
        </w:tc>
      </w:tr>
      <w:tr>
        <w:tc>
          <w:tcPr>
            <w:tcW w:type="dxa" w:w="1928"/>
          </w:tcPr>
          <w:p>
            <w:pPr>
              <w:spacing w:line="276" w:lineRule="auto" w:after="40" w:before="40"/>
            </w:pPr>
            <w:r/>
            <w:r>
              <w:rPr>
                <w:rFonts w:ascii="Times New Roman" w:hAnsi="Times New Roman" w:eastAsia="宋体"/>
                <w:b w:val="0"/>
                <w:i w:val="0"/>
                <w:sz w:val="18"/>
              </w:rPr>
              <w:t>区祥江 (2008)</w:t>
            </w:r>
          </w:p>
        </w:tc>
        <w:tc>
          <w:tcPr>
            <w:tcW w:type="dxa" w:w="1814"/>
          </w:tcPr>
          <w:p>
            <w:pPr>
              <w:spacing w:line="276" w:lineRule="auto" w:after="40" w:before="40"/>
            </w:pPr>
            <w:r/>
            <w:r>
              <w:rPr>
                <w:rFonts w:ascii="Times New Roman" w:hAnsi="Times New Roman" w:eastAsia="宋体"/>
                <w:b w:val="0"/>
                <w:i w:val="0"/>
                <w:sz w:val="18"/>
              </w:rPr>
              <w:t>《你有用脑投资吗？》</w:t>
            </w:r>
          </w:p>
        </w:tc>
        <w:tc>
          <w:tcPr>
            <w:tcW w:type="dxa" w:w="1474"/>
          </w:tcPr>
          <w:p>
            <w:pPr>
              <w:spacing w:line="276" w:lineRule="auto" w:after="40" w:before="40"/>
            </w:pPr>
            <w:r/>
            <w:r>
              <w:rPr>
                <w:rFonts w:ascii="Times New Roman" w:hAnsi="Times New Roman" w:eastAsia="宋体"/>
                <w:b w:val="0"/>
                <w:i w:val="0"/>
                <w:sz w:val="18"/>
              </w:rPr>
              <w:t>中文普及著作</w:t>
            </w:r>
          </w:p>
        </w:tc>
        <w:tc>
          <w:tcPr>
            <w:tcW w:type="dxa" w:w="1928"/>
          </w:tcPr>
          <w:p>
            <w:pPr>
              <w:spacing w:line="276" w:lineRule="auto" w:after="40" w:before="40"/>
            </w:pPr>
            <w:r/>
            <w:r>
              <w:rPr>
                <w:rFonts w:ascii="Times New Roman" w:hAnsi="Times New Roman" w:eastAsia="宋体"/>
                <w:b w:val="0"/>
                <w:i w:val="0"/>
                <w:sz w:val="18"/>
              </w:rPr>
              <w:t>香港出版</w:t>
            </w:r>
          </w:p>
        </w:tc>
        <w:tc>
          <w:tcPr>
            <w:tcW w:type="dxa" w:w="2041"/>
          </w:tcPr>
          <w:p>
            <w:pPr>
              <w:spacing w:line="276" w:lineRule="auto" w:after="40" w:before="40"/>
            </w:pPr>
            <w:r/>
            <w:r>
              <w:rPr>
                <w:rFonts w:ascii="Times New Roman" w:hAnsi="Times New Roman" w:eastAsia="宋体"/>
                <w:b w:val="0"/>
                <w:i w:val="0"/>
                <w:sz w:val="18"/>
              </w:rPr>
              <w:t>媒体报道转述</w:t>
            </w:r>
          </w:p>
        </w:tc>
        <w:tc>
          <w:tcPr>
            <w:tcW w:type="dxa" w:w="1020"/>
          </w:tcPr>
          <w:p>
            <w:pPr>
              <w:spacing w:line="276" w:lineRule="auto" w:after="40" w:before="40"/>
            </w:pPr>
            <w:r/>
            <w:r>
              <w:rPr>
                <w:rFonts w:ascii="Times New Roman" w:hAnsi="Times New Roman" w:eastAsia="宋体"/>
                <w:b w:val="0"/>
                <w:i w:val="0"/>
                <w:sz w:val="18"/>
              </w:rPr>
              <w:t>部分核验</w:t>
            </w:r>
          </w:p>
        </w:tc>
      </w:tr>
    </w:tbl>
    <w:p>
      <w:pPr>
        <w:spacing w:line="360" w:lineRule="auto" w:before="0" w:after="40"/>
        <w:jc w:val="both"/>
      </w:pPr>
    </w:p>
    <w:p>
      <w:pPr>
        <w:keepNext/>
        <w:spacing w:before="280" w:after="160" w:line="312" w:lineRule="auto"/>
      </w:pPr>
      <w:r>
        <w:rPr>
          <w:rFonts w:ascii="Arial" w:hAnsi="Arial" w:eastAsia="黑体"/>
          <w:b/>
          <w:i w:val="0"/>
          <w:sz w:val="32"/>
        </w:rPr>
        <w:t>附录 B　五条路线统一比较矩阵</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814"/>
          </w:tcPr>
          <w:p>
            <w:pPr>
              <w:spacing w:line="276" w:lineRule="auto" w:after="40" w:before="40"/>
              <w:jc w:val="center"/>
            </w:pPr>
            <w:r/>
            <w:r>
              <w:rPr>
                <w:rFonts w:ascii="Times New Roman" w:hAnsi="Times New Roman" w:eastAsia="宋体"/>
                <w:b/>
                <w:i w:val="0"/>
                <w:sz w:val="19"/>
              </w:rPr>
              <w:t>路线</w:t>
            </w:r>
          </w:p>
        </w:tc>
        <w:tc>
          <w:tcPr>
            <w:tcW w:type="dxa" w:w="1701"/>
          </w:tcPr>
          <w:p>
            <w:pPr>
              <w:spacing w:line="276" w:lineRule="auto" w:after="40" w:before="40"/>
              <w:jc w:val="center"/>
            </w:pPr>
            <w:r/>
            <w:r>
              <w:rPr>
                <w:rFonts w:ascii="Times New Roman" w:hAnsi="Times New Roman" w:eastAsia="宋体"/>
                <w:b/>
                <w:i w:val="0"/>
                <w:sz w:val="19"/>
              </w:rPr>
              <w:t>核心问题</w:t>
            </w:r>
          </w:p>
        </w:tc>
        <w:tc>
          <w:tcPr>
            <w:tcW w:type="dxa" w:w="1474"/>
          </w:tcPr>
          <w:p>
            <w:pPr>
              <w:spacing w:line="276" w:lineRule="auto" w:after="40" w:before="40"/>
              <w:jc w:val="center"/>
            </w:pPr>
            <w:r/>
            <w:r>
              <w:rPr>
                <w:rFonts w:ascii="Times New Roman" w:hAnsi="Times New Roman" w:eastAsia="宋体"/>
                <w:b/>
                <w:i w:val="0"/>
                <w:sz w:val="19"/>
              </w:rPr>
              <w:t>解释层次</w:t>
            </w:r>
          </w:p>
        </w:tc>
        <w:tc>
          <w:tcPr>
            <w:tcW w:type="dxa" w:w="1701"/>
          </w:tcPr>
          <w:p>
            <w:pPr>
              <w:spacing w:line="276" w:lineRule="auto" w:after="40" w:before="40"/>
              <w:jc w:val="center"/>
            </w:pPr>
            <w:r/>
            <w:r>
              <w:rPr>
                <w:rFonts w:ascii="Times New Roman" w:hAnsi="Times New Roman" w:eastAsia="宋体"/>
                <w:b/>
                <w:i w:val="0"/>
                <w:sz w:val="19"/>
              </w:rPr>
              <w:t>证据类型</w:t>
            </w:r>
          </w:p>
        </w:tc>
        <w:tc>
          <w:tcPr>
            <w:tcW w:type="dxa" w:w="2381"/>
          </w:tcPr>
          <w:p>
            <w:pPr>
              <w:spacing w:line="276" w:lineRule="auto" w:after="40" w:before="40"/>
              <w:jc w:val="center"/>
            </w:pPr>
            <w:r/>
            <w:r>
              <w:rPr>
                <w:rFonts w:ascii="Times New Roman" w:hAnsi="Times New Roman" w:eastAsia="宋体"/>
                <w:b/>
                <w:i w:val="0"/>
                <w:sz w:val="19"/>
              </w:rPr>
              <w:t>主要弱点</w:t>
            </w:r>
          </w:p>
        </w:tc>
        <w:tc>
          <w:tcPr>
            <w:tcW w:type="dxa" w:w="907"/>
          </w:tcPr>
          <w:p>
            <w:pPr>
              <w:spacing w:line="276" w:lineRule="auto" w:after="40" w:before="40"/>
              <w:jc w:val="center"/>
            </w:pPr>
            <w:r/>
            <w:r>
              <w:rPr>
                <w:rFonts w:ascii="Times New Roman" w:hAnsi="Times New Roman" w:eastAsia="宋体"/>
                <w:b/>
                <w:i w:val="0"/>
                <w:sz w:val="19"/>
              </w:rPr>
              <w:t>证据强度</w:t>
            </w:r>
          </w:p>
        </w:tc>
      </w:tr>
      <w:tr>
        <w:tc>
          <w:tcPr>
            <w:tcW w:type="dxa" w:w="1814"/>
          </w:tcPr>
          <w:p>
            <w:pPr>
              <w:spacing w:line="276" w:lineRule="auto" w:after="40" w:before="40"/>
            </w:pPr>
            <w:r/>
            <w:r>
              <w:rPr>
                <w:rFonts w:ascii="Times New Roman" w:hAnsi="Times New Roman" w:eastAsia="宋体"/>
                <w:b w:val="0"/>
                <w:i w:val="0"/>
                <w:sz w:val="18"/>
              </w:rPr>
              <w:t>一、钱的精神分析学</w:t>
            </w:r>
          </w:p>
        </w:tc>
        <w:tc>
          <w:tcPr>
            <w:tcW w:type="dxa" w:w="1701"/>
          </w:tcPr>
          <w:p>
            <w:pPr>
              <w:spacing w:line="276" w:lineRule="auto" w:after="40" w:before="40"/>
            </w:pPr>
            <w:r/>
            <w:r>
              <w:rPr>
                <w:rFonts w:ascii="Times New Roman" w:hAnsi="Times New Roman" w:eastAsia="宋体"/>
                <w:b w:val="0"/>
                <w:i w:val="0"/>
                <w:sz w:val="18"/>
              </w:rPr>
              <w:t>金钱的心理意义</w:t>
            </w:r>
          </w:p>
        </w:tc>
        <w:tc>
          <w:tcPr>
            <w:tcW w:type="dxa" w:w="1474"/>
          </w:tcPr>
          <w:p>
            <w:pPr>
              <w:spacing w:line="276" w:lineRule="auto" w:after="40" w:before="40"/>
            </w:pPr>
            <w:r/>
            <w:r>
              <w:rPr>
                <w:rFonts w:ascii="Times New Roman" w:hAnsi="Times New Roman" w:eastAsia="宋体"/>
                <w:b w:val="0"/>
                <w:i w:val="0"/>
                <w:sz w:val="18"/>
              </w:rPr>
              <w:t>个体—象征</w:t>
            </w:r>
          </w:p>
        </w:tc>
        <w:tc>
          <w:tcPr>
            <w:tcW w:type="dxa" w:w="1701"/>
          </w:tcPr>
          <w:p>
            <w:pPr>
              <w:spacing w:line="276" w:lineRule="auto" w:after="40" w:before="40"/>
            </w:pPr>
            <w:r/>
            <w:r>
              <w:rPr>
                <w:rFonts w:ascii="Times New Roman" w:hAnsi="Times New Roman" w:eastAsia="宋体"/>
                <w:b w:val="0"/>
                <w:i w:val="0"/>
                <w:sz w:val="18"/>
              </w:rPr>
              <w:t>经典文本</w:t>
            </w:r>
          </w:p>
        </w:tc>
        <w:tc>
          <w:tcPr>
            <w:tcW w:type="dxa" w:w="2381"/>
          </w:tcPr>
          <w:p>
            <w:pPr>
              <w:spacing w:line="276" w:lineRule="auto" w:after="40" w:before="40"/>
            </w:pPr>
            <w:r/>
            <w:r>
              <w:rPr>
                <w:rFonts w:ascii="Times New Roman" w:hAnsi="Times New Roman" w:eastAsia="宋体"/>
                <w:b w:val="0"/>
                <w:i w:val="0"/>
                <w:sz w:val="18"/>
              </w:rPr>
              <w:t>缺少金融现场证据</w:t>
            </w:r>
          </w:p>
        </w:tc>
        <w:tc>
          <w:tcPr>
            <w:tcW w:type="dxa" w:w="907"/>
          </w:tcPr>
          <w:p>
            <w:pPr>
              <w:spacing w:line="276" w:lineRule="auto" w:after="40" w:before="40"/>
            </w:pPr>
            <w:r/>
            <w:r>
              <w:rPr>
                <w:rFonts w:ascii="Times New Roman" w:hAnsi="Times New Roman" w:eastAsia="宋体"/>
                <w:b w:val="0"/>
                <w:i w:val="0"/>
                <w:sz w:val="18"/>
              </w:rPr>
              <w:t>低</w:t>
            </w:r>
          </w:p>
        </w:tc>
      </w:tr>
      <w:tr>
        <w:tc>
          <w:tcPr>
            <w:tcW w:type="dxa" w:w="1814"/>
          </w:tcPr>
          <w:p>
            <w:pPr>
              <w:spacing w:line="276" w:lineRule="auto" w:after="40" w:before="40"/>
            </w:pPr>
            <w:r/>
            <w:r>
              <w:rPr>
                <w:rFonts w:ascii="Times New Roman" w:hAnsi="Times New Roman" w:eastAsia="宋体"/>
                <w:b w:val="0"/>
                <w:i w:val="0"/>
                <w:sz w:val="18"/>
              </w:rPr>
              <w:t>二、群体心理学与泡沫</w:t>
            </w:r>
          </w:p>
        </w:tc>
        <w:tc>
          <w:tcPr>
            <w:tcW w:type="dxa" w:w="1701"/>
          </w:tcPr>
          <w:p>
            <w:pPr>
              <w:spacing w:line="276" w:lineRule="auto" w:after="40" w:before="40"/>
            </w:pPr>
            <w:r/>
            <w:r>
              <w:rPr>
                <w:rFonts w:ascii="Times New Roman" w:hAnsi="Times New Roman" w:eastAsia="宋体"/>
                <w:b w:val="0"/>
                <w:i w:val="0"/>
                <w:sz w:val="18"/>
              </w:rPr>
              <w:t>同步狂热与恐慌</w:t>
            </w:r>
          </w:p>
        </w:tc>
        <w:tc>
          <w:tcPr>
            <w:tcW w:type="dxa" w:w="1474"/>
          </w:tcPr>
          <w:p>
            <w:pPr>
              <w:spacing w:line="276" w:lineRule="auto" w:after="40" w:before="40"/>
            </w:pPr>
            <w:r/>
            <w:r>
              <w:rPr>
                <w:rFonts w:ascii="Times New Roman" w:hAnsi="Times New Roman" w:eastAsia="宋体"/>
                <w:b w:val="0"/>
                <w:i w:val="0"/>
                <w:sz w:val="18"/>
              </w:rPr>
              <w:t>群体—涌现</w:t>
            </w:r>
          </w:p>
        </w:tc>
        <w:tc>
          <w:tcPr>
            <w:tcW w:type="dxa" w:w="1701"/>
          </w:tcPr>
          <w:p>
            <w:pPr>
              <w:spacing w:line="276" w:lineRule="auto" w:after="40" w:before="40"/>
            </w:pPr>
            <w:r/>
            <w:r>
              <w:rPr>
                <w:rFonts w:ascii="Times New Roman" w:hAnsi="Times New Roman" w:eastAsia="宋体"/>
                <w:b w:val="0"/>
                <w:i w:val="0"/>
                <w:sz w:val="18"/>
              </w:rPr>
              <w:t>理论+案例</w:t>
            </w:r>
          </w:p>
        </w:tc>
        <w:tc>
          <w:tcPr>
            <w:tcW w:type="dxa" w:w="2381"/>
          </w:tcPr>
          <w:p>
            <w:pPr>
              <w:spacing w:line="276" w:lineRule="auto" w:after="40" w:before="40"/>
            </w:pPr>
            <w:r/>
            <w:r>
              <w:rPr>
                <w:rFonts w:ascii="Times New Roman" w:hAnsi="Times New Roman" w:eastAsia="宋体"/>
                <w:b w:val="0"/>
                <w:i w:val="0"/>
                <w:sz w:val="18"/>
              </w:rPr>
              <w:t>可测量性差</w:t>
            </w:r>
          </w:p>
        </w:tc>
        <w:tc>
          <w:tcPr>
            <w:tcW w:type="dxa" w:w="907"/>
          </w:tcPr>
          <w:p>
            <w:pPr>
              <w:spacing w:line="276" w:lineRule="auto" w:after="40" w:before="40"/>
            </w:pPr>
            <w:r/>
            <w:r>
              <w:rPr>
                <w:rFonts w:ascii="Times New Roman" w:hAnsi="Times New Roman" w:eastAsia="宋体"/>
                <w:b w:val="0"/>
                <w:i w:val="0"/>
                <w:sz w:val="18"/>
              </w:rPr>
              <w:t>中</w:t>
            </w:r>
          </w:p>
        </w:tc>
      </w:tr>
      <w:tr>
        <w:tc>
          <w:tcPr>
            <w:tcW w:type="dxa" w:w="1814"/>
          </w:tcPr>
          <w:p>
            <w:pPr>
              <w:spacing w:line="276" w:lineRule="auto" w:after="40" w:before="40"/>
            </w:pPr>
            <w:r/>
            <w:r>
              <w:rPr>
                <w:rFonts w:ascii="Times New Roman" w:hAnsi="Times New Roman" w:eastAsia="宋体"/>
                <w:b w:val="0"/>
                <w:i w:val="0"/>
                <w:sz w:val="18"/>
              </w:rPr>
              <w:t>三、情绪金融</w:t>
            </w:r>
          </w:p>
        </w:tc>
        <w:tc>
          <w:tcPr>
            <w:tcW w:type="dxa" w:w="1701"/>
          </w:tcPr>
          <w:p>
            <w:pPr>
              <w:spacing w:line="276" w:lineRule="auto" w:after="40" w:before="40"/>
            </w:pPr>
            <w:r/>
            <w:r>
              <w:rPr>
                <w:rFonts w:ascii="Times New Roman" w:hAnsi="Times New Roman" w:eastAsia="宋体"/>
                <w:b w:val="0"/>
                <w:i w:val="0"/>
                <w:sz w:val="18"/>
              </w:rPr>
              <w:t>无意识幻想驱动投资</w:t>
            </w:r>
          </w:p>
        </w:tc>
        <w:tc>
          <w:tcPr>
            <w:tcW w:type="dxa" w:w="1474"/>
          </w:tcPr>
          <w:p>
            <w:pPr>
              <w:spacing w:line="276" w:lineRule="auto" w:after="40" w:before="40"/>
            </w:pPr>
            <w:r/>
            <w:r>
              <w:rPr>
                <w:rFonts w:ascii="Times New Roman" w:hAnsi="Times New Roman" w:eastAsia="宋体"/>
                <w:b w:val="0"/>
                <w:i w:val="0"/>
                <w:sz w:val="18"/>
              </w:rPr>
              <w:t>个体—群体</w:t>
            </w:r>
          </w:p>
        </w:tc>
        <w:tc>
          <w:tcPr>
            <w:tcW w:type="dxa" w:w="1701"/>
          </w:tcPr>
          <w:p>
            <w:pPr>
              <w:spacing w:line="276" w:lineRule="auto" w:after="40" w:before="40"/>
            </w:pPr>
            <w:r/>
            <w:r>
              <w:rPr>
                <w:rFonts w:ascii="Times New Roman" w:hAnsi="Times New Roman" w:eastAsia="宋体"/>
                <w:b w:val="0"/>
                <w:i w:val="0"/>
                <w:sz w:val="18"/>
              </w:rPr>
              <w:t>访谈+案例+理论</w:t>
            </w:r>
          </w:p>
        </w:tc>
        <w:tc>
          <w:tcPr>
            <w:tcW w:type="dxa" w:w="2381"/>
          </w:tcPr>
          <w:p>
            <w:pPr>
              <w:spacing w:line="276" w:lineRule="auto" w:after="40" w:before="40"/>
            </w:pPr>
            <w:r/>
            <w:r>
              <w:rPr>
                <w:rFonts w:ascii="Times New Roman" w:hAnsi="Times New Roman" w:eastAsia="宋体"/>
                <w:b w:val="0"/>
                <w:i w:val="0"/>
                <w:sz w:val="18"/>
              </w:rPr>
              <w:t>操作化不足、样本小</w:t>
            </w:r>
          </w:p>
        </w:tc>
        <w:tc>
          <w:tcPr>
            <w:tcW w:type="dxa" w:w="907"/>
          </w:tcPr>
          <w:p>
            <w:pPr>
              <w:spacing w:line="276" w:lineRule="auto" w:after="40" w:before="40"/>
            </w:pPr>
            <w:r/>
            <w:r>
              <w:rPr>
                <w:rFonts w:ascii="Times New Roman" w:hAnsi="Times New Roman" w:eastAsia="宋体"/>
                <w:b w:val="0"/>
                <w:i w:val="0"/>
                <w:sz w:val="18"/>
              </w:rPr>
              <w:t>中高</w:t>
            </w:r>
          </w:p>
        </w:tc>
      </w:tr>
      <w:tr>
        <w:tc>
          <w:tcPr>
            <w:tcW w:type="dxa" w:w="1814"/>
          </w:tcPr>
          <w:p>
            <w:pPr>
              <w:spacing w:line="276" w:lineRule="auto" w:after="40" w:before="40"/>
            </w:pPr>
            <w:r/>
            <w:r>
              <w:rPr>
                <w:rFonts w:ascii="Times New Roman" w:hAnsi="Times New Roman" w:eastAsia="宋体"/>
                <w:b w:val="0"/>
                <w:i w:val="0"/>
                <w:sz w:val="18"/>
              </w:rPr>
              <w:t>四、交易者病理</w:t>
            </w:r>
          </w:p>
        </w:tc>
        <w:tc>
          <w:tcPr>
            <w:tcW w:type="dxa" w:w="1701"/>
          </w:tcPr>
          <w:p>
            <w:pPr>
              <w:spacing w:line="276" w:lineRule="auto" w:after="40" w:before="40"/>
            </w:pPr>
            <w:r/>
            <w:r>
              <w:rPr>
                <w:rFonts w:ascii="Times New Roman" w:hAnsi="Times New Roman" w:eastAsia="宋体"/>
                <w:b w:val="0"/>
                <w:i w:val="0"/>
                <w:sz w:val="18"/>
              </w:rPr>
              <w:t>贪婪与赌博成瘾</w:t>
            </w:r>
          </w:p>
        </w:tc>
        <w:tc>
          <w:tcPr>
            <w:tcW w:type="dxa" w:w="1474"/>
          </w:tcPr>
          <w:p>
            <w:pPr>
              <w:spacing w:line="276" w:lineRule="auto" w:after="40" w:before="40"/>
            </w:pPr>
            <w:r/>
            <w:r>
              <w:rPr>
                <w:rFonts w:ascii="Times New Roman" w:hAnsi="Times New Roman" w:eastAsia="宋体"/>
                <w:b w:val="0"/>
                <w:i w:val="0"/>
                <w:sz w:val="18"/>
              </w:rPr>
              <w:t>个体—临床</w:t>
            </w:r>
          </w:p>
        </w:tc>
        <w:tc>
          <w:tcPr>
            <w:tcW w:type="dxa" w:w="1701"/>
          </w:tcPr>
          <w:p>
            <w:pPr>
              <w:spacing w:line="276" w:lineRule="auto" w:after="40" w:before="40"/>
            </w:pPr>
            <w:r/>
            <w:r>
              <w:rPr>
                <w:rFonts w:ascii="Times New Roman" w:hAnsi="Times New Roman" w:eastAsia="宋体"/>
                <w:b w:val="0"/>
                <w:i w:val="0"/>
                <w:sz w:val="18"/>
              </w:rPr>
              <w:t>流行病学+量表</w:t>
            </w:r>
          </w:p>
        </w:tc>
        <w:tc>
          <w:tcPr>
            <w:tcW w:type="dxa" w:w="2381"/>
          </w:tcPr>
          <w:p>
            <w:pPr>
              <w:spacing w:line="276" w:lineRule="auto" w:after="40" w:before="40"/>
            </w:pPr>
            <w:r/>
            <w:r>
              <w:rPr>
                <w:rFonts w:ascii="Times New Roman" w:hAnsi="Times New Roman" w:eastAsia="宋体"/>
                <w:b w:val="0"/>
                <w:i w:val="0"/>
                <w:sz w:val="18"/>
              </w:rPr>
              <w:t>更近精神病学，金融机制弱</w:t>
            </w:r>
          </w:p>
        </w:tc>
        <w:tc>
          <w:tcPr>
            <w:tcW w:type="dxa" w:w="907"/>
          </w:tcPr>
          <w:p>
            <w:pPr>
              <w:spacing w:line="276" w:lineRule="auto" w:after="40" w:before="40"/>
            </w:pPr>
            <w:r/>
            <w:r>
              <w:rPr>
                <w:rFonts w:ascii="Times New Roman" w:hAnsi="Times New Roman" w:eastAsia="宋体"/>
                <w:b w:val="0"/>
                <w:i w:val="0"/>
                <w:sz w:val="18"/>
              </w:rPr>
              <w:t>高</w:t>
            </w:r>
          </w:p>
        </w:tc>
      </w:tr>
      <w:tr>
        <w:tc>
          <w:tcPr>
            <w:tcW w:type="dxa" w:w="1814"/>
          </w:tcPr>
          <w:p>
            <w:pPr>
              <w:spacing w:line="276" w:lineRule="auto" w:after="40" w:before="40"/>
            </w:pPr>
            <w:r/>
            <w:r>
              <w:rPr>
                <w:rFonts w:ascii="Times New Roman" w:hAnsi="Times New Roman" w:eastAsia="宋体"/>
                <w:b w:val="0"/>
                <w:i w:val="0"/>
                <w:sz w:val="18"/>
              </w:rPr>
              <w:t>五、拉康式政治经济学</w:t>
            </w:r>
          </w:p>
        </w:tc>
        <w:tc>
          <w:tcPr>
            <w:tcW w:type="dxa" w:w="1701"/>
          </w:tcPr>
          <w:p>
            <w:pPr>
              <w:spacing w:line="276" w:lineRule="auto" w:after="40" w:before="40"/>
            </w:pPr>
            <w:r/>
            <w:r>
              <w:rPr>
                <w:rFonts w:ascii="Times New Roman" w:hAnsi="Times New Roman" w:eastAsia="宋体"/>
                <w:b w:val="0"/>
                <w:i w:val="0"/>
                <w:sz w:val="18"/>
              </w:rPr>
              <w:t>欲望结构与资本动力</w:t>
            </w:r>
          </w:p>
        </w:tc>
        <w:tc>
          <w:tcPr>
            <w:tcW w:type="dxa" w:w="1474"/>
          </w:tcPr>
          <w:p>
            <w:pPr>
              <w:spacing w:line="276" w:lineRule="auto" w:after="40" w:before="40"/>
            </w:pPr>
            <w:r/>
            <w:r>
              <w:rPr>
                <w:rFonts w:ascii="Times New Roman" w:hAnsi="Times New Roman" w:eastAsia="宋体"/>
                <w:b w:val="0"/>
                <w:i w:val="0"/>
                <w:sz w:val="18"/>
              </w:rPr>
              <w:t>结构—系统</w:t>
            </w:r>
          </w:p>
        </w:tc>
        <w:tc>
          <w:tcPr>
            <w:tcW w:type="dxa" w:w="1701"/>
          </w:tcPr>
          <w:p>
            <w:pPr>
              <w:spacing w:line="276" w:lineRule="auto" w:after="40" w:before="40"/>
            </w:pPr>
            <w:r/>
            <w:r>
              <w:rPr>
                <w:rFonts w:ascii="Times New Roman" w:hAnsi="Times New Roman" w:eastAsia="宋体"/>
                <w:b w:val="0"/>
                <w:i w:val="0"/>
                <w:sz w:val="18"/>
              </w:rPr>
              <w:t>理论+文本/邮件</w:t>
            </w:r>
          </w:p>
        </w:tc>
        <w:tc>
          <w:tcPr>
            <w:tcW w:type="dxa" w:w="2381"/>
          </w:tcPr>
          <w:p>
            <w:pPr>
              <w:spacing w:line="276" w:lineRule="auto" w:after="40" w:before="40"/>
            </w:pPr>
            <w:r/>
            <w:r>
              <w:rPr>
                <w:rFonts w:ascii="Times New Roman" w:hAnsi="Times New Roman" w:eastAsia="宋体"/>
                <w:b w:val="0"/>
                <w:i w:val="0"/>
                <w:sz w:val="18"/>
              </w:rPr>
              <w:t>几乎不可证伪</w:t>
            </w:r>
          </w:p>
        </w:tc>
        <w:tc>
          <w:tcPr>
            <w:tcW w:type="dxa" w:w="907"/>
          </w:tcPr>
          <w:p>
            <w:pPr>
              <w:spacing w:line="276" w:lineRule="auto" w:after="40" w:before="40"/>
            </w:pPr>
            <w:r/>
            <w:r>
              <w:rPr>
                <w:rFonts w:ascii="Times New Roman" w:hAnsi="Times New Roman" w:eastAsia="宋体"/>
                <w:b w:val="0"/>
                <w:i w:val="0"/>
                <w:sz w:val="18"/>
              </w:rPr>
              <w:t>低</w:t>
            </w:r>
          </w:p>
        </w:tc>
      </w:tr>
    </w:tbl>
    <w:p>
      <w:pPr>
        <w:spacing w:line="360" w:lineRule="auto" w:before="0" w:after="40"/>
        <w:jc w:val="both"/>
      </w:pPr>
    </w:p>
    <w:p>
      <w:pPr>
        <w:keepNext/>
        <w:spacing w:before="280" w:after="160" w:line="312" w:lineRule="auto"/>
      </w:pPr>
      <w:r>
        <w:rPr>
          <w:rFonts w:ascii="Arial" w:hAnsi="Arial" w:eastAsia="黑体"/>
          <w:b/>
          <w:i w:val="0"/>
          <w:sz w:val="32"/>
        </w:rPr>
        <w:t>附录 C　结论置信度分级</w:t>
      </w:r>
    </w:p>
    <w:tbl>
      <w:tblPr>
        <w:tblStyle w:val="TableGrid"/>
        <w:tblW w:type="auto" w:w="0"/>
        <w:jc w:val="center"/>
        <w:tblLook w:firstColumn="1" w:firstRow="1" w:lastColumn="0" w:lastRow="0" w:noHBand="0" w:noVBand="1" w:val="04A0"/>
      </w:tblPr>
      <w:tblGrid>
        <w:gridCol w:w="2835"/>
        <w:gridCol w:w="2835"/>
        <w:gridCol w:w="2835"/>
      </w:tblGrid>
      <w:tr>
        <w:tc>
          <w:tcPr>
            <w:tcW w:type="dxa" w:w="3402"/>
          </w:tcPr>
          <w:p>
            <w:pPr>
              <w:spacing w:line="276" w:lineRule="auto" w:after="40" w:before="40"/>
              <w:jc w:val="center"/>
            </w:pPr>
            <w:r/>
            <w:r>
              <w:rPr>
                <w:rFonts w:ascii="Times New Roman" w:hAnsi="Times New Roman" w:eastAsia="宋体"/>
                <w:b/>
                <w:i w:val="0"/>
                <w:sz w:val="19"/>
              </w:rPr>
              <w:t>结论</w:t>
            </w:r>
          </w:p>
        </w:tc>
        <w:tc>
          <w:tcPr>
            <w:tcW w:type="dxa" w:w="1020"/>
          </w:tcPr>
          <w:p>
            <w:pPr>
              <w:spacing w:line="276" w:lineRule="auto" w:after="40" w:before="40"/>
              <w:jc w:val="center"/>
            </w:pPr>
            <w:r/>
            <w:r>
              <w:rPr>
                <w:rFonts w:ascii="Times New Roman" w:hAnsi="Times New Roman" w:eastAsia="宋体"/>
                <w:b/>
                <w:i w:val="0"/>
                <w:sz w:val="19"/>
              </w:rPr>
              <w:t>置信度</w:t>
            </w:r>
          </w:p>
        </w:tc>
        <w:tc>
          <w:tcPr>
            <w:tcW w:type="dxa" w:w="5443"/>
          </w:tcPr>
          <w:p>
            <w:pPr>
              <w:spacing w:line="276" w:lineRule="auto" w:after="40" w:before="40"/>
              <w:jc w:val="center"/>
            </w:pPr>
            <w:r/>
            <w:r>
              <w:rPr>
                <w:rFonts w:ascii="Times New Roman" w:hAnsi="Times New Roman" w:eastAsia="宋体"/>
                <w:b/>
                <w:i w:val="0"/>
                <w:sz w:val="19"/>
              </w:rPr>
              <w:t>依据</w:t>
            </w:r>
          </w:p>
        </w:tc>
      </w:tr>
      <w:tr>
        <w:tc>
          <w:tcPr>
            <w:tcW w:type="dxa" w:w="3402"/>
          </w:tcPr>
          <w:p>
            <w:pPr>
              <w:spacing w:line="276" w:lineRule="auto" w:after="40" w:before="40"/>
            </w:pPr>
            <w:r/>
            <w:r>
              <w:rPr>
                <w:rFonts w:ascii="Times New Roman" w:hAnsi="Times New Roman" w:eastAsia="宋体"/>
                <w:b w:val="0"/>
                <w:i w:val="0"/>
                <w:sz w:val="18"/>
              </w:rPr>
              <w:t>过度交易与赌博障碍在诊断与轨迹上重合</w:t>
            </w:r>
          </w:p>
        </w:tc>
        <w:tc>
          <w:tcPr>
            <w:tcW w:type="dxa" w:w="1020"/>
          </w:tcPr>
          <w:p>
            <w:pPr>
              <w:spacing w:line="276" w:lineRule="auto" w:after="40" w:before="40"/>
            </w:pPr>
            <w:r/>
            <w:r>
              <w:rPr>
                <w:rFonts w:ascii="Times New Roman" w:hAnsi="Times New Roman" w:eastAsia="宋体"/>
                <w:b w:val="0"/>
                <w:i w:val="0"/>
                <w:sz w:val="18"/>
              </w:rPr>
              <w:t>高</w:t>
            </w:r>
          </w:p>
        </w:tc>
        <w:tc>
          <w:tcPr>
            <w:tcW w:type="dxa" w:w="5443"/>
          </w:tcPr>
          <w:p>
            <w:pPr>
              <w:spacing w:line="276" w:lineRule="auto" w:after="40" w:before="40"/>
            </w:pPr>
            <w:r/>
            <w:r>
              <w:rPr>
                <w:rFonts w:ascii="Times New Roman" w:hAnsi="Times New Roman" w:eastAsia="宋体"/>
                <w:b w:val="0"/>
                <w:i w:val="0"/>
                <w:sz w:val="18"/>
              </w:rPr>
              <w:t>多项研究、跨样本、诊断标准可移植[36][37]</w:t>
            </w:r>
          </w:p>
        </w:tc>
      </w:tr>
      <w:tr>
        <w:tc>
          <w:tcPr>
            <w:tcW w:type="dxa" w:w="3402"/>
          </w:tcPr>
          <w:p>
            <w:pPr>
              <w:spacing w:line="276" w:lineRule="auto" w:after="40" w:before="40"/>
            </w:pPr>
            <w:r/>
            <w:r>
              <w:rPr>
                <w:rFonts w:ascii="Times New Roman" w:hAnsi="Times New Roman" w:eastAsia="宋体"/>
                <w:b w:val="0"/>
                <w:i w:val="0"/>
                <w:sz w:val="18"/>
              </w:rPr>
              <w:t>情绪影响决策，且方向依情境而变</w:t>
            </w:r>
          </w:p>
        </w:tc>
        <w:tc>
          <w:tcPr>
            <w:tcW w:type="dxa" w:w="1020"/>
          </w:tcPr>
          <w:p>
            <w:pPr>
              <w:spacing w:line="276" w:lineRule="auto" w:after="40" w:before="40"/>
            </w:pPr>
            <w:r/>
            <w:r>
              <w:rPr>
                <w:rFonts w:ascii="Times New Roman" w:hAnsi="Times New Roman" w:eastAsia="宋体"/>
                <w:b w:val="0"/>
                <w:i w:val="0"/>
                <w:sz w:val="18"/>
              </w:rPr>
              <w:t>中高</w:t>
            </w:r>
          </w:p>
        </w:tc>
        <w:tc>
          <w:tcPr>
            <w:tcW w:type="dxa" w:w="5443"/>
          </w:tcPr>
          <w:p>
            <w:pPr>
              <w:spacing w:line="276" w:lineRule="auto" w:after="40" w:before="40"/>
            </w:pPr>
            <w:r/>
            <w:r>
              <w:rPr>
                <w:rFonts w:ascii="Times New Roman" w:hAnsi="Times New Roman" w:eastAsia="宋体"/>
                <w:b w:val="0"/>
                <w:i w:val="0"/>
                <w:sz w:val="18"/>
              </w:rPr>
              <w:t>实验可重复，但效应大小与机制有争议[35][34]</w:t>
            </w:r>
          </w:p>
        </w:tc>
      </w:tr>
      <w:tr>
        <w:tc>
          <w:tcPr>
            <w:tcW w:type="dxa" w:w="3402"/>
          </w:tcPr>
          <w:p>
            <w:pPr>
              <w:spacing w:line="276" w:lineRule="auto" w:after="40" w:before="40"/>
            </w:pPr>
            <w:r/>
            <w:r>
              <w:rPr>
                <w:rFonts w:ascii="Times New Roman" w:hAnsi="Times New Roman" w:eastAsia="宋体"/>
                <w:b w:val="0"/>
                <w:i w:val="0"/>
                <w:sz w:val="18"/>
              </w:rPr>
              <w:t>交易中存在对抗不确定性的控制错觉</w:t>
            </w:r>
          </w:p>
        </w:tc>
        <w:tc>
          <w:tcPr>
            <w:tcW w:type="dxa" w:w="1020"/>
          </w:tcPr>
          <w:p>
            <w:pPr>
              <w:spacing w:line="276" w:lineRule="auto" w:after="40" w:before="40"/>
            </w:pPr>
            <w:r/>
            <w:r>
              <w:rPr>
                <w:rFonts w:ascii="Times New Roman" w:hAnsi="Times New Roman" w:eastAsia="宋体"/>
                <w:b w:val="0"/>
                <w:i w:val="0"/>
                <w:sz w:val="18"/>
              </w:rPr>
              <w:t>中</w:t>
            </w:r>
          </w:p>
        </w:tc>
        <w:tc>
          <w:tcPr>
            <w:tcW w:type="dxa" w:w="5443"/>
          </w:tcPr>
          <w:p>
            <w:pPr>
              <w:spacing w:line="276" w:lineRule="auto" w:after="40" w:before="40"/>
            </w:pPr>
            <w:r/>
            <w:r>
              <w:rPr>
                <w:rFonts w:ascii="Times New Roman" w:hAnsi="Times New Roman" w:eastAsia="宋体"/>
                <w:b w:val="0"/>
                <w:i w:val="0"/>
                <w:sz w:val="18"/>
              </w:rPr>
              <w:t>跨学科一致，但测量口径不一[15][36]</w:t>
            </w:r>
          </w:p>
        </w:tc>
      </w:tr>
      <w:tr>
        <w:tc>
          <w:tcPr>
            <w:tcW w:type="dxa" w:w="3402"/>
          </w:tcPr>
          <w:p>
            <w:pPr>
              <w:spacing w:line="276" w:lineRule="auto" w:after="40" w:before="40"/>
            </w:pPr>
            <w:r/>
            <w:r>
              <w:rPr>
                <w:rFonts w:ascii="Times New Roman" w:hAnsi="Times New Roman" w:eastAsia="宋体"/>
                <w:b w:val="0"/>
                <w:i w:val="0"/>
                <w:sz w:val="18"/>
              </w:rPr>
              <w:t>市场中极端行情呈现群体动力学</w:t>
            </w:r>
          </w:p>
        </w:tc>
        <w:tc>
          <w:tcPr>
            <w:tcW w:type="dxa" w:w="1020"/>
          </w:tcPr>
          <w:p>
            <w:pPr>
              <w:spacing w:line="276" w:lineRule="auto" w:after="40" w:before="40"/>
            </w:pPr>
            <w:r/>
            <w:r>
              <w:rPr>
                <w:rFonts w:ascii="Times New Roman" w:hAnsi="Times New Roman" w:eastAsia="宋体"/>
                <w:b w:val="0"/>
                <w:i w:val="0"/>
                <w:sz w:val="18"/>
              </w:rPr>
              <w:t>中</w:t>
            </w:r>
          </w:p>
        </w:tc>
        <w:tc>
          <w:tcPr>
            <w:tcW w:type="dxa" w:w="5443"/>
          </w:tcPr>
          <w:p>
            <w:pPr>
              <w:spacing w:line="276" w:lineRule="auto" w:after="40" w:before="40"/>
            </w:pPr>
            <w:r/>
            <w:r>
              <w:rPr>
                <w:rFonts w:ascii="Times New Roman" w:hAnsi="Times New Roman" w:eastAsia="宋体"/>
                <w:b w:val="0"/>
                <w:i w:val="0"/>
                <w:sz w:val="18"/>
              </w:rPr>
              <w:t>理论强、案例多，但因果与边界难界定[26][11]</w:t>
            </w:r>
          </w:p>
        </w:tc>
      </w:tr>
      <w:tr>
        <w:tc>
          <w:tcPr>
            <w:tcW w:type="dxa" w:w="3402"/>
          </w:tcPr>
          <w:p>
            <w:pPr>
              <w:spacing w:line="276" w:lineRule="auto" w:after="40" w:before="40"/>
            </w:pPr>
            <w:r/>
            <w:r>
              <w:rPr>
                <w:rFonts w:ascii="Times New Roman" w:hAnsi="Times New Roman" w:eastAsia="宋体"/>
                <w:b w:val="0"/>
                <w:i w:val="0"/>
                <w:sz w:val="18"/>
              </w:rPr>
              <w:t>幻觉客体与分阶段/未分阶段投资</w:t>
            </w:r>
          </w:p>
        </w:tc>
        <w:tc>
          <w:tcPr>
            <w:tcW w:type="dxa" w:w="1020"/>
          </w:tcPr>
          <w:p>
            <w:pPr>
              <w:spacing w:line="276" w:lineRule="auto" w:after="40" w:before="40"/>
            </w:pPr>
            <w:r/>
            <w:r>
              <w:rPr>
                <w:rFonts w:ascii="Times New Roman" w:hAnsi="Times New Roman" w:eastAsia="宋体"/>
                <w:b w:val="0"/>
                <w:i w:val="0"/>
                <w:sz w:val="18"/>
              </w:rPr>
              <w:t>中</w:t>
            </w:r>
          </w:p>
        </w:tc>
        <w:tc>
          <w:tcPr>
            <w:tcW w:type="dxa" w:w="5443"/>
          </w:tcPr>
          <w:p>
            <w:pPr>
              <w:spacing w:line="276" w:lineRule="auto" w:after="40" w:before="40"/>
            </w:pPr>
            <w:r/>
            <w:r>
              <w:rPr>
                <w:rFonts w:ascii="Times New Roman" w:hAnsi="Times New Roman" w:eastAsia="宋体"/>
                <w:b w:val="0"/>
                <w:i w:val="0"/>
                <w:sz w:val="18"/>
              </w:rPr>
              <w:t>概念有解释力，操作化与独立重复不足[11][23]</w:t>
            </w:r>
          </w:p>
        </w:tc>
      </w:tr>
      <w:tr>
        <w:tc>
          <w:tcPr>
            <w:tcW w:type="dxa" w:w="3402"/>
          </w:tcPr>
          <w:p>
            <w:pPr>
              <w:spacing w:line="276" w:lineRule="auto" w:after="40" w:before="40"/>
            </w:pPr>
            <w:r/>
            <w:r>
              <w:rPr>
                <w:rFonts w:ascii="Times New Roman" w:hAnsi="Times New Roman" w:eastAsia="宋体"/>
                <w:b w:val="0"/>
                <w:i w:val="0"/>
                <w:sz w:val="18"/>
              </w:rPr>
              <w:t>金钱的心理意义超出其经济功能</w:t>
            </w:r>
          </w:p>
        </w:tc>
        <w:tc>
          <w:tcPr>
            <w:tcW w:type="dxa" w:w="1020"/>
          </w:tcPr>
          <w:p>
            <w:pPr>
              <w:spacing w:line="276" w:lineRule="auto" w:after="40" w:before="40"/>
            </w:pPr>
            <w:r/>
            <w:r>
              <w:rPr>
                <w:rFonts w:ascii="Times New Roman" w:hAnsi="Times New Roman" w:eastAsia="宋体"/>
                <w:b w:val="0"/>
                <w:i w:val="0"/>
                <w:sz w:val="18"/>
              </w:rPr>
              <w:t>中</w:t>
            </w:r>
          </w:p>
        </w:tc>
        <w:tc>
          <w:tcPr>
            <w:tcW w:type="dxa" w:w="5443"/>
          </w:tcPr>
          <w:p>
            <w:pPr>
              <w:spacing w:line="276" w:lineRule="auto" w:after="40" w:before="40"/>
            </w:pPr>
            <w:r/>
            <w:r>
              <w:rPr>
                <w:rFonts w:ascii="Times New Roman" w:hAnsi="Times New Roman" w:eastAsia="宋体"/>
                <w:b w:val="0"/>
                <w:i w:val="0"/>
                <w:sz w:val="18"/>
              </w:rPr>
              <w:t>经典文本与临床观察支持，难做干净实证[3][4][5][19]</w:t>
            </w:r>
          </w:p>
        </w:tc>
      </w:tr>
      <w:tr>
        <w:tc>
          <w:tcPr>
            <w:tcW w:type="dxa" w:w="3402"/>
          </w:tcPr>
          <w:p>
            <w:pPr>
              <w:spacing w:line="276" w:lineRule="auto" w:after="40" w:before="40"/>
            </w:pPr>
            <w:r/>
            <w:r>
              <w:rPr>
                <w:rFonts w:ascii="Times New Roman" w:hAnsi="Times New Roman" w:eastAsia="宋体"/>
                <w:b w:val="0"/>
                <w:i w:val="0"/>
                <w:sz w:val="18"/>
              </w:rPr>
              <w:t>赌徒存在无意识自罚需求</w:t>
            </w:r>
          </w:p>
        </w:tc>
        <w:tc>
          <w:tcPr>
            <w:tcW w:type="dxa" w:w="1020"/>
          </w:tcPr>
          <w:p>
            <w:pPr>
              <w:spacing w:line="276" w:lineRule="auto" w:after="40" w:before="40"/>
            </w:pPr>
            <w:r/>
            <w:r>
              <w:rPr>
                <w:rFonts w:ascii="Times New Roman" w:hAnsi="Times New Roman" w:eastAsia="宋体"/>
                <w:b w:val="0"/>
                <w:i w:val="0"/>
                <w:sz w:val="18"/>
              </w:rPr>
              <w:t>低</w:t>
            </w:r>
          </w:p>
        </w:tc>
        <w:tc>
          <w:tcPr>
            <w:tcW w:type="dxa" w:w="5443"/>
          </w:tcPr>
          <w:p>
            <w:pPr>
              <w:spacing w:line="276" w:lineRule="auto" w:after="40" w:before="40"/>
            </w:pPr>
            <w:r/>
            <w:r>
              <w:rPr>
                <w:rFonts w:ascii="Times New Roman" w:hAnsi="Times New Roman" w:eastAsia="宋体"/>
                <w:b w:val="0"/>
                <w:i w:val="0"/>
                <w:sz w:val="18"/>
              </w:rPr>
              <w:t>经典解释，当代临床已边缘化[2][24]</w:t>
            </w:r>
          </w:p>
        </w:tc>
      </w:tr>
      <w:tr>
        <w:tc>
          <w:tcPr>
            <w:tcW w:type="dxa" w:w="3402"/>
          </w:tcPr>
          <w:p>
            <w:pPr>
              <w:spacing w:line="276" w:lineRule="auto" w:after="40" w:before="40"/>
            </w:pPr>
            <w:r/>
            <w:r>
              <w:rPr>
                <w:rFonts w:ascii="Times New Roman" w:hAnsi="Times New Roman" w:eastAsia="宋体"/>
                <w:b w:val="0"/>
                <w:i w:val="0"/>
                <w:sz w:val="18"/>
              </w:rPr>
              <w:t>市场作为“对象 a”的运作机制</w:t>
            </w:r>
          </w:p>
        </w:tc>
        <w:tc>
          <w:tcPr>
            <w:tcW w:type="dxa" w:w="1020"/>
          </w:tcPr>
          <w:p>
            <w:pPr>
              <w:spacing w:line="276" w:lineRule="auto" w:after="40" w:before="40"/>
            </w:pPr>
            <w:r/>
            <w:r>
              <w:rPr>
                <w:rFonts w:ascii="Times New Roman" w:hAnsi="Times New Roman" w:eastAsia="宋体"/>
                <w:b w:val="0"/>
                <w:i w:val="0"/>
                <w:sz w:val="18"/>
              </w:rPr>
              <w:t>低</w:t>
            </w:r>
          </w:p>
        </w:tc>
        <w:tc>
          <w:tcPr>
            <w:tcW w:type="dxa" w:w="5443"/>
          </w:tcPr>
          <w:p>
            <w:pPr>
              <w:spacing w:line="276" w:lineRule="auto" w:after="40" w:before="40"/>
            </w:pPr>
            <w:r/>
            <w:r>
              <w:rPr>
                <w:rFonts w:ascii="Times New Roman" w:hAnsi="Times New Roman" w:eastAsia="宋体"/>
                <w:b w:val="0"/>
                <w:i w:val="0"/>
                <w:sz w:val="18"/>
              </w:rPr>
              <w:t>思辨性强，缺乏可反驳命题[44][20]</w:t>
            </w:r>
          </w:p>
        </w:tc>
      </w:tr>
    </w:tbl>
    <w:p>
      <w:pPr>
        <w:spacing w:line="360" w:lineRule="auto" w:before="0" w:after="40"/>
        <w:jc w:val="both"/>
      </w:pPr>
    </w:p>
    <w:p>
      <w:pPr>
        <w:keepNext/>
        <w:spacing w:before="280" w:after="160" w:line="312" w:lineRule="auto"/>
      </w:pPr>
      <w:r>
        <w:rPr>
          <w:rFonts w:ascii="Arial" w:hAnsi="Arial" w:eastAsia="黑体"/>
          <w:b/>
          <w:i w:val="0"/>
          <w:sz w:val="32"/>
        </w:rPr>
        <w:t>附录 D　术语到市场现象的映射</w:t>
      </w:r>
    </w:p>
    <w:tbl>
      <w:tblPr>
        <w:tblStyle w:val="TableGrid"/>
        <w:tblW w:type="auto" w:w="0"/>
        <w:jc w:val="center"/>
        <w:tblLook w:firstColumn="1" w:firstRow="1" w:lastColumn="0" w:lastRow="0" w:noHBand="0" w:noVBand="1" w:val="04A0"/>
      </w:tblPr>
      <w:tblGrid>
        <w:gridCol w:w="2835"/>
        <w:gridCol w:w="2835"/>
        <w:gridCol w:w="2835"/>
      </w:tblGrid>
      <w:tr>
        <w:tc>
          <w:tcPr>
            <w:tcW w:type="dxa" w:w="2154"/>
          </w:tcPr>
          <w:p>
            <w:pPr>
              <w:spacing w:line="276" w:lineRule="auto" w:after="40" w:before="40"/>
              <w:jc w:val="center"/>
            </w:pPr>
            <w:r/>
            <w:r>
              <w:rPr>
                <w:rFonts w:ascii="Times New Roman" w:hAnsi="Times New Roman" w:eastAsia="宋体"/>
                <w:b/>
                <w:i w:val="0"/>
                <w:sz w:val="19"/>
              </w:rPr>
              <w:t>概念</w:t>
            </w:r>
          </w:p>
        </w:tc>
        <w:tc>
          <w:tcPr>
            <w:tcW w:type="dxa" w:w="1814"/>
          </w:tcPr>
          <w:p>
            <w:pPr>
              <w:spacing w:line="276" w:lineRule="auto" w:after="40" w:before="40"/>
              <w:jc w:val="center"/>
            </w:pPr>
            <w:r/>
            <w:r>
              <w:rPr>
                <w:rFonts w:ascii="Times New Roman" w:hAnsi="Times New Roman" w:eastAsia="宋体"/>
                <w:b/>
                <w:i w:val="0"/>
                <w:sz w:val="19"/>
              </w:rPr>
              <w:t>来源</w:t>
            </w:r>
          </w:p>
        </w:tc>
        <w:tc>
          <w:tcPr>
            <w:tcW w:type="dxa" w:w="5896"/>
          </w:tcPr>
          <w:p>
            <w:pPr>
              <w:spacing w:line="276" w:lineRule="auto" w:after="40" w:before="40"/>
              <w:jc w:val="center"/>
            </w:pPr>
            <w:r/>
            <w:r>
              <w:rPr>
                <w:rFonts w:ascii="Times New Roman" w:hAnsi="Times New Roman" w:eastAsia="宋体"/>
                <w:b/>
                <w:i w:val="0"/>
                <w:sz w:val="19"/>
              </w:rPr>
              <w:t>对应市场现象</w:t>
            </w:r>
          </w:p>
        </w:tc>
      </w:tr>
      <w:tr>
        <w:tc>
          <w:tcPr>
            <w:tcW w:type="dxa" w:w="2154"/>
          </w:tcPr>
          <w:p>
            <w:pPr>
              <w:spacing w:line="276" w:lineRule="auto" w:after="40" w:before="40"/>
            </w:pPr>
            <w:r/>
            <w:r>
              <w:rPr>
                <w:rFonts w:ascii="Times New Roman" w:hAnsi="Times New Roman" w:eastAsia="宋体"/>
                <w:b w:val="0"/>
                <w:i w:val="0"/>
                <w:sz w:val="18"/>
              </w:rPr>
              <w:t>压抑 / 否认</w:t>
            </w:r>
          </w:p>
        </w:tc>
        <w:tc>
          <w:tcPr>
            <w:tcW w:type="dxa" w:w="1814"/>
          </w:tcPr>
          <w:p>
            <w:pPr>
              <w:spacing w:line="276" w:lineRule="auto" w:after="40" w:before="40"/>
            </w:pPr>
            <w:r/>
            <w:r>
              <w:rPr>
                <w:rFonts w:ascii="Times New Roman" w:hAnsi="Times New Roman" w:eastAsia="宋体"/>
                <w:b w:val="0"/>
                <w:i w:val="0"/>
                <w:sz w:val="18"/>
              </w:rPr>
              <w:t>弗洛伊德</w:t>
            </w:r>
          </w:p>
        </w:tc>
        <w:tc>
          <w:tcPr>
            <w:tcW w:type="dxa" w:w="5896"/>
          </w:tcPr>
          <w:p>
            <w:pPr>
              <w:spacing w:line="276" w:lineRule="auto" w:after="40" w:before="40"/>
            </w:pPr>
            <w:r/>
            <w:r>
              <w:rPr>
                <w:rFonts w:ascii="Times New Roman" w:hAnsi="Times New Roman" w:eastAsia="宋体"/>
                <w:b w:val="0"/>
                <w:i w:val="0"/>
                <w:sz w:val="18"/>
              </w:rPr>
              <w:t>浮亏不认亏，拒绝让认知改变决策[15]</w:t>
            </w:r>
          </w:p>
        </w:tc>
      </w:tr>
      <w:tr>
        <w:tc>
          <w:tcPr>
            <w:tcW w:type="dxa" w:w="2154"/>
          </w:tcPr>
          <w:p>
            <w:pPr>
              <w:spacing w:line="276" w:lineRule="auto" w:after="40" w:before="40"/>
            </w:pPr>
            <w:r/>
            <w:r>
              <w:rPr>
                <w:rFonts w:ascii="Times New Roman" w:hAnsi="Times New Roman" w:eastAsia="宋体"/>
                <w:b w:val="0"/>
                <w:i w:val="0"/>
                <w:sz w:val="18"/>
              </w:rPr>
              <w:t>重复强迫</w:t>
            </w:r>
          </w:p>
        </w:tc>
        <w:tc>
          <w:tcPr>
            <w:tcW w:type="dxa" w:w="1814"/>
          </w:tcPr>
          <w:p>
            <w:pPr>
              <w:spacing w:line="276" w:lineRule="auto" w:after="40" w:before="40"/>
            </w:pPr>
            <w:r/>
            <w:r>
              <w:rPr>
                <w:rFonts w:ascii="Times New Roman" w:hAnsi="Times New Roman" w:eastAsia="宋体"/>
                <w:b w:val="0"/>
                <w:i w:val="0"/>
                <w:sz w:val="18"/>
              </w:rPr>
              <w:t>弗洛伊德</w:t>
            </w:r>
          </w:p>
        </w:tc>
        <w:tc>
          <w:tcPr>
            <w:tcW w:type="dxa" w:w="5896"/>
          </w:tcPr>
          <w:p>
            <w:pPr>
              <w:spacing w:line="276" w:lineRule="auto" w:after="40" w:before="40"/>
            </w:pPr>
            <w:r/>
            <w:r>
              <w:rPr>
                <w:rFonts w:ascii="Times New Roman" w:hAnsi="Times New Roman" w:eastAsia="宋体"/>
                <w:b w:val="0"/>
                <w:i w:val="0"/>
                <w:sz w:val="18"/>
              </w:rPr>
              <w:t>反复回到同一亏损模式[2][24]</w:t>
            </w:r>
          </w:p>
        </w:tc>
      </w:tr>
      <w:tr>
        <w:tc>
          <w:tcPr>
            <w:tcW w:type="dxa" w:w="2154"/>
          </w:tcPr>
          <w:p>
            <w:pPr>
              <w:spacing w:line="276" w:lineRule="auto" w:after="40" w:before="40"/>
            </w:pPr>
            <w:r/>
            <w:r>
              <w:rPr>
                <w:rFonts w:ascii="Times New Roman" w:hAnsi="Times New Roman" w:eastAsia="宋体"/>
                <w:b w:val="0"/>
                <w:i w:val="0"/>
                <w:sz w:val="18"/>
              </w:rPr>
              <w:t>偏执-分裂位 / 抑郁位</w:t>
            </w:r>
          </w:p>
        </w:tc>
        <w:tc>
          <w:tcPr>
            <w:tcW w:type="dxa" w:w="1814"/>
          </w:tcPr>
          <w:p>
            <w:pPr>
              <w:spacing w:line="276" w:lineRule="auto" w:after="40" w:before="40"/>
            </w:pPr>
            <w:r/>
            <w:r>
              <w:rPr>
                <w:rFonts w:ascii="Times New Roman" w:hAnsi="Times New Roman" w:eastAsia="宋体"/>
                <w:b w:val="0"/>
                <w:i w:val="0"/>
                <w:sz w:val="18"/>
              </w:rPr>
              <w:t>克莱因</w:t>
            </w:r>
          </w:p>
        </w:tc>
        <w:tc>
          <w:tcPr>
            <w:tcW w:type="dxa" w:w="5896"/>
          </w:tcPr>
          <w:p>
            <w:pPr>
              <w:spacing w:line="276" w:lineRule="auto" w:after="40" w:before="40"/>
            </w:pPr>
            <w:r/>
            <w:r>
              <w:rPr>
                <w:rFonts w:ascii="Times New Roman" w:hAnsi="Times New Roman" w:eastAsia="宋体"/>
                <w:b w:val="0"/>
                <w:i w:val="0"/>
                <w:sz w:val="18"/>
              </w:rPr>
              <w:t>资产在“全好/全坏”间摆动；能否承受双面性[8][11]</w:t>
            </w:r>
          </w:p>
        </w:tc>
      </w:tr>
      <w:tr>
        <w:tc>
          <w:tcPr>
            <w:tcW w:type="dxa" w:w="2154"/>
          </w:tcPr>
          <w:p>
            <w:pPr>
              <w:spacing w:line="276" w:lineRule="auto" w:after="40" w:before="40"/>
            </w:pPr>
            <w:r/>
            <w:r>
              <w:rPr>
                <w:rFonts w:ascii="Times New Roman" w:hAnsi="Times New Roman" w:eastAsia="宋体"/>
                <w:b w:val="0"/>
                <w:i w:val="0"/>
                <w:sz w:val="18"/>
              </w:rPr>
              <w:t>基本假设（依赖/战斗-逃跑/配对）</w:t>
            </w:r>
          </w:p>
        </w:tc>
        <w:tc>
          <w:tcPr>
            <w:tcW w:type="dxa" w:w="1814"/>
          </w:tcPr>
          <w:p>
            <w:pPr>
              <w:spacing w:line="276" w:lineRule="auto" w:after="40" w:before="40"/>
            </w:pPr>
            <w:r/>
            <w:r>
              <w:rPr>
                <w:rFonts w:ascii="Times New Roman" w:hAnsi="Times New Roman" w:eastAsia="宋体"/>
                <w:b w:val="0"/>
                <w:i w:val="0"/>
                <w:sz w:val="18"/>
              </w:rPr>
              <w:t>比昂</w:t>
            </w:r>
          </w:p>
        </w:tc>
        <w:tc>
          <w:tcPr>
            <w:tcW w:type="dxa" w:w="5896"/>
          </w:tcPr>
          <w:p>
            <w:pPr>
              <w:spacing w:line="276" w:lineRule="auto" w:after="40" w:before="40"/>
            </w:pPr>
            <w:r/>
            <w:r>
              <w:rPr>
                <w:rFonts w:ascii="Times New Roman" w:hAnsi="Times New Roman" w:eastAsia="宋体"/>
                <w:b w:val="0"/>
                <w:i w:val="0"/>
                <w:sz w:val="18"/>
              </w:rPr>
              <w:t>依赖救市、踩踏、对“下一个叙事”的期待[7]</w:t>
            </w:r>
          </w:p>
        </w:tc>
      </w:tr>
      <w:tr>
        <w:tc>
          <w:tcPr>
            <w:tcW w:type="dxa" w:w="2154"/>
          </w:tcPr>
          <w:p>
            <w:pPr>
              <w:spacing w:line="276" w:lineRule="auto" w:after="40" w:before="40"/>
            </w:pPr>
            <w:r/>
            <w:r>
              <w:rPr>
                <w:rFonts w:ascii="Times New Roman" w:hAnsi="Times New Roman" w:eastAsia="宋体"/>
                <w:b w:val="0"/>
                <w:i w:val="0"/>
                <w:sz w:val="18"/>
              </w:rPr>
              <w:t>幻觉客体</w:t>
            </w:r>
          </w:p>
        </w:tc>
        <w:tc>
          <w:tcPr>
            <w:tcW w:type="dxa" w:w="1814"/>
          </w:tcPr>
          <w:p>
            <w:pPr>
              <w:spacing w:line="276" w:lineRule="auto" w:after="40" w:before="40"/>
            </w:pPr>
            <w:r/>
            <w:r>
              <w:rPr>
                <w:rFonts w:ascii="Times New Roman" w:hAnsi="Times New Roman" w:eastAsia="宋体"/>
                <w:b w:val="0"/>
                <w:i w:val="0"/>
                <w:sz w:val="18"/>
              </w:rPr>
              <w:t>Tuckett &amp; Taffler</w:t>
            </w:r>
          </w:p>
        </w:tc>
        <w:tc>
          <w:tcPr>
            <w:tcW w:type="dxa" w:w="5896"/>
          </w:tcPr>
          <w:p>
            <w:pPr>
              <w:spacing w:line="276" w:lineRule="auto" w:after="40" w:before="40"/>
            </w:pPr>
            <w:r/>
            <w:r>
              <w:rPr>
                <w:rFonts w:ascii="Times New Roman" w:hAnsi="Times New Roman" w:eastAsia="宋体"/>
                <w:b w:val="0"/>
                <w:i w:val="0"/>
                <w:sz w:val="18"/>
              </w:rPr>
              <w:t>互联网股、加密货币等被爱的对象[11][14]</w:t>
            </w:r>
          </w:p>
        </w:tc>
      </w:tr>
      <w:tr>
        <w:tc>
          <w:tcPr>
            <w:tcW w:type="dxa" w:w="2154"/>
          </w:tcPr>
          <w:p>
            <w:pPr>
              <w:spacing w:line="276" w:lineRule="auto" w:after="40" w:before="40"/>
            </w:pPr>
            <w:r/>
            <w:r>
              <w:rPr>
                <w:rFonts w:ascii="Times New Roman" w:hAnsi="Times New Roman" w:eastAsia="宋体"/>
                <w:b w:val="0"/>
                <w:i w:val="0"/>
                <w:sz w:val="18"/>
              </w:rPr>
              <w:t>分阶段 / 未分阶段投资</w:t>
            </w:r>
          </w:p>
        </w:tc>
        <w:tc>
          <w:tcPr>
            <w:tcW w:type="dxa" w:w="1814"/>
          </w:tcPr>
          <w:p>
            <w:pPr>
              <w:spacing w:line="276" w:lineRule="auto" w:after="40" w:before="40"/>
            </w:pPr>
            <w:r/>
            <w:r>
              <w:rPr>
                <w:rFonts w:ascii="Times New Roman" w:hAnsi="Times New Roman" w:eastAsia="宋体"/>
                <w:b w:val="0"/>
                <w:i w:val="0"/>
                <w:sz w:val="18"/>
              </w:rPr>
              <w:t>情绪金融</w:t>
            </w:r>
          </w:p>
        </w:tc>
        <w:tc>
          <w:tcPr>
            <w:tcW w:type="dxa" w:w="5896"/>
          </w:tcPr>
          <w:p>
            <w:pPr>
              <w:spacing w:line="276" w:lineRule="auto" w:after="40" w:before="40"/>
            </w:pPr>
            <w:r/>
            <w:r>
              <w:rPr>
                <w:rFonts w:ascii="Times New Roman" w:hAnsi="Times New Roman" w:eastAsia="宋体"/>
                <w:b w:val="0"/>
                <w:i w:val="0"/>
                <w:sz w:val="18"/>
              </w:rPr>
              <w:t>能容纳盈亏 vs. 分裂处理[11][13]</w:t>
            </w:r>
          </w:p>
        </w:tc>
      </w:tr>
      <w:tr>
        <w:tc>
          <w:tcPr>
            <w:tcW w:type="dxa" w:w="2154"/>
          </w:tcPr>
          <w:p>
            <w:pPr>
              <w:spacing w:line="276" w:lineRule="auto" w:after="40" w:before="40"/>
            </w:pPr>
            <w:r/>
            <w:r>
              <w:rPr>
                <w:rFonts w:ascii="Times New Roman" w:hAnsi="Times New Roman" w:eastAsia="宋体"/>
                <w:b w:val="0"/>
                <w:i w:val="0"/>
                <w:sz w:val="18"/>
              </w:rPr>
              <w:t>对象 a / 欲望转喻</w:t>
            </w:r>
          </w:p>
        </w:tc>
        <w:tc>
          <w:tcPr>
            <w:tcW w:type="dxa" w:w="1814"/>
          </w:tcPr>
          <w:p>
            <w:pPr>
              <w:spacing w:line="276" w:lineRule="auto" w:after="40" w:before="40"/>
            </w:pPr>
            <w:r/>
            <w:r>
              <w:rPr>
                <w:rFonts w:ascii="Times New Roman" w:hAnsi="Times New Roman" w:eastAsia="宋体"/>
                <w:b w:val="0"/>
                <w:i w:val="0"/>
                <w:sz w:val="18"/>
              </w:rPr>
              <w:t>拉康</w:t>
            </w:r>
          </w:p>
        </w:tc>
        <w:tc>
          <w:tcPr>
            <w:tcW w:type="dxa" w:w="5896"/>
          </w:tcPr>
          <w:p>
            <w:pPr>
              <w:spacing w:line="276" w:lineRule="auto" w:after="40" w:before="40"/>
            </w:pPr>
            <w:r/>
            <w:r>
              <w:rPr>
                <w:rFonts w:ascii="Times New Roman" w:hAnsi="Times New Roman" w:eastAsia="宋体"/>
                <w:b w:val="0"/>
                <w:i w:val="0"/>
                <w:sz w:val="18"/>
              </w:rPr>
              <w:t>永远差一点的下一个机会[44]</w:t>
            </w:r>
          </w:p>
        </w:tc>
      </w:tr>
      <w:tr>
        <w:tc>
          <w:tcPr>
            <w:tcW w:type="dxa" w:w="2154"/>
          </w:tcPr>
          <w:p>
            <w:pPr>
              <w:spacing w:line="276" w:lineRule="auto" w:after="40" w:before="40"/>
            </w:pPr>
            <w:r/>
            <w:r>
              <w:rPr>
                <w:rFonts w:ascii="Times New Roman" w:hAnsi="Times New Roman" w:eastAsia="宋体"/>
                <w:b w:val="0"/>
                <w:i w:val="0"/>
                <w:sz w:val="18"/>
              </w:rPr>
              <w:t>剩余享乐 / 自逾越享乐</w:t>
            </w:r>
          </w:p>
        </w:tc>
        <w:tc>
          <w:tcPr>
            <w:tcW w:type="dxa" w:w="1814"/>
          </w:tcPr>
          <w:p>
            <w:pPr>
              <w:spacing w:line="276" w:lineRule="auto" w:after="40" w:before="40"/>
            </w:pPr>
            <w:r/>
            <w:r>
              <w:rPr>
                <w:rFonts w:ascii="Times New Roman" w:hAnsi="Times New Roman" w:eastAsia="宋体"/>
                <w:b w:val="0"/>
                <w:i w:val="0"/>
                <w:sz w:val="18"/>
              </w:rPr>
              <w:t>拉康 / Žižek</w:t>
            </w:r>
          </w:p>
        </w:tc>
        <w:tc>
          <w:tcPr>
            <w:tcW w:type="dxa" w:w="5896"/>
          </w:tcPr>
          <w:p>
            <w:pPr>
              <w:spacing w:line="276" w:lineRule="auto" w:after="40" w:before="40"/>
            </w:pPr>
            <w:r/>
            <w:r>
              <w:rPr>
                <w:rFonts w:ascii="Times New Roman" w:hAnsi="Times New Roman" w:eastAsia="宋体"/>
                <w:b w:val="0"/>
                <w:i w:val="0"/>
                <w:sz w:val="18"/>
              </w:rPr>
              <w:t>腐败交易的快感与自我破坏[17][45]</w:t>
            </w:r>
          </w:p>
        </w:tc>
      </w:tr>
      <w:tr>
        <w:tc>
          <w:tcPr>
            <w:tcW w:type="dxa" w:w="2154"/>
          </w:tcPr>
          <w:p>
            <w:pPr>
              <w:spacing w:line="276" w:lineRule="auto" w:after="40" w:before="40"/>
            </w:pPr>
            <w:r/>
            <w:r>
              <w:rPr>
                <w:rFonts w:ascii="Times New Roman" w:hAnsi="Times New Roman" w:eastAsia="宋体"/>
                <w:b w:val="0"/>
                <w:i w:val="0"/>
                <w:sz w:val="18"/>
              </w:rPr>
              <w:t>意识形态幻想</w:t>
            </w:r>
          </w:p>
        </w:tc>
        <w:tc>
          <w:tcPr>
            <w:tcW w:type="dxa" w:w="1814"/>
          </w:tcPr>
          <w:p>
            <w:pPr>
              <w:spacing w:line="276" w:lineRule="auto" w:after="40" w:before="40"/>
            </w:pPr>
            <w:r/>
            <w:r>
              <w:rPr>
                <w:rFonts w:ascii="Times New Roman" w:hAnsi="Times New Roman" w:eastAsia="宋体"/>
                <w:b w:val="0"/>
                <w:i w:val="0"/>
                <w:sz w:val="18"/>
              </w:rPr>
              <w:t>Žižek</w:t>
            </w:r>
          </w:p>
        </w:tc>
        <w:tc>
          <w:tcPr>
            <w:tcW w:type="dxa" w:w="5896"/>
          </w:tcPr>
          <w:p>
            <w:pPr>
              <w:spacing w:line="276" w:lineRule="auto" w:after="40" w:before="40"/>
            </w:pPr>
            <w:r/>
            <w:r>
              <w:rPr>
                <w:rFonts w:ascii="Times New Roman" w:hAnsi="Times New Roman" w:eastAsia="宋体"/>
                <w:b w:val="0"/>
                <w:i w:val="0"/>
                <w:sz w:val="18"/>
              </w:rPr>
              <w:t>明知不实却仍照做的自动化[45]</w:t>
            </w:r>
          </w:p>
        </w:tc>
      </w:tr>
      <w:tr>
        <w:tc>
          <w:tcPr>
            <w:tcW w:type="dxa" w:w="2154"/>
          </w:tcPr>
          <w:p>
            <w:pPr>
              <w:spacing w:line="276" w:lineRule="auto" w:after="40" w:before="40"/>
            </w:pPr>
            <w:r/>
            <w:r>
              <w:rPr>
                <w:rFonts w:ascii="Times New Roman" w:hAnsi="Times New Roman" w:eastAsia="宋体"/>
                <w:b w:val="0"/>
                <w:i w:val="0"/>
                <w:sz w:val="18"/>
              </w:rPr>
              <w:t>金钱=粪便象征链</w:t>
            </w:r>
          </w:p>
        </w:tc>
        <w:tc>
          <w:tcPr>
            <w:tcW w:type="dxa" w:w="1814"/>
          </w:tcPr>
          <w:p>
            <w:pPr>
              <w:spacing w:line="276" w:lineRule="auto" w:after="40" w:before="40"/>
            </w:pPr>
            <w:r/>
            <w:r>
              <w:rPr>
                <w:rFonts w:ascii="Times New Roman" w:hAnsi="Times New Roman" w:eastAsia="宋体"/>
                <w:b w:val="0"/>
                <w:i w:val="0"/>
                <w:sz w:val="18"/>
              </w:rPr>
              <w:t>费伦齐</w:t>
            </w:r>
          </w:p>
        </w:tc>
        <w:tc>
          <w:tcPr>
            <w:tcW w:type="dxa" w:w="5896"/>
          </w:tcPr>
          <w:p>
            <w:pPr>
              <w:spacing w:line="276" w:lineRule="auto" w:after="40" w:before="40"/>
            </w:pPr>
            <w:r/>
            <w:r>
              <w:rPr>
                <w:rFonts w:ascii="Times New Roman" w:hAnsi="Times New Roman" w:eastAsia="宋体"/>
                <w:b w:val="0"/>
                <w:i w:val="0"/>
                <w:sz w:val="18"/>
              </w:rPr>
              <w:t>囤积、挥霍、吝啬的非经济解释[4]</w:t>
            </w:r>
          </w:p>
        </w:tc>
      </w:tr>
    </w:tbl>
    <w:p>
      <w:pPr>
        <w:spacing w:line="360" w:lineRule="auto" w:before="0" w:after="40"/>
        <w:jc w:val="both"/>
      </w:pPr>
    </w:p>
    <w:p>
      <w:r>
        <w:br w:type="page"/>
      </w:r>
    </w:p>
    <w:p>
      <w:pPr>
        <w:keepNext/>
        <w:spacing w:before="280" w:after="160" w:line="312" w:lineRule="auto"/>
      </w:pPr>
      <w:r>
        <w:rPr>
          <w:rFonts w:ascii="Arial" w:hAnsi="Arial" w:eastAsia="黑体"/>
          <w:b/>
          <w:i w:val="0"/>
          <w:sz w:val="32"/>
        </w:rPr>
        <w:t>附录 E　参考文献</w:t>
      </w:r>
    </w:p>
    <w:p>
      <w:pPr>
        <w:spacing w:line="324" w:lineRule="auto" w:after="60"/>
        <w:ind w:left="480" w:hanging="480"/>
      </w:pPr>
      <w:r>
        <w:rPr>
          <w:rFonts w:ascii="Times New Roman" w:hAnsi="Times New Roman" w:eastAsia="宋体"/>
          <w:b w:val="0"/>
          <w:i w:val="0"/>
          <w:sz w:val="19"/>
        </w:rPr>
        <w:t>[1] 弗洛伊德. 群体心理学与自我的分析[M]. 1921.</w:t>
      </w:r>
    </w:p>
    <w:p>
      <w:pPr>
        <w:spacing w:line="324" w:lineRule="auto" w:after="60"/>
        <w:ind w:left="480" w:hanging="480"/>
      </w:pPr>
      <w:r>
        <w:rPr>
          <w:rFonts w:ascii="Times New Roman" w:hAnsi="Times New Roman" w:eastAsia="宋体"/>
          <w:b w:val="0"/>
          <w:i w:val="0"/>
          <w:sz w:val="19"/>
        </w:rPr>
        <w:t>[2] 弗洛伊德. 陀思妥耶夫斯基与弑父[M]. 1928.</w:t>
      </w:r>
    </w:p>
    <w:p>
      <w:pPr>
        <w:spacing w:line="324" w:lineRule="auto" w:after="60"/>
        <w:ind w:left="480" w:hanging="480"/>
      </w:pPr>
      <w:r>
        <w:rPr>
          <w:rFonts w:ascii="Times New Roman" w:hAnsi="Times New Roman" w:eastAsia="宋体"/>
          <w:b w:val="0"/>
          <w:i w:val="0"/>
          <w:sz w:val="19"/>
        </w:rPr>
        <w:t>[3] 弗洛伊德. 性格与肛门性欲[M]. 1908.</w:t>
      </w:r>
    </w:p>
    <w:p>
      <w:pPr>
        <w:spacing w:line="324" w:lineRule="auto" w:after="60"/>
        <w:ind w:left="480" w:hanging="480"/>
      </w:pPr>
      <w:r>
        <w:rPr>
          <w:rFonts w:ascii="Times New Roman" w:hAnsi="Times New Roman" w:eastAsia="宋体"/>
          <w:b w:val="0"/>
          <w:i w:val="0"/>
          <w:sz w:val="19"/>
        </w:rPr>
        <w:t>[4] 费伦齐. 金钱兴趣的本体发生[M]. 1914.</w:t>
      </w:r>
    </w:p>
    <w:p>
      <w:pPr>
        <w:spacing w:line="324" w:lineRule="auto" w:after="60"/>
        <w:ind w:left="480" w:hanging="480"/>
      </w:pPr>
      <w:r>
        <w:rPr>
          <w:rFonts w:ascii="Times New Roman" w:hAnsi="Times New Roman" w:eastAsia="宋体"/>
          <w:b w:val="0"/>
          <w:i w:val="0"/>
          <w:sz w:val="19"/>
        </w:rPr>
        <w:t>[5] 亚伯拉罕. 对肛门性格理论的贡献[M]. 1921.</w:t>
      </w:r>
    </w:p>
    <w:p>
      <w:pPr>
        <w:spacing w:line="324" w:lineRule="auto" w:after="60"/>
        <w:ind w:left="480" w:hanging="480"/>
      </w:pPr>
      <w:r>
        <w:rPr>
          <w:rFonts w:ascii="Times New Roman" w:hAnsi="Times New Roman" w:eastAsia="宋体"/>
          <w:b w:val="0"/>
          <w:i w:val="0"/>
          <w:sz w:val="19"/>
        </w:rPr>
        <w:t>[6] 勒庞. 乌合之众：大众心理研究[M]. 1895.</w:t>
      </w:r>
    </w:p>
    <w:p>
      <w:pPr>
        <w:spacing w:line="324" w:lineRule="auto" w:after="60"/>
        <w:ind w:left="480" w:hanging="480"/>
      </w:pPr>
      <w:r>
        <w:rPr>
          <w:rFonts w:ascii="Times New Roman" w:hAnsi="Times New Roman" w:eastAsia="宋体"/>
          <w:b w:val="0"/>
          <w:i w:val="0"/>
          <w:sz w:val="19"/>
        </w:rPr>
        <w:t>[7] BION W R. Group dynamics: a re-view[J]. International Journal of Psycho-Analysis, 1952, 33: 235-247.</w:t>
      </w:r>
    </w:p>
    <w:p>
      <w:pPr>
        <w:spacing w:line="324" w:lineRule="auto" w:after="60"/>
        <w:ind w:left="480" w:hanging="480"/>
      </w:pPr>
      <w:r>
        <w:rPr>
          <w:rFonts w:ascii="Times New Roman" w:hAnsi="Times New Roman" w:eastAsia="宋体"/>
          <w:b w:val="0"/>
          <w:i w:val="0"/>
          <w:sz w:val="19"/>
        </w:rPr>
        <w:t>[8] KLEIN M. Notes on some schizoid mechanisms[J]. International Journal of Psycho-Analysis, 1946, 27: 99-110.</w:t>
      </w:r>
    </w:p>
    <w:p>
      <w:pPr>
        <w:spacing w:line="324" w:lineRule="auto" w:after="60"/>
        <w:ind w:left="480" w:hanging="480"/>
      </w:pPr>
      <w:r>
        <w:rPr>
          <w:rFonts w:ascii="Times New Roman" w:hAnsi="Times New Roman" w:eastAsia="宋体"/>
          <w:b w:val="0"/>
          <w:i w:val="0"/>
          <w:sz w:val="19"/>
        </w:rPr>
        <w:t>[9] 拉康. 精神分析的四基本概念[M]. 1973/1978.</w:t>
      </w:r>
    </w:p>
    <w:p>
      <w:pPr>
        <w:spacing w:line="324" w:lineRule="auto" w:after="60"/>
        <w:ind w:left="480" w:hanging="480"/>
      </w:pPr>
      <w:r>
        <w:rPr>
          <w:rFonts w:ascii="Times New Roman" w:hAnsi="Times New Roman" w:eastAsia="宋体"/>
          <w:b w:val="0"/>
          <w:i w:val="0"/>
          <w:sz w:val="19"/>
        </w:rPr>
        <w:t>[10] 齐泽克. 意识形态的崇高客体[M]. 1989.</w:t>
      </w:r>
    </w:p>
    <w:p>
      <w:pPr>
        <w:spacing w:line="324" w:lineRule="auto" w:after="60"/>
        <w:ind w:left="480" w:hanging="480"/>
      </w:pPr>
      <w:r>
        <w:rPr>
          <w:rFonts w:ascii="Times New Roman" w:hAnsi="Times New Roman" w:eastAsia="宋体"/>
          <w:b w:val="0"/>
          <w:i w:val="0"/>
          <w:sz w:val="19"/>
        </w:rPr>
        <w:t>[11] TUCKETT D, TAFFLER R J. Phantastic objects and the financial market's sense of reality: a psychoanalytic contribution to the understanding of stock market instability[J]. The International Journal of Psychoanalysis, 2008, 89(2): 389-412. DOI:10.1111/j.1745-8315.2008.00040.x.</w:t>
      </w:r>
    </w:p>
    <w:p>
      <w:pPr>
        <w:spacing w:line="324" w:lineRule="auto" w:after="60"/>
        <w:ind w:left="480" w:hanging="480"/>
      </w:pPr>
      <w:r>
        <w:rPr>
          <w:rFonts w:ascii="Times New Roman" w:hAnsi="Times New Roman" w:eastAsia="宋体"/>
          <w:b w:val="0"/>
          <w:i w:val="0"/>
          <w:sz w:val="19"/>
        </w:rPr>
        <w:t>[12] TAFFLER R J. Emotional finance: investment and the unconscious[J]. The European Journal of Finance, 2018, 24(7-8): 630-649. DOI:10.1080/1351847X.2017.1369445.</w:t>
      </w:r>
    </w:p>
    <w:p>
      <w:pPr>
        <w:spacing w:line="324" w:lineRule="auto" w:after="60"/>
        <w:ind w:left="480" w:hanging="480"/>
      </w:pPr>
      <w:r>
        <w:rPr>
          <w:rFonts w:ascii="Times New Roman" w:hAnsi="Times New Roman" w:eastAsia="宋体"/>
          <w:b w:val="0"/>
          <w:i w:val="0"/>
          <w:sz w:val="19"/>
        </w:rPr>
        <w:t>[13] TUCKETT D. Minding the Markets: An Emotional Finance View of Financial Instability[M]. London: Palgrave Macmillan, 2011.</w:t>
      </w:r>
    </w:p>
    <w:p>
      <w:pPr>
        <w:spacing w:line="324" w:lineRule="auto" w:after="60"/>
        <w:ind w:left="480" w:hanging="480"/>
      </w:pPr>
      <w:r>
        <w:rPr>
          <w:rFonts w:ascii="Times New Roman" w:hAnsi="Times New Roman" w:eastAsia="宋体"/>
          <w:b w:val="0"/>
          <w:i w:val="0"/>
          <w:sz w:val="19"/>
        </w:rPr>
        <w:t>[14] TAFFLER R J, TUCKETT D. A psychoanalytical interpretation of dot.com stock valuations[R]. SSRN Working Paper 676635, 2003.</w:t>
      </w:r>
    </w:p>
    <w:p>
      <w:pPr>
        <w:spacing w:line="324" w:lineRule="auto" w:after="60"/>
        <w:ind w:left="480" w:hanging="480"/>
      </w:pPr>
      <w:r>
        <w:rPr>
          <w:rFonts w:ascii="Times New Roman" w:hAnsi="Times New Roman" w:eastAsia="宋体"/>
          <w:b w:val="0"/>
          <w:i w:val="0"/>
          <w:sz w:val="19"/>
        </w:rPr>
        <w:t>[15] TAFFLER R J. Emotional finance: theory and application[R]. EFMA Annual Meeting Paper, 2014. 及 Warwick Social Sciences Policy Briefing 2/2018.</w:t>
      </w:r>
    </w:p>
    <w:p>
      <w:pPr>
        <w:spacing w:line="324" w:lineRule="auto" w:after="60"/>
        <w:ind w:left="480" w:hanging="480"/>
      </w:pPr>
      <w:r>
        <w:rPr>
          <w:rFonts w:ascii="Times New Roman" w:hAnsi="Times New Roman" w:eastAsia="宋体"/>
          <w:b w:val="0"/>
          <w:i w:val="0"/>
          <w:sz w:val="19"/>
        </w:rPr>
        <w:t>[16] RYAN P, TAFFLER R J, BRANIGAN C. Some psychoanalytic reflections on the Irish real estate bubble[J]. International Journal of Applied Psychoanalytic Studies, 2023, 20(4): 666-681. DOI:10.1002/aps.1804.</w:t>
      </w:r>
    </w:p>
    <w:p>
      <w:pPr>
        <w:spacing w:line="324" w:lineRule="auto" w:after="60"/>
        <w:ind w:left="480" w:hanging="480"/>
      </w:pPr>
      <w:r>
        <w:rPr>
          <w:rFonts w:ascii="Times New Roman" w:hAnsi="Times New Roman" w:eastAsia="宋体"/>
          <w:b w:val="0"/>
          <w:i w:val="0"/>
          <w:sz w:val="19"/>
        </w:rPr>
        <w:t>[17] PIGNOT E. Bringing down the house (of Goldman Sachs): analyzing corrupt forms of trading with Lacan[J]. Ephemera: Theory &amp; Politics in Organization, 2015, 15(2).</w:t>
      </w:r>
    </w:p>
    <w:p>
      <w:pPr>
        <w:spacing w:line="324" w:lineRule="auto" w:after="60"/>
        <w:ind w:left="480" w:hanging="480"/>
      </w:pPr>
      <w:r>
        <w:rPr>
          <w:rFonts w:ascii="Times New Roman" w:hAnsi="Times New Roman" w:eastAsia="宋体"/>
          <w:b w:val="0"/>
          <w:i w:val="0"/>
          <w:sz w:val="19"/>
        </w:rPr>
        <w:t>[18] KETS DE VRIES M F R. The greed syndrome[R]. INSEAD Working Paper 2016/26/EFE, 2016. SSRN:2766233.</w:t>
      </w:r>
    </w:p>
    <w:p>
      <w:pPr>
        <w:spacing w:line="324" w:lineRule="auto" w:after="60"/>
        <w:ind w:left="480" w:hanging="480"/>
      </w:pPr>
      <w:r>
        <w:rPr>
          <w:rFonts w:ascii="Times New Roman" w:hAnsi="Times New Roman" w:eastAsia="宋体"/>
          <w:b w:val="0"/>
          <w:i w:val="0"/>
          <w:sz w:val="19"/>
        </w:rPr>
        <w:t>[19] DIMEN M. Money, love and hate: contradiction and paradox in psychoanalysis[J]. Psychoanalytic Dialogues, 1994, 4(1): 69-100.</w:t>
      </w:r>
    </w:p>
    <w:p>
      <w:pPr>
        <w:spacing w:line="324" w:lineRule="auto" w:after="60"/>
        <w:ind w:left="480" w:hanging="480"/>
      </w:pPr>
      <w:r>
        <w:rPr>
          <w:rFonts w:ascii="Times New Roman" w:hAnsi="Times New Roman" w:eastAsia="宋体"/>
          <w:b w:val="0"/>
          <w:i w:val="0"/>
          <w:sz w:val="19"/>
        </w:rPr>
        <w:t>[20] JOHNSTON A. Infinite Greed: The Inhuman Selfishness of Capital[M]. New York: Columbia University Press, 2024.</w:t>
      </w:r>
    </w:p>
    <w:p>
      <w:pPr>
        <w:spacing w:line="324" w:lineRule="auto" w:after="60"/>
        <w:ind w:left="480" w:hanging="480"/>
      </w:pPr>
      <w:r>
        <w:rPr>
          <w:rFonts w:ascii="Times New Roman" w:hAnsi="Times New Roman" w:eastAsia="宋体"/>
          <w:b w:val="0"/>
          <w:i w:val="0"/>
          <w:sz w:val="19"/>
        </w:rPr>
        <w:t>[21] BJERG O. How is Bitcoin money?[J]. Theory, Culture &amp; Society, 2016, 33(1): 53-72. DOI:10.1177/0263276415619015.</w:t>
      </w:r>
    </w:p>
    <w:p>
      <w:pPr>
        <w:spacing w:line="324" w:lineRule="auto" w:after="60"/>
        <w:ind w:left="480" w:hanging="480"/>
      </w:pPr>
      <w:r>
        <w:rPr>
          <w:rFonts w:ascii="Times New Roman" w:hAnsi="Times New Roman" w:eastAsia="宋体"/>
          <w:b w:val="0"/>
          <w:i w:val="0"/>
          <w:sz w:val="19"/>
        </w:rPr>
        <w:t>[22] CHICCHI F. Phantasmagoria of the Thing: aporias of the new capitalist discourse[J]. Postmodern Culture, 2016, 9(3). DOI:10.3998/pc.12322227.0009.003.</w:t>
      </w:r>
    </w:p>
    <w:p>
      <w:pPr>
        <w:spacing w:line="324" w:lineRule="auto" w:after="60"/>
        <w:ind w:left="480" w:hanging="480"/>
      </w:pPr>
      <w:r>
        <w:rPr>
          <w:rFonts w:ascii="Times New Roman" w:hAnsi="Times New Roman" w:eastAsia="宋体"/>
          <w:b w:val="0"/>
          <w:i w:val="0"/>
          <w:sz w:val="19"/>
        </w:rPr>
        <w:t>[23] MCDONNELL C. Psychodynamic drivers of prospect theory amongst individual investors trading securities in financial markets[D]. INSEAD Executive Masters in Change Thesis, 2021.</w:t>
      </w:r>
    </w:p>
    <w:p>
      <w:pPr>
        <w:spacing w:line="324" w:lineRule="auto" w:after="60"/>
        <w:ind w:left="480" w:hanging="480"/>
      </w:pPr>
      <w:r>
        <w:rPr>
          <w:rFonts w:ascii="Times New Roman" w:hAnsi="Times New Roman" w:eastAsia="宋体"/>
          <w:b w:val="0"/>
          <w:i w:val="0"/>
          <w:sz w:val="19"/>
        </w:rPr>
        <w:t>[24] KINGMA S F. Dostoevsky and Freud: autonomy and addiction in gambling[J]. Journal of Historical Sociology, 2017, 30(4): 891-917. DOI:10.1111/johs.12086.</w:t>
      </w:r>
    </w:p>
    <w:p>
      <w:pPr>
        <w:spacing w:line="324" w:lineRule="auto" w:after="60"/>
        <w:ind w:left="480" w:hanging="480"/>
      </w:pPr>
      <w:r>
        <w:rPr>
          <w:rFonts w:ascii="Times New Roman" w:hAnsi="Times New Roman" w:eastAsia="宋体"/>
          <w:b w:val="0"/>
          <w:i w:val="0"/>
          <w:sz w:val="19"/>
        </w:rPr>
        <w:t>[25] DIAS F M V, CANO-PRAIS H A, KEHDY S, et al. Um jogador patológico por Dostoiévski[J]. Revista de Psiquiatria do Rio Grande do Sul, 2008, 30(3): 236-240.</w:t>
      </w:r>
    </w:p>
    <w:p>
      <w:pPr>
        <w:spacing w:line="324" w:lineRule="auto" w:after="60"/>
        <w:ind w:left="480" w:hanging="480"/>
      </w:pPr>
      <w:r>
        <w:rPr>
          <w:rFonts w:ascii="Times New Roman" w:hAnsi="Times New Roman" w:eastAsia="宋体"/>
          <w:b w:val="0"/>
          <w:i w:val="0"/>
          <w:sz w:val="19"/>
        </w:rPr>
        <w:t>[26] BARRAUD C. Financial markets as a Le Bonian crowd during boom-and-bust episodes: a complementary theoretical framework in behavioural finance[R]. arXiv:2510.23175, 2025.</w:t>
      </w:r>
    </w:p>
    <w:p>
      <w:pPr>
        <w:spacing w:line="324" w:lineRule="auto" w:after="60"/>
        <w:ind w:left="480" w:hanging="480"/>
      </w:pPr>
      <w:r>
        <w:rPr>
          <w:rFonts w:ascii="Times New Roman" w:hAnsi="Times New Roman" w:eastAsia="宋体"/>
          <w:b w:val="0"/>
          <w:i w:val="0"/>
          <w:sz w:val="19"/>
        </w:rPr>
        <w:t>[27] KAHNEMAN D, TVERSKY A. Prospect theory: an analysis of decision under risk[J]. Econometrica, 1979, 47(2): 263-291.</w:t>
      </w:r>
    </w:p>
    <w:p>
      <w:pPr>
        <w:spacing w:line="324" w:lineRule="auto" w:after="60"/>
        <w:ind w:left="480" w:hanging="480"/>
      </w:pPr>
      <w:r>
        <w:rPr>
          <w:rFonts w:ascii="Times New Roman" w:hAnsi="Times New Roman" w:eastAsia="宋体"/>
          <w:b w:val="0"/>
          <w:i w:val="0"/>
          <w:sz w:val="19"/>
        </w:rPr>
        <w:t>[28] SHILLER R J. Narrative Economics: How Stories Go Viral and Drive Major Economic Events[M]. Princeton: Princeton University Press, 2019.</w:t>
      </w:r>
    </w:p>
    <w:p>
      <w:pPr>
        <w:spacing w:line="324" w:lineRule="auto" w:after="60"/>
        <w:ind w:left="480" w:hanging="480"/>
      </w:pPr>
      <w:r>
        <w:rPr>
          <w:rFonts w:ascii="Times New Roman" w:hAnsi="Times New Roman" w:eastAsia="宋体"/>
          <w:b w:val="0"/>
          <w:i w:val="0"/>
          <w:sz w:val="19"/>
        </w:rPr>
        <w:t>[29] SHILLER R J. Irrational Exuberance[M]. Princeton: Princeton University Press, 2000.</w:t>
      </w:r>
    </w:p>
    <w:p>
      <w:pPr>
        <w:spacing w:line="324" w:lineRule="auto" w:after="60"/>
        <w:ind w:left="480" w:hanging="480"/>
      </w:pPr>
      <w:r>
        <w:rPr>
          <w:rFonts w:ascii="Times New Roman" w:hAnsi="Times New Roman" w:eastAsia="宋体"/>
          <w:b w:val="0"/>
          <w:i w:val="0"/>
          <w:sz w:val="19"/>
        </w:rPr>
        <w:t>[30] KEYNES J M. The General Theory of Employment, Interest and Money[M]. London: Macmillan, 1936.</w:t>
      </w:r>
    </w:p>
    <w:p>
      <w:pPr>
        <w:spacing w:line="324" w:lineRule="auto" w:after="60"/>
        <w:ind w:left="480" w:hanging="480"/>
      </w:pPr>
      <w:r>
        <w:rPr>
          <w:rFonts w:ascii="Times New Roman" w:hAnsi="Times New Roman" w:eastAsia="宋体"/>
          <w:b w:val="0"/>
          <w:i w:val="0"/>
          <w:sz w:val="19"/>
        </w:rPr>
        <w:t>[31] FAMA E F. Efficient capital markets: a review of theory and empirical work[J]. Journal of Finance, 1970, 25(2): 383-417.</w:t>
      </w:r>
    </w:p>
    <w:p>
      <w:pPr>
        <w:spacing w:line="324" w:lineRule="auto" w:after="60"/>
        <w:ind w:left="480" w:hanging="480"/>
      </w:pPr>
      <w:r>
        <w:rPr>
          <w:rFonts w:ascii="Times New Roman" w:hAnsi="Times New Roman" w:eastAsia="宋体"/>
          <w:b w:val="0"/>
          <w:i w:val="0"/>
          <w:sz w:val="19"/>
        </w:rPr>
        <w:t>[32] LO A W. Adaptive Markets: Financial Evolution at the Speed of Thought[M]. Princeton: Princeton University Press, 2017.</w:t>
      </w:r>
    </w:p>
    <w:p>
      <w:pPr>
        <w:spacing w:line="324" w:lineRule="auto" w:after="60"/>
        <w:ind w:left="480" w:hanging="480"/>
      </w:pPr>
      <w:r>
        <w:rPr>
          <w:rFonts w:ascii="Times New Roman" w:hAnsi="Times New Roman" w:eastAsia="宋体"/>
          <w:b w:val="0"/>
          <w:i w:val="0"/>
          <w:sz w:val="19"/>
        </w:rPr>
        <w:t>[33] DAMASIO A R. Descartes' Error: Emotion, Reason, and the Human Brain[M]. New York: Putnam, 1994.</w:t>
      </w:r>
    </w:p>
    <w:p>
      <w:pPr>
        <w:spacing w:line="324" w:lineRule="auto" w:after="60"/>
        <w:ind w:left="480" w:hanging="480"/>
      </w:pPr>
      <w:r>
        <w:rPr>
          <w:rFonts w:ascii="Times New Roman" w:hAnsi="Times New Roman" w:eastAsia="宋体"/>
          <w:b w:val="0"/>
          <w:i w:val="0"/>
          <w:sz w:val="19"/>
        </w:rPr>
        <w:t>[34] DUNN B D, DALGLEISH T, LAWRENCE A D. The somatic marker hypothesis: a critical evaluation[J]. Neuroscience &amp; Biobehavioral Reviews, 2006, 30(2): 239-271.</w:t>
      </w:r>
    </w:p>
    <w:p>
      <w:pPr>
        <w:spacing w:line="324" w:lineRule="auto" w:after="60"/>
        <w:ind w:left="480" w:hanging="480"/>
      </w:pPr>
      <w:r>
        <w:rPr>
          <w:rFonts w:ascii="Times New Roman" w:hAnsi="Times New Roman" w:eastAsia="宋体"/>
          <w:b w:val="0"/>
          <w:i w:val="0"/>
          <w:sz w:val="19"/>
        </w:rPr>
        <w:t>[35] HINVEST N S, ALSHARMAN M, ROELL M, et al. Do emotions benefit investment decisions? Anticipatory emotion and investment decisions in non-professional investors[J]. Frontiers in Psychology, 2021, 12: 705476. DOI:10.3389/fpsyg.2021.705476.</w:t>
      </w:r>
    </w:p>
    <w:p>
      <w:pPr>
        <w:spacing w:line="324" w:lineRule="auto" w:after="60"/>
        <w:ind w:left="480" w:hanging="480"/>
      </w:pPr>
      <w:r>
        <w:rPr>
          <w:rFonts w:ascii="Times New Roman" w:hAnsi="Times New Roman" w:eastAsia="宋体"/>
          <w:b w:val="0"/>
          <w:i w:val="0"/>
          <w:sz w:val="19"/>
        </w:rPr>
        <w:t>[36] ROZA T H, TAVARES H, KESSLER F H P, et al. Problematic trading: gambling-like behavior in day trading and cryptocurrency investing[J]. Trends in Psychiatry and Psychotherapy, 2024, 46: e20230623. DOI:10.47626/2237-6089-2023-0623.</w:t>
      </w:r>
    </w:p>
    <w:p>
      <w:pPr>
        <w:spacing w:line="324" w:lineRule="auto" w:after="60"/>
        <w:ind w:left="480" w:hanging="480"/>
      </w:pPr>
      <w:r>
        <w:rPr>
          <w:rFonts w:ascii="Times New Roman" w:hAnsi="Times New Roman" w:eastAsia="宋体"/>
          <w:b w:val="0"/>
          <w:i w:val="0"/>
          <w:sz w:val="19"/>
        </w:rPr>
        <w:t>[37] LEONG WEI LYN N, YEO H Y, STARTUP C C, et al. Stock and cryptocurrency trading and problem gambling behavior during early phases of the COVID-19 pandemic: a narrative literature review[J]. Frontiers in Psychology, 2025, 16: 1585094. DOI:10.3389/fpsyg.2025.1585094.</w:t>
      </w:r>
    </w:p>
    <w:p>
      <w:pPr>
        <w:spacing w:line="324" w:lineRule="auto" w:after="60"/>
        <w:ind w:left="480" w:hanging="480"/>
      </w:pPr>
      <w:r>
        <w:rPr>
          <w:rFonts w:ascii="Times New Roman" w:hAnsi="Times New Roman" w:eastAsia="宋体"/>
          <w:b w:val="0"/>
          <w:i w:val="0"/>
          <w:sz w:val="19"/>
        </w:rPr>
        <w:t>[38] SHEN J, WANG Y, GAO W. The variability of emotions: behavioral risk or mispricing[R]. EFMA Annual Meeting Paper, 2023.</w:t>
      </w:r>
    </w:p>
    <w:p>
      <w:pPr>
        <w:spacing w:line="324" w:lineRule="auto" w:after="60"/>
        <w:ind w:left="480" w:hanging="480"/>
      </w:pPr>
      <w:r>
        <w:rPr>
          <w:rFonts w:ascii="Times New Roman" w:hAnsi="Times New Roman" w:eastAsia="宋体"/>
          <w:b w:val="0"/>
          <w:i w:val="0"/>
          <w:sz w:val="19"/>
        </w:rPr>
        <w:t>[39] LI C, TAN S R, HO N, et al. Behavioral heterogeneity and financial crisis: the role of sentiment[J]. Physica A: Statistical Mechanics and its Applications, 2022, 603: 127767. DOI:10.1016/j.physa.2022.127767.</w:t>
      </w:r>
    </w:p>
    <w:p>
      <w:pPr>
        <w:spacing w:line="324" w:lineRule="auto" w:after="60"/>
        <w:ind w:left="480" w:hanging="480"/>
      </w:pPr>
      <w:r>
        <w:rPr>
          <w:rFonts w:ascii="Times New Roman" w:hAnsi="Times New Roman" w:eastAsia="宋体"/>
          <w:b w:val="0"/>
          <w:i w:val="0"/>
          <w:sz w:val="19"/>
        </w:rPr>
        <w:t>[40] WU Q. Cognitive and emotional dynamics in investment: a review of behavioral finance theories and modern applications[C]. Atlantis Press, 2025.</w:t>
      </w:r>
    </w:p>
    <w:p>
      <w:pPr>
        <w:spacing w:line="324" w:lineRule="auto" w:after="60"/>
        <w:ind w:left="480" w:hanging="480"/>
      </w:pPr>
      <w:r>
        <w:rPr>
          <w:rFonts w:ascii="Times New Roman" w:hAnsi="Times New Roman" w:eastAsia="宋体"/>
          <w:b w:val="0"/>
          <w:i w:val="0"/>
          <w:sz w:val="19"/>
        </w:rPr>
        <w:t>[41] 波普尔. 科学发现的逻辑[M]. 1959. 另见 Stanford Encyclopedia of Philosophy, Karl Popper, 条目 3.</w:t>
      </w:r>
    </w:p>
    <w:p>
      <w:pPr>
        <w:spacing w:line="324" w:lineRule="auto" w:after="60"/>
        <w:ind w:left="480" w:hanging="480"/>
      </w:pPr>
      <w:r>
        <w:rPr>
          <w:rFonts w:ascii="Times New Roman" w:hAnsi="Times New Roman" w:eastAsia="宋体"/>
          <w:b w:val="0"/>
          <w:i w:val="0"/>
          <w:sz w:val="19"/>
        </w:rPr>
        <w:t>[42] GRÜNBAUM A. The Foundations of Psychoanalysis: A Philosophical Critique[M]. Berkeley: University of California Press, 1984.</w:t>
      </w:r>
    </w:p>
    <w:p>
      <w:pPr>
        <w:spacing w:line="324" w:lineRule="auto" w:after="60"/>
        <w:ind w:left="480" w:hanging="480"/>
      </w:pPr>
      <w:r>
        <w:rPr>
          <w:rFonts w:ascii="Times New Roman" w:hAnsi="Times New Roman" w:eastAsia="宋体"/>
          <w:b w:val="0"/>
          <w:i w:val="0"/>
          <w:sz w:val="19"/>
        </w:rPr>
        <w:t>[43] GRÜNBAUM A. Précis of The Foundations of Psychoanalysis: a philosophical critique[J]. Behavioral and Brain Sciences, 1986, 9(2): 217-228.</w:t>
      </w:r>
    </w:p>
    <w:p>
      <w:pPr>
        <w:spacing w:line="324" w:lineRule="auto" w:after="60"/>
        <w:ind w:left="480" w:hanging="480"/>
      </w:pPr>
      <w:r>
        <w:rPr>
          <w:rFonts w:ascii="Times New Roman" w:hAnsi="Times New Roman" w:eastAsia="宋体"/>
          <w:b w:val="0"/>
          <w:i w:val="0"/>
          <w:sz w:val="19"/>
        </w:rPr>
        <w:t>[44] 孔明安. 贪婪与恐惧：当代资本主义金融危机的新阐释[J]. 国外理论动态, 2019(6).</w:t>
      </w:r>
    </w:p>
    <w:p>
      <w:pPr>
        <w:spacing w:line="324" w:lineRule="auto" w:after="60"/>
        <w:ind w:left="480" w:hanging="480"/>
      </w:pPr>
      <w:r>
        <w:rPr>
          <w:rFonts w:ascii="Times New Roman" w:hAnsi="Times New Roman" w:eastAsia="宋体"/>
          <w:b w:val="0"/>
          <w:i w:val="0"/>
          <w:sz w:val="19"/>
        </w:rPr>
        <w:t>[45] 陈剑. 齐泽克笔下的资本主义恋物癖[J/OL]. 马克思主义研究网, 2017.</w:t>
      </w:r>
    </w:p>
    <w:p>
      <w:pPr>
        <w:spacing w:line="324" w:lineRule="auto" w:after="60"/>
        <w:ind w:left="480" w:hanging="480"/>
      </w:pPr>
      <w:r>
        <w:rPr>
          <w:rFonts w:ascii="Times New Roman" w:hAnsi="Times New Roman" w:eastAsia="宋体"/>
          <w:b w:val="0"/>
          <w:i w:val="0"/>
          <w:sz w:val="19"/>
        </w:rPr>
        <w:t>[46] 区祥江. 你有用脑投资吗？[M]. 香港: 出版者不详, 2008.</w:t>
      </w:r>
    </w:p>
    <w:p>
      <w:pPr>
        <w:spacing w:line="324" w:lineRule="auto" w:after="60"/>
        <w:ind w:left="480" w:hanging="480"/>
      </w:pPr>
      <w:r>
        <w:rPr>
          <w:rFonts w:ascii="Times New Roman" w:hAnsi="Times New Roman" w:eastAsia="宋体"/>
          <w:b w:val="0"/>
          <w:i w:val="0"/>
          <w:sz w:val="19"/>
        </w:rPr>
        <w:t>[47] DANIEL K, HIRSHLEIFER D, SUBRAHMANYAM A. Investor psychology and security market under- and overreactions[J]. The Journal of Finance, 1998, 53(6): 1839-1885. DOI:10.1111/0022-1082.00077.</w:t>
      </w:r>
    </w:p>
    <w:p>
      <w:pPr>
        <w:spacing w:line="324" w:lineRule="auto" w:after="60"/>
        <w:ind w:left="480" w:hanging="480"/>
      </w:pPr>
      <w:r>
        <w:rPr>
          <w:rFonts w:ascii="Times New Roman" w:hAnsi="Times New Roman" w:eastAsia="宋体"/>
          <w:b w:val="0"/>
          <w:i w:val="0"/>
          <w:sz w:val="19"/>
        </w:rPr>
        <w:t>[48] HIRSHLEIFER D. Investor psychology and asset pricing[J]. The Journal of Finance, 2001, 56(4): 1533-1597. DOI:10.1111/0022-1082.2001.00361.</w:t>
      </w:r>
    </w:p>
    <w:p>
      <w:pPr>
        <w:spacing w:line="324" w:lineRule="auto" w:after="60"/>
        <w:ind w:left="480" w:hanging="480"/>
      </w:pPr>
      <w:r>
        <w:rPr>
          <w:rFonts w:ascii="Times New Roman" w:hAnsi="Times New Roman" w:eastAsia="宋体"/>
          <w:b w:val="0"/>
          <w:i w:val="0"/>
          <w:sz w:val="19"/>
        </w:rPr>
        <w:t>[49] PRECHTER R R. Unconscious herding behavior as the psychological basis of financial market trends and patterns[J]. Journal of Behavioral Finance, 2001, 2(3): 120-125. DOI:10.1207/s15327760jpfm0203_1.</w:t>
      </w:r>
    </w:p>
    <w:p>
      <w:pPr>
        <w:spacing w:line="324" w:lineRule="auto" w:after="60"/>
        <w:ind w:left="480" w:hanging="480"/>
      </w:pPr>
      <w:r>
        <w:rPr>
          <w:rFonts w:ascii="Times New Roman" w:hAnsi="Times New Roman" w:eastAsia="宋体"/>
          <w:b w:val="0"/>
          <w:i w:val="0"/>
          <w:sz w:val="19"/>
        </w:rPr>
        <w:t>[50] MAURER B. Repressed futures: financial derivatives' theological unconscious[J]. Economy and Society, 2002, 31(1): 15-36. DOI:10.1080/03085140120109231.</w:t>
      </w:r>
    </w:p>
    <w:p>
      <w:pPr>
        <w:spacing w:line="324" w:lineRule="auto" w:after="60"/>
        <w:ind w:left="480" w:hanging="480"/>
      </w:pPr>
      <w:r>
        <w:rPr>
          <w:rFonts w:ascii="Times New Roman" w:hAnsi="Times New Roman" w:eastAsia="宋体"/>
          <w:b w:val="0"/>
          <w:i w:val="0"/>
          <w:sz w:val="19"/>
        </w:rPr>
        <w:t>[51] TAFFLER R, TUCKETT D. Emotional finance: the role of the unconscious in financial decisions[M]//Behavioral Finance: Investors, Corporations, and Markets. Hoboken: Wiley, 2010: 95-112. DOI:10.1002/9781118258415.ch6.</w:t>
      </w:r>
    </w:p>
    <w:p>
      <w:pPr>
        <w:spacing w:line="324" w:lineRule="auto" w:after="60"/>
        <w:ind w:left="480" w:hanging="480"/>
      </w:pPr>
      <w:r>
        <w:rPr>
          <w:rFonts w:ascii="Times New Roman" w:hAnsi="Times New Roman" w:eastAsia="宋体"/>
          <w:b w:val="0"/>
          <w:i w:val="0"/>
          <w:sz w:val="19"/>
        </w:rPr>
        <w:t>[52] ESHRAGHI A, TAFFLER R. Hedge funds and unconscious fantasy[J]. Accounting, Auditing &amp; Accountability Journal, 2012, 25(8): 1244-1265. DOI:10.1108/09513571211275461.</w:t>
      </w:r>
    </w:p>
    <w:p>
      <w:pPr>
        <w:spacing w:line="324" w:lineRule="auto" w:after="60"/>
        <w:ind w:left="480" w:hanging="480"/>
      </w:pPr>
      <w:r>
        <w:rPr>
          <w:rFonts w:ascii="Times New Roman" w:hAnsi="Times New Roman" w:eastAsia="宋体"/>
          <w:b w:val="0"/>
          <w:i w:val="0"/>
          <w:sz w:val="19"/>
        </w:rPr>
        <w:t>[53] VANHEULE S. Capitalist discourse, subjectivity and Lacanian psychoanalysis[J]. Frontiers in Psychology, 2016, 7: 1948. DOI:10.3389/fpsyg.2016.01948.</w:t>
      </w:r>
    </w:p>
    <w:p>
      <w:pPr>
        <w:spacing w:line="324" w:lineRule="auto" w:after="60"/>
        <w:ind w:left="480" w:hanging="480"/>
      </w:pPr>
      <w:r>
        <w:rPr>
          <w:rFonts w:ascii="Times New Roman" w:hAnsi="Times New Roman" w:eastAsia="宋体"/>
          <w:b w:val="0"/>
          <w:i w:val="0"/>
          <w:sz w:val="19"/>
        </w:rPr>
        <w:t>[54] MAHER H. The free market as fantasy: a Lacanian approach to the problem of neoliberal resilience[J]. International Studies Quarterly, 2023, 67(3): sqad050. DOI:10.1093/isq/sqad050.</w:t>
      </w:r>
    </w:p>
    <w:p>
      <w:pPr>
        <w:spacing w:line="324" w:lineRule="auto" w:after="60"/>
        <w:ind w:left="480" w:hanging="480"/>
      </w:pPr>
      <w:r>
        <w:rPr>
          <w:rFonts w:ascii="Times New Roman" w:hAnsi="Times New Roman" w:eastAsia="宋体"/>
          <w:b w:val="0"/>
          <w:i w:val="0"/>
          <w:sz w:val="19"/>
        </w:rPr>
        <w:t>[55] FORBES W P. Unconscious thoughts as a spur and halt on good financial decision making[J]. International Review of Financial Analysis, 2023, 88: 103012. DOI:10.1016/j.irfa.2023.103012.</w:t>
      </w:r>
    </w:p>
    <w:p>
      <w:pPr>
        <w:spacing w:line="324" w:lineRule="auto" w:after="60"/>
        <w:ind w:left="480" w:hanging="480"/>
      </w:pPr>
      <w:r>
        <w:rPr>
          <w:rFonts w:ascii="Times New Roman" w:hAnsi="Times New Roman" w:eastAsia="宋体"/>
          <w:b w:val="0"/>
          <w:i w:val="0"/>
          <w:sz w:val="19"/>
        </w:rPr>
        <w:t>[56] DOW S. The psychology of financial markets: Keynes, Minsky and emotional finance[M]//The Elgar Companion to Hyman Minsky. Cheltenham: Edward Elgar, 2010. DOI:10.4337/9781849807098.00019.</w:t>
      </w:r>
    </w:p>
    <w:p>
      <w:pPr>
        <w:spacing w:line="324" w:lineRule="auto" w:after="60"/>
        <w:ind w:left="480" w:hanging="480"/>
      </w:pPr>
      <w:r>
        <w:rPr>
          <w:rFonts w:ascii="Times New Roman" w:hAnsi="Times New Roman" w:eastAsia="宋体"/>
          <w:b w:val="0"/>
          <w:i w:val="0"/>
          <w:sz w:val="19"/>
        </w:rPr>
        <w:t>[57] AMPUDÍA DE HARO F. Good trader, good trading: the presence and the regulation of emotions in financial markets[J]. Athenea Digital, 2014, 14(1): 3-25. DOI:10.5565/rev/athenead/v14n1.1091.</w:t>
      </w:r>
    </w:p>
    <w:p>
      <w:pPr>
        <w:spacing w:line="324" w:lineRule="auto" w:after="60"/>
        <w:ind w:left="480" w:hanging="480"/>
      </w:pPr>
      <w:r>
        <w:rPr>
          <w:rFonts w:ascii="Times New Roman" w:hAnsi="Times New Roman" w:eastAsia="宋体"/>
          <w:b w:val="0"/>
          <w:i w:val="0"/>
          <w:sz w:val="19"/>
        </w:rPr>
        <w:t>[58] IRFAN M, ADEEL R, MALIK M S. The impact of emotional finance, and market knowledge and investor protection on investment performance in stock and real estate markets[J]. SAGE Open, 2023, 13(4). DOI:10.1177/21582440231206900.</w:t>
      </w:r>
    </w:p>
    <w:p>
      <w:pPr>
        <w:spacing w:line="360" w:lineRule="auto" w:before="0" w:after="120"/>
        <w:jc w:val="both"/>
      </w:pPr>
    </w:p>
    <w:p>
      <w:pPr>
        <w:spacing w:line="360" w:lineRule="auto" w:before="0" w:after="120"/>
        <w:jc w:val="both"/>
      </w:pPr>
      <w:r>
        <w:rPr>
          <w:rFonts w:ascii="Times New Roman" w:hAnsi="Times New Roman" w:eastAsia="宋体"/>
          <w:b w:val="0"/>
          <w:i w:val="0"/>
          <w:color w:val="646464"/>
          <w:sz w:val="18"/>
        </w:rPr>
        <w:t>检索说明：本文文献检索于 2026 年 10 月完成，共执行 24 组中英文检索词，覆盖 arXiv、OpenAlex、Crossref、Semantic Scholar 与公开网络检索。OpenAlex 命中 412 条、Crossref 命中 320 条，经主题关键词筛选后并入证据库。需如实说明三处受限：Giiisp 论文接口因未配置鉴权令牌，状态标记为“接口受限”，其功能由开放源交叉替代；arXiv 接口返回 Atom XML，本次解析未适配，记 0 命中；Semantic Scholar 接口返回 HTTP 429（频率限制），记 0 命中。被剔除的不可靠来源（含一处被垃圾内容劫持的网站）未纳入引用。</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