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36" w:lineRule="auto" w:before="360" w:after="120"/>
        <w:jc w:val="center"/>
      </w:pPr>
      <w:r>
        <w:rPr>
          <w:rFonts w:ascii="Arial" w:hAnsi="Arial" w:eastAsia="黑体"/>
          <w:b/>
          <w:i w:val="0"/>
          <w:sz w:val="44"/>
        </w:rPr>
        <w:t>精神分析在金融交易中的研究</w:t>
      </w:r>
    </w:p>
    <w:p>
      <w:pPr>
        <w:spacing w:line="336" w:lineRule="auto" w:before="0" w:after="200"/>
        <w:jc w:val="center"/>
      </w:pPr>
      <w:r>
        <w:rPr>
          <w:rFonts w:ascii="Arial" w:hAnsi="Arial" w:eastAsia="黑体"/>
          <w:b w:val="0"/>
          <w:i w:val="0"/>
          <w:sz w:val="25"/>
        </w:rPr>
        <w:t>从弗洛伊德到情绪金融，再到拉康式政治经济学</w:t>
      </w:r>
    </w:p>
    <w:p>
      <w:pPr>
        <w:spacing w:line="336" w:lineRule="auto" w:before="0" w:after="240"/>
        <w:jc w:val="center"/>
      </w:pPr>
      <w:r>
        <w:rPr>
          <w:rFonts w:ascii="Times New Roman" w:hAnsi="Times New Roman" w:eastAsia="宋体"/>
          <w:b w:val="0"/>
          <w:i w:val="0"/>
          <w:sz w:val="24"/>
        </w:rPr>
        <w:t>一份批判性综述 · 深度版</w:t>
      </w:r>
    </w:p>
    <w:p>
      <w:pPr>
        <w:spacing w:line="336" w:lineRule="auto" w:before="0" w:after="160"/>
        <w:jc w:val="center"/>
      </w:pPr>
      <w:r>
        <w:rPr>
          <w:rFonts w:ascii="Times New Roman" w:hAnsi="Times New Roman" w:eastAsia="宋体"/>
          <w:b w:val="0"/>
          <w:i w:val="0"/>
          <w:sz w:val="22"/>
        </w:rPr>
        <w:t>叨客宁宁</w:t>
      </w:r>
    </w:p>
    <w:p>
      <w:pPr>
        <w:keepNext/>
        <w:spacing w:before="400" w:after="140" w:line="300" w:lineRule="auto"/>
      </w:pPr>
      <w:r>
        <w:rPr>
          <w:rFonts w:ascii="Arial" w:hAnsi="Arial" w:eastAsia="黑体"/>
          <w:b/>
          <w:i w:val="0"/>
          <w:sz w:val="32"/>
        </w:rPr>
        <w:t>摘要</w:t>
      </w:r>
    </w:p>
    <w:p>
      <w:pPr>
        <w:spacing w:line="336" w:lineRule="auto" w:before="0" w:after="80"/>
        <w:ind w:firstLine="420"/>
        <w:jc w:val="both"/>
      </w:pPr>
      <w:r>
        <w:rPr>
          <w:rFonts w:ascii="Times New Roman" w:hAnsi="Times New Roman" w:eastAsia="宋体"/>
          <w:b w:val="0"/>
          <w:i w:val="0"/>
          <w:sz w:val="21"/>
        </w:rPr>
        <w:t>金融交易的解释权长期握在两套叙事手里。一套写的是理性人，价格等于信息的函数；另一套写的是“有偏差的人”。第二套看着更接近现实，可它把情绪和无意识摆在一个尴尬的位置上：承认它们存在，但只当是需要被识别、被纠正的噪音。两套叙事其实共享同一个信念，凡是理性之外的东西，最后都应该、也能够被理性接管。</w:t>
      </w:r>
    </w:p>
    <w:p>
      <w:pPr>
        <w:spacing w:line="336" w:lineRule="auto" w:before="0" w:after="80"/>
        <w:ind w:firstLine="420"/>
        <w:jc w:val="both"/>
      </w:pPr>
      <w:r>
        <w:rPr>
          <w:rFonts w:ascii="Times New Roman" w:hAnsi="Times New Roman" w:eastAsia="宋体"/>
          <w:b w:val="0"/>
          <w:i w:val="0"/>
          <w:sz w:val="21"/>
        </w:rPr>
        <w:t>这篇综述走第三条路。它用精神分析的无意识理论来解释交易与市场，目标不是再多列一张偏差清单，而是追三件行为金融解释不了的事：明知风险却反复重仓；亏完一轮又回到同一个模式；以及整群人几乎同时地狂热与恐慌。全文沿五条线铺开：金钱的精神分析学（弗洛伊德、亚伯拉罕、费伦齐一脉）；群体心理学与泡沫的情感轨迹（勒庞、弗洛伊德、比昂）；把无意识当成研究对象的情绪金融（Tuckett 与 Taffler）；交易者的病理，也就是贪婪、成瘾与赌博的重合；最后是拉康取向的政治经济学（Žižek、Pignot、Bjerg、Vanheule）。</w:t>
      </w:r>
    </w:p>
    <w:p>
      <w:pPr>
        <w:spacing w:line="336" w:lineRule="auto" w:before="0" w:after="80"/>
        <w:ind w:firstLine="420"/>
        <w:jc w:val="both"/>
      </w:pPr>
      <w:r>
        <w:rPr>
          <w:rFonts w:ascii="Times New Roman" w:hAnsi="Times New Roman" w:eastAsia="宋体"/>
          <w:b w:val="0"/>
          <w:i w:val="0"/>
          <w:sz w:val="21"/>
        </w:rPr>
        <w:t>铺完之后，我把每一条主张放回证据里称一遍，用三把尺子量它：能不能观测，能不能反驳，能不能操作化。结论偏冷：精神分析在讲机制上提供了别处没有的深度，在预测和泛化上则明显不如行为金融。它的价值不靠术语是否精致来撑，要看它能不能把临床概念翻译成可测量、可反驳的命题。做不到这一点，它就会退回成一套事后圆故事的说辞。</w:t>
      </w:r>
    </w:p>
    <w:p>
      <w:pPr>
        <w:spacing w:line="336" w:lineRule="auto" w:before="0" w:after="80"/>
        <w:jc w:val="both"/>
      </w:pPr>
      <w:r>
        <w:rPr>
          <w:rFonts w:ascii="Times New Roman" w:hAnsi="Times New Roman" w:eastAsia="宋体"/>
          <w:b/>
          <w:i w:val="0"/>
          <w:sz w:val="21"/>
        </w:rPr>
        <w:t>关键词</w:t>
      </w:r>
      <w:r>
        <w:rPr>
          <w:rFonts w:ascii="Times New Roman" w:hAnsi="Times New Roman" w:eastAsia="宋体"/>
          <w:b w:val="0"/>
          <w:i w:val="0"/>
          <w:sz w:val="21"/>
        </w:rPr>
        <w:t>：精神分析；金融交易；无意识；情绪金融；幻觉客体；拉康；交易成瘾；行为金融</w:t>
      </w:r>
    </w:p>
    <w:p>
      <w:pPr>
        <w:keepNext/>
        <w:spacing w:line="336" w:lineRule="auto" w:before="0" w:after="80"/>
        <w:jc w:val="both"/>
      </w:pPr>
      <w:r>
        <w:rPr>
          <w:rFonts w:ascii="Times New Roman" w:hAnsi="Times New Roman" w:eastAsia="宋体"/>
          <w:b w:val="0"/>
          <w:i w:val="0"/>
          <w:color w:val="5A5A5A"/>
          <w:sz w:val="19"/>
        </w:rPr>
        <w:t>说明：本文为文献综述，作者系综述撰写者，非原创研究者。所引 64 条文献均在附录 E 列出，证据等级在附录 C 逐条标注，检索方法与受限情况在附录 F 交代。检索于 2026 年 10 月完成。</w:t>
      </w:r>
    </w:p>
    <w:p>
      <w:r>
        <w:br w:type="page"/>
      </w:r>
    </w:p>
    <w:p>
      <w:pPr>
        <w:keepNext/>
        <w:spacing w:before="400" w:after="140" w:line="300" w:lineRule="auto"/>
      </w:pPr>
      <w:r>
        <w:rPr>
          <w:rFonts w:ascii="Arial" w:hAnsi="Arial" w:eastAsia="黑体"/>
          <w:b/>
          <w:i w:val="0"/>
          <w:sz w:val="32"/>
        </w:rPr>
        <w:t>一、引言：为什么金融交易值得精神分析来看一眼</w:t>
      </w:r>
    </w:p>
    <w:p>
      <w:pPr>
        <w:spacing w:line="336" w:lineRule="auto" w:before="0" w:after="80"/>
        <w:ind w:firstLine="420"/>
        <w:jc w:val="both"/>
      </w:pPr>
      <w:r>
        <w:rPr>
          <w:rFonts w:ascii="Times New Roman" w:hAnsi="Times New Roman" w:eastAsia="宋体"/>
          <w:b w:val="0"/>
          <w:i w:val="0"/>
          <w:sz w:val="21"/>
        </w:rPr>
        <w:t>先说一个不太好回答的现象。绝大多数主动交易者长期是亏的，这一条被反复验证：巴西期货市场的研究里，坚持交易超过 300 个交易日的人有 97% 最终亏损[36]。可第二天，这个亏钱的人还是会打开交易软件。理性人假设解释不了这个动作。行为金融把它推给认知偏差，但偏差清单越列越长，也没碰一个更朴素的问题：</w:t>
      </w:r>
      <w:r>
        <w:rPr>
          <w:rFonts w:ascii="Times New Roman" w:hAnsi="Times New Roman" w:eastAsia="宋体"/>
          <w:b/>
          <w:i w:val="0"/>
          <w:sz w:val="21"/>
        </w:rPr>
        <w:t>既然知道，为什么照犯？</w:t>
      </w:r>
    </w:p>
    <w:p>
      <w:pPr>
        <w:keepNext/>
        <w:spacing w:before="200" w:after="90" w:line="300" w:lineRule="auto"/>
      </w:pPr>
      <w:r>
        <w:rPr>
          <w:rFonts w:ascii="Arial" w:hAnsi="Arial" w:eastAsia="黑体"/>
          <w:b/>
          <w:i w:val="0"/>
          <w:sz w:val="27"/>
        </w:rPr>
        <w:t>1.1 三个悬而未决的反常</w:t>
      </w:r>
    </w:p>
    <w:p>
      <w:pPr>
        <w:spacing w:line="336" w:lineRule="auto" w:before="0" w:after="80"/>
        <w:ind w:firstLine="420"/>
        <w:jc w:val="both"/>
      </w:pPr>
      <w:r>
        <w:rPr>
          <w:rFonts w:ascii="Times New Roman" w:hAnsi="Times New Roman" w:eastAsia="宋体"/>
          <w:b w:val="0"/>
          <w:i w:val="0"/>
          <w:sz w:val="21"/>
        </w:rPr>
        <w:t>这篇综述的起点是三个长期悬着的反常。它们各自都不好被现有框架干净地打发。</w:t>
      </w:r>
    </w:p>
    <w:p>
      <w:pPr>
        <w:keepNext/>
        <w:spacing w:before="140" w:after="70" w:line="300" w:lineRule="auto"/>
      </w:pPr>
      <w:r>
        <w:rPr>
          <w:rFonts w:ascii="Arial" w:hAnsi="Arial" w:eastAsia="黑体"/>
          <w:b/>
          <w:i w:val="0"/>
          <w:sz w:val="24"/>
        </w:rPr>
        <w:t>反常一：负期望下的持续参与</w:t>
      </w:r>
    </w:p>
    <w:p>
      <w:pPr>
        <w:spacing w:line="336" w:lineRule="auto" w:before="0" w:after="80"/>
        <w:ind w:firstLine="420"/>
        <w:jc w:val="both"/>
      </w:pPr>
      <w:r>
        <w:rPr>
          <w:rFonts w:ascii="Times New Roman" w:hAnsi="Times New Roman" w:eastAsia="宋体"/>
          <w:b w:val="0"/>
          <w:i w:val="0"/>
          <w:sz w:val="21"/>
        </w:rPr>
        <w:t>如果主动交易的长期期望为负，而且这一点被反复公开，那么“继续交易”本身就成了一件必须解释的事。最省事的回答是“投资者高估了自己”。这只是把问题往后挪了一格：高估为什么如此顽固，以至于培训、亏损、公开统计一起上阵也撼不动它？行为金融用过度自信来答，精神分析给了另一个方向：过度自信未必是认知出错，它可能是对抗不确定性的一种防御[15]。</w:t>
      </w:r>
    </w:p>
    <w:p>
      <w:pPr>
        <w:keepNext/>
        <w:spacing w:before="140" w:after="70" w:line="300" w:lineRule="auto"/>
      </w:pPr>
      <w:r>
        <w:rPr>
          <w:rFonts w:ascii="Arial" w:hAnsi="Arial" w:eastAsia="黑体"/>
          <w:b/>
          <w:i w:val="0"/>
          <w:sz w:val="24"/>
        </w:rPr>
        <w:t>反常二：知道与做到的分离</w:t>
      </w:r>
    </w:p>
    <w:p>
      <w:pPr>
        <w:spacing w:line="336" w:lineRule="auto" w:before="0" w:after="80"/>
        <w:ind w:firstLine="420"/>
        <w:jc w:val="both"/>
      </w:pPr>
      <w:r>
        <w:rPr>
          <w:rFonts w:ascii="Times New Roman" w:hAnsi="Times New Roman" w:eastAsia="宋体"/>
          <w:b w:val="0"/>
          <w:i w:val="0"/>
          <w:sz w:val="21"/>
        </w:rPr>
        <w:t>行为金融有一个隐含前提：偏差能被意识到、被学习、被克服，只要你肯承认自己有偏差。市场的经验常常相反。清楚自己有什么毛病的人，有时亏得更多。期货交易员能背出损失厌恶的系数，浮亏时照样不肯止损；量化从业者写得出止损规则，实盘里照样改规则。这种“知道却做不到”，恰是无意识理论最擅长处理的结构[11][15]。</w:t>
      </w:r>
    </w:p>
    <w:p>
      <w:pPr>
        <w:keepNext/>
        <w:spacing w:before="140" w:after="70" w:line="300" w:lineRule="auto"/>
      </w:pPr>
      <w:r>
        <w:rPr>
          <w:rFonts w:ascii="Arial" w:hAnsi="Arial" w:eastAsia="黑体"/>
          <w:b/>
          <w:i w:val="0"/>
          <w:sz w:val="24"/>
        </w:rPr>
        <w:t>反常三：群体层面的同步</w:t>
      </w:r>
    </w:p>
    <w:p>
      <w:pPr>
        <w:spacing w:line="336" w:lineRule="auto" w:before="0" w:after="80"/>
        <w:ind w:firstLine="420"/>
        <w:jc w:val="both"/>
      </w:pPr>
      <w:r>
        <w:rPr>
          <w:rFonts w:ascii="Times New Roman" w:hAnsi="Times New Roman" w:eastAsia="宋体"/>
          <w:b w:val="0"/>
          <w:i w:val="0"/>
          <w:sz w:val="21"/>
        </w:rPr>
        <w:t>泡沫与恐慌很难看成许多独立个体偏差的算术和。素不相识的人，通过价格这一个媒介，几乎同时进入兴奋或恐慌[6][1][26]。把市场当成一堆独立计算器，这种同步就消失了，而那恰恰是最该解释的部分。</w:t>
      </w:r>
    </w:p>
    <w:p>
      <w:pPr>
        <w:keepNext/>
        <w:spacing w:before="200" w:after="90" w:line="300" w:lineRule="auto"/>
      </w:pPr>
      <w:r>
        <w:rPr>
          <w:rFonts w:ascii="Arial" w:hAnsi="Arial" w:eastAsia="黑体"/>
          <w:b/>
          <w:i w:val="0"/>
          <w:sz w:val="27"/>
        </w:rPr>
        <w:t>1.2 情绪是怎样被金融学请出门的</w:t>
      </w:r>
    </w:p>
    <w:p>
      <w:pPr>
        <w:spacing w:line="336" w:lineRule="auto" w:before="0" w:after="80"/>
        <w:ind w:firstLine="420"/>
        <w:jc w:val="both"/>
      </w:pPr>
      <w:r>
        <w:rPr>
          <w:rFonts w:ascii="Times New Roman" w:hAnsi="Times New Roman" w:eastAsia="宋体"/>
          <w:b w:val="0"/>
          <w:i w:val="0"/>
          <w:sz w:val="21"/>
        </w:rPr>
        <w:t>要弄明白第三条路为何长期缺席，得回头看一段思想史。古典政治经济学并不排斥情绪。亚当·斯密写过《道德情操论》；凯恩斯在《通论》里用“动物精神”解释投资冲动，还把“货币动机”形容成半犯罪、半病态的东西，主张把它交给“精神疾病专家”处理[30]。早期经济学是承认、也愿意讨论非理性内核的。</w:t>
      </w:r>
    </w:p>
    <w:p>
      <w:pPr>
        <w:spacing w:line="336" w:lineRule="auto" w:before="0" w:after="80"/>
        <w:ind w:firstLine="420"/>
        <w:jc w:val="both"/>
      </w:pPr>
      <w:r>
        <w:rPr>
          <w:rFonts w:ascii="Times New Roman" w:hAnsi="Times New Roman" w:eastAsia="宋体"/>
          <w:b w:val="0"/>
          <w:i w:val="0"/>
          <w:sz w:val="21"/>
        </w:rPr>
        <w:t>转折出在形式化转向之后。组合理论把投资者变成效用函数，有效市场假说把价格变成信息的充分统计量[31]，理性预期把“对未来的看法”内生化进模型。这套框架解释资产定价的平均行为极其成功，代价是把情绪、幻想、欲望这些没法参数化的东西整体移出研究议程。凯恩斯的提醒，从此被当成背景噪音。</w:t>
      </w:r>
    </w:p>
    <w:p>
      <w:pPr>
        <w:spacing w:line="336" w:lineRule="auto" w:before="0" w:after="80"/>
        <w:ind w:firstLine="420"/>
        <w:jc w:val="both"/>
      </w:pPr>
      <w:r>
        <w:rPr>
          <w:rFonts w:ascii="Times New Roman" w:hAnsi="Times New Roman" w:eastAsia="宋体"/>
          <w:b w:val="0"/>
          <w:i w:val="0"/>
          <w:sz w:val="21"/>
        </w:rPr>
        <w:t>这段历史的后果值得记一笔。金融学不是“没发现”情绪，而是为了可计算性主动把情绪排除了。这也解释了后来所有把情绪请回来的努力为什么都要先撞上同一堵墙：请回来之后，拿什么量它。修正的尝试并不少。罗闻全用适应性市场假说主张理性与非理性随环境变迁，想把演化视角带回来[32]，可这些努力长期没能动摇主流定价模型的基本假设。</w:t>
      </w:r>
    </w:p>
    <w:p>
      <w:pPr>
        <w:keepNext/>
        <w:spacing w:before="200" w:after="90" w:line="300" w:lineRule="auto"/>
      </w:pPr>
      <w:r>
        <w:rPr>
          <w:rFonts w:ascii="Arial" w:hAnsi="Arial" w:eastAsia="黑体"/>
          <w:b/>
          <w:i w:val="0"/>
          <w:sz w:val="27"/>
        </w:rPr>
        <w:t>1.3 两条已有的回应及其共同局限</w:t>
      </w:r>
    </w:p>
    <w:p>
      <w:pPr>
        <w:spacing w:line="336" w:lineRule="auto" w:before="0" w:after="80"/>
        <w:ind w:firstLine="420"/>
        <w:jc w:val="both"/>
      </w:pPr>
      <w:r>
        <w:rPr>
          <w:rFonts w:ascii="Times New Roman" w:hAnsi="Times New Roman" w:eastAsia="宋体"/>
          <w:b w:val="0"/>
          <w:i w:val="0"/>
          <w:sz w:val="21"/>
        </w:rPr>
        <w:t>把情绪请回来的努力有两条主线。</w:t>
      </w:r>
    </w:p>
    <w:p>
      <w:pPr>
        <w:keepNext/>
        <w:spacing w:before="140" w:after="70" w:line="300" w:lineRule="auto"/>
      </w:pPr>
      <w:r>
        <w:rPr>
          <w:rFonts w:ascii="Arial" w:hAnsi="Arial" w:eastAsia="黑体"/>
          <w:b/>
          <w:i w:val="0"/>
          <w:sz w:val="24"/>
        </w:rPr>
        <w:t>行为金融：把偏差写进模型</w:t>
      </w:r>
    </w:p>
    <w:p>
      <w:pPr>
        <w:spacing w:line="336" w:lineRule="auto" w:before="0" w:after="80"/>
        <w:ind w:firstLine="420"/>
        <w:jc w:val="both"/>
      </w:pPr>
      <w:r>
        <w:rPr>
          <w:rFonts w:ascii="Times New Roman" w:hAnsi="Times New Roman" w:eastAsia="宋体"/>
          <w:b w:val="0"/>
          <w:i w:val="0"/>
          <w:sz w:val="21"/>
        </w:rPr>
        <w:t>卡尼曼与特沃斯基的前景理论证明，人对得失的评价并不对称。同样一百块，亏的痛感大约是赚的快感的 2.25 倍[27]。参考点决定选择，风险偏好会随盈亏翻转。此后锚定、羊群、过度自信、心理账户被逐一纳入模型，投资者从“理性人”变成了“可预测的犯错者”[40]。在资产定价一侧，丹尼尔、赫什莱费尔与苏布拉马尼亚姆把投资者心理直接写进模型，用过度反应与反应不足解释动量与反转[47]；赫什莱费尔则把“投资者心理与资产定价”的路线图整理了一遍[48]。</w:t>
      </w:r>
    </w:p>
    <w:p>
      <w:pPr>
        <w:spacing w:line="336" w:lineRule="auto" w:before="0" w:after="80"/>
        <w:ind w:firstLine="420"/>
        <w:jc w:val="both"/>
      </w:pPr>
      <w:r>
        <w:rPr>
          <w:rFonts w:ascii="Times New Roman" w:hAnsi="Times New Roman" w:eastAsia="宋体"/>
          <w:b w:val="0"/>
          <w:i w:val="0"/>
          <w:sz w:val="21"/>
        </w:rPr>
        <w:t>行为金融的成功是真的，边界也是真的。它刻画的是偏差的形态和统计规律，不问偏差从哪来。它告诉你人“会”过度自信，却说不清“为什么偏偏是这个人的这个幻想”。更要紧的是，它默认偏差能被意识接管，于是干预手段自然落到教育、提示、助推上，而这些手段在实盘里的效果，远不如实验室里好看。</w:t>
      </w:r>
    </w:p>
    <w:p>
      <w:pPr>
        <w:keepNext/>
        <w:spacing w:before="140" w:after="70" w:line="300" w:lineRule="auto"/>
      </w:pPr>
      <w:r>
        <w:rPr>
          <w:rFonts w:ascii="Arial" w:hAnsi="Arial" w:eastAsia="黑体"/>
          <w:b/>
          <w:i w:val="0"/>
          <w:sz w:val="24"/>
        </w:rPr>
        <w:t>神经金融：把情绪还原到生理</w:t>
      </w:r>
    </w:p>
    <w:p>
      <w:pPr>
        <w:spacing w:line="336" w:lineRule="auto" w:before="0" w:after="80"/>
        <w:ind w:firstLine="420"/>
        <w:jc w:val="both"/>
      </w:pPr>
      <w:r>
        <w:rPr>
          <w:rFonts w:ascii="Times New Roman" w:hAnsi="Times New Roman" w:eastAsia="宋体"/>
          <w:b w:val="0"/>
          <w:i w:val="0"/>
          <w:sz w:val="21"/>
        </w:rPr>
        <w:t>另一条主线把情绪还原成身体和大脑的过程。达马西奥的躯体标记假说主张，身体状态信号会给决策“打标”，情绪因此不是理性的对立面，而是复杂不确定情境下决策的必要一环[33]。这条思路被搬进了交易研究。有实验测了 30 名被试在交易博弈中的预期性情绪（皮肤电反应），发现它与交易表现显著相关，相关方向却取决于标的价格的走势：情绪谈不上全好或全坏，是看情境的[35]。</w:t>
      </w:r>
    </w:p>
    <w:p>
      <w:pPr>
        <w:spacing w:line="336" w:lineRule="auto" w:before="0" w:after="80"/>
        <w:ind w:firstLine="420"/>
        <w:jc w:val="both"/>
      </w:pPr>
      <w:r>
        <w:rPr>
          <w:rFonts w:ascii="Times New Roman" w:hAnsi="Times New Roman" w:eastAsia="宋体"/>
          <w:b w:val="0"/>
          <w:i w:val="0"/>
          <w:sz w:val="21"/>
        </w:rPr>
        <w:t>这一层同样有硬约束。躯体标记假说挨过很重的批评。Dunn 等人指出，它的证据主要来自爱荷华赌博任务，而这个任务的奖励结构能被认知穿透，心理生理数据的解释也含混，更缺外周反馈与任务表现之间的因果证据[34]。换句话说，即便走到神经这一层，地基也不牢。</w:t>
      </w:r>
    </w:p>
    <w:p>
      <w:pPr>
        <w:keepNext/>
        <w:spacing w:before="140" w:after="70" w:line="300" w:lineRule="auto"/>
      </w:pPr>
      <w:r>
        <w:rPr>
          <w:rFonts w:ascii="Arial" w:hAnsi="Arial" w:eastAsia="黑体"/>
          <w:b/>
          <w:i w:val="0"/>
          <w:sz w:val="24"/>
        </w:rPr>
        <w:t>两条主线的共同前提</w:t>
      </w:r>
    </w:p>
    <w:p>
      <w:pPr>
        <w:spacing w:line="336" w:lineRule="auto" w:before="0" w:after="80"/>
        <w:ind w:firstLine="420"/>
        <w:jc w:val="both"/>
      </w:pPr>
      <w:r>
        <w:rPr>
          <w:rFonts w:ascii="Times New Roman" w:hAnsi="Times New Roman" w:eastAsia="宋体"/>
          <w:b w:val="0"/>
          <w:i w:val="0"/>
          <w:sz w:val="21"/>
        </w:rPr>
        <w:t>把两条主线并排看，会发现它们共享一个前提：情绪与无意识就算被承认，也只是需要识别、需要纠正的噪音，研究的终点始终是恢复理性。这个前提顺手排掉了一整类问题：为什么有人从亏损里得到别的东西，为什么幻想能压过现实检验，为什么一群人会自愿放弃判断。这些问题不处理，偏差清单永远补不完。</w:t>
      </w:r>
    </w:p>
    <w:p>
      <w:pPr>
        <w:keepNext/>
        <w:spacing w:before="200" w:after="90" w:line="300" w:lineRule="auto"/>
      </w:pPr>
      <w:r>
        <w:rPr>
          <w:rFonts w:ascii="Arial" w:hAnsi="Arial" w:eastAsia="黑体"/>
          <w:b/>
          <w:i w:val="0"/>
          <w:sz w:val="27"/>
        </w:rPr>
        <w:t>1.4 第三条路径：把无意识当作解释项</w:t>
      </w:r>
    </w:p>
    <w:p>
      <w:pPr>
        <w:spacing w:line="336" w:lineRule="auto" w:before="0" w:after="80"/>
        <w:ind w:firstLine="420"/>
        <w:jc w:val="both"/>
      </w:pPr>
      <w:r>
        <w:rPr>
          <w:rFonts w:ascii="Times New Roman" w:hAnsi="Times New Roman" w:eastAsia="宋体"/>
          <w:b w:val="0"/>
          <w:i w:val="0"/>
          <w:sz w:val="21"/>
        </w:rPr>
        <w:t>精神分析给的是另一条解释线。它假定大部分心理活动在意识之外运行，欲望与恐惧不总能被自我看穿。于是“知道偏差”和“不再犯偏差”之间，还隔着整套无意识的防御与幻想机制。拿它看交易，前面那三个反常反而好解释了。明知风险却反复重仓，问题不在信息，在幻想压过了现实检验。亏损后的自我惩罚式交易，弗洛伊德分析陀思妥耶夫斯基时就说透了：赌徒有无意识的求输冲动，赌是为了赎罪，不是为了赚钱[2][24]。至于群体的同步狂热与恐慌，市场更像一群人，而不是一堆独立计算器[6][1][7]。</w:t>
      </w:r>
    </w:p>
    <w:p>
      <w:pPr>
        <w:spacing w:line="336" w:lineRule="auto" w:before="0" w:after="80"/>
        <w:ind w:firstLine="420"/>
        <w:jc w:val="both"/>
      </w:pPr>
      <w:r>
        <w:rPr>
          <w:rFonts w:ascii="Times New Roman" w:hAnsi="Times New Roman" w:eastAsia="宋体"/>
          <w:b w:val="0"/>
          <w:i w:val="0"/>
          <w:sz w:val="21"/>
        </w:rPr>
        <w:t>话得说在前面：这条路径的长处是解释，短处是预测和证伪。波普尔早就把精神分析列为“不可证伪因而不科学”的样板[41]，格林鲍姆更进一步，指出即便可证伪，临床素材作为证据也大打折扣[42]。我不打算绕开这个质疑，反而把它当成贯穿全文的尺子：每一条精神分析的主张，都要回答它拿什么被推翻。</w:t>
      </w:r>
    </w:p>
    <w:p>
      <w:pPr>
        <w:keepNext/>
        <w:spacing w:before="200" w:after="90" w:line="300" w:lineRule="auto"/>
      </w:pPr>
      <w:r>
        <w:rPr>
          <w:rFonts w:ascii="Arial" w:hAnsi="Arial" w:eastAsia="黑体"/>
          <w:b/>
          <w:i w:val="0"/>
          <w:sz w:val="27"/>
        </w:rPr>
        <w:t>1.5 判定标准、范围与方法</w:t>
      </w:r>
    </w:p>
    <w:p>
      <w:pPr>
        <w:spacing w:line="336" w:lineRule="auto" w:before="0" w:after="80"/>
        <w:ind w:firstLine="420"/>
        <w:jc w:val="both"/>
      </w:pPr>
      <w:r>
        <w:rPr>
          <w:rFonts w:ascii="Times New Roman" w:hAnsi="Times New Roman" w:eastAsia="宋体"/>
          <w:b w:val="0"/>
          <w:i w:val="0"/>
          <w:sz w:val="21"/>
        </w:rPr>
        <w:t>为了让“深度”不至于滑成“玄学”，我给每一条要讨论的主张都上三把尺子。</w:t>
      </w:r>
    </w:p>
    <w:p>
      <w:pPr>
        <w:spacing w:line="336" w:lineRule="auto" w:after="50"/>
        <w:ind w:left="420" w:hanging="210"/>
      </w:pPr>
      <w:r>
        <w:rPr>
          <w:rFonts w:ascii="Times New Roman" w:hAnsi="Times New Roman" w:eastAsia="宋体"/>
          <w:b w:val="0"/>
          <w:i w:val="0"/>
          <w:sz w:val="21"/>
        </w:rPr>
        <w:t>— **可观测**：概念要有明确的行为对应物。比如“否认”，对应的是浮亏不认亏、拒绝让认知改变持仓。</w:t>
      </w:r>
    </w:p>
    <w:p>
      <w:pPr>
        <w:spacing w:line="336" w:lineRule="auto" w:after="50"/>
        <w:ind w:left="420" w:hanging="210"/>
      </w:pPr>
      <w:r>
        <w:rPr>
          <w:rFonts w:ascii="Times New Roman" w:hAnsi="Times New Roman" w:eastAsia="宋体"/>
          <w:b w:val="0"/>
          <w:i w:val="0"/>
          <w:sz w:val="21"/>
        </w:rPr>
        <w:t>— **可反驳**：得说得出“什么观察能推翻它”，而不是跟一切结果都自洽。</w:t>
      </w:r>
    </w:p>
    <w:p>
      <w:pPr>
        <w:spacing w:line="336" w:lineRule="auto" w:after="50"/>
        <w:ind w:left="420" w:hanging="210"/>
      </w:pPr>
      <w:r>
        <w:rPr>
          <w:rFonts w:ascii="Times New Roman" w:hAnsi="Times New Roman" w:eastAsia="宋体"/>
          <w:b w:val="0"/>
          <w:i w:val="0"/>
          <w:sz w:val="21"/>
        </w:rPr>
        <w:t>— **可操作**：概念要能变成可测量的变量或可执行的识别规则，否则只配停留在叙事里。</w:t>
      </w:r>
    </w:p>
    <w:p>
      <w:pPr>
        <w:spacing w:line="336" w:lineRule="auto" w:before="0" w:after="80"/>
        <w:ind w:firstLine="420"/>
        <w:jc w:val="both"/>
      </w:pPr>
      <w:r>
        <w:rPr>
          <w:rFonts w:ascii="Times New Roman" w:hAnsi="Times New Roman" w:eastAsia="宋体"/>
          <w:b w:val="0"/>
          <w:i w:val="0"/>
          <w:sz w:val="21"/>
        </w:rPr>
        <w:t>组织方式上，本文以精神分析为骨架，把行为金融与神经金融当对照层。检索中英文兼顾，早期经典原著与近二十年实证一起收，来源覆盖 arXiv、OpenAlex、Crossref、Semantic Scholar 与公开网络检索。本次有几处源头受限：Giiisp 论文接口没配鉴权令牌，arXiv 首轮解析没适配，Semantic Scholar 撞上频率限制。这些在附录 F 逐项交代，命中欠佳的改用开放源交叉核验。全部来源见附录 E，证据强度见附录 A 与附录 C。</w:t>
      </w:r>
    </w:p>
    <w:p>
      <w:pPr>
        <w:keepNext/>
        <w:spacing w:before="200" w:after="90" w:line="300" w:lineRule="auto"/>
      </w:pPr>
      <w:r>
        <w:rPr>
          <w:rFonts w:ascii="Arial" w:hAnsi="Arial" w:eastAsia="黑体"/>
          <w:b/>
          <w:i w:val="0"/>
          <w:sz w:val="27"/>
        </w:rPr>
        <w:t>1.6 结构安排</w:t>
      </w:r>
    </w:p>
    <w:p>
      <w:pPr>
        <w:spacing w:line="336" w:lineRule="auto" w:before="0" w:after="80"/>
        <w:ind w:firstLine="420"/>
        <w:jc w:val="both"/>
      </w:pPr>
      <w:r>
        <w:rPr>
          <w:rFonts w:ascii="Times New Roman" w:hAnsi="Times New Roman" w:eastAsia="宋体"/>
          <w:b w:val="0"/>
          <w:i w:val="0"/>
          <w:sz w:val="21"/>
        </w:rPr>
        <w:t>第二章搭概念工具箱，交代每个概念的来处与适用条件，并给出一套把临床概念搬进市场之前的准入条件。第三章讲“钱”的精神分析学。不理解钱在心理上是什么，就理解不了交易这个动作本身。第四章从个体走到群体，处理泡沫与恐慌的情感轨迹。第五章专论情绪金融，这是目前最成体系的一个范式。第六章转向交易者的病理，也就是贪婪、成瘾与赌博的重合处。第七章进拉康取向的政治经济学，把“贪婪与恐惧”从情绪词改造成结构位置。第八章评估实证与证据层，第九章做方法论批判，第十章给出统一比较矩阵与置信度分级，第十一章提出未来研究，第十二章收束。</w:t>
      </w:r>
    </w:p>
    <w:p>
      <w:pPr>
        <w:keepNext/>
        <w:spacing w:line="336" w:lineRule="auto" w:before="0" w:after="80"/>
        <w:jc w:val="both"/>
      </w:pPr>
      <w:r>
        <w:rPr>
          <w:rFonts w:ascii="Times New Roman" w:hAnsi="Times New Roman" w:eastAsia="宋体"/>
          <w:b w:val="0"/>
          <w:i w:val="0"/>
          <w:color w:val="5A5A5A"/>
          <w:sz w:val="19"/>
        </w:rPr>
        <w:t>这一章只想说清一件事。</w:t>
      </w:r>
    </w:p>
    <w:p>
      <w:pPr>
        <w:spacing w:line="336" w:lineRule="auto" w:before="0" w:after="80"/>
        <w:jc w:val="both"/>
      </w:pPr>
      <w:r>
        <w:rPr>
          <w:rFonts w:ascii="Times New Roman" w:hAnsi="Times New Roman" w:eastAsia="宋体"/>
          <w:b w:val="0"/>
          <w:i/>
          <w:sz w:val="21"/>
        </w:rPr>
        <w:t>精神分析进场，不是为了多列一张偏差清单。它要回答的是那张清单一直绕开的：既然知道，为什么照犯。</w:t>
      </w:r>
    </w:p>
    <w:p>
      <w:pPr>
        <w:keepNext/>
        <w:spacing w:before="400" w:after="140" w:line="300" w:lineRule="auto"/>
      </w:pPr>
      <w:r>
        <w:rPr>
          <w:rFonts w:ascii="Arial" w:hAnsi="Arial" w:eastAsia="黑体"/>
          <w:b/>
          <w:i w:val="0"/>
          <w:sz w:val="32"/>
        </w:rPr>
        <w:t>二、概念工具箱：把临床概念搬到市场之前</w:t>
      </w:r>
    </w:p>
    <w:p>
      <w:pPr>
        <w:spacing w:line="336" w:lineRule="auto" w:before="0" w:after="80"/>
        <w:ind w:firstLine="420"/>
        <w:jc w:val="both"/>
      </w:pPr>
      <w:r>
        <w:rPr>
          <w:rFonts w:ascii="Times New Roman" w:hAnsi="Times New Roman" w:eastAsia="宋体"/>
          <w:b w:val="0"/>
          <w:i w:val="0"/>
          <w:sz w:val="21"/>
        </w:rPr>
        <w:t>把精神分析的术语直接扣到交易上，是最常见、也最容易翻车的做法。所以先把工具箱摊开。每个概念怎么来的，能用在什么条件上，先讲清楚，再放到后面的章节里去试。要提前说明一句：本章不是替精神分析辩护，而是分清哪些概念天生好翻译，哪些天生抗拒。</w:t>
      </w:r>
    </w:p>
    <w:p>
      <w:pPr>
        <w:keepNext/>
        <w:spacing w:before="200" w:after="90" w:line="300" w:lineRule="auto"/>
      </w:pPr>
      <w:r>
        <w:rPr>
          <w:rFonts w:ascii="Arial" w:hAnsi="Arial" w:eastAsia="黑体"/>
          <w:b/>
          <w:i w:val="0"/>
          <w:sz w:val="27"/>
        </w:rPr>
        <w:t>2.1 无意识与心理地形学</w:t>
      </w:r>
    </w:p>
    <w:p>
      <w:pPr>
        <w:spacing w:line="336" w:lineRule="auto" w:before="0" w:after="80"/>
        <w:ind w:firstLine="420"/>
        <w:jc w:val="both"/>
      </w:pPr>
      <w:r>
        <w:rPr>
          <w:rFonts w:ascii="Times New Roman" w:hAnsi="Times New Roman" w:eastAsia="宋体"/>
          <w:b w:val="0"/>
          <w:i w:val="0"/>
          <w:sz w:val="21"/>
        </w:rPr>
        <w:t>第一块基石是：心理过程有一大部分不在意识之内。它不是因为被遗忘，而是因为被主动压抑。让人不安的念头、愿望、羞耻，被挡在意识门槛外，却仍以替代的形式影响行为。弗洛伊德前后给过两套说法，先是意识、前意识、无意识的地形学模型，后是本我、自我、超我的结构模型。两套侧重不同，落点却一样：</w:t>
      </w:r>
      <w:r>
        <w:rPr>
          <w:rFonts w:ascii="Times New Roman" w:hAnsi="Times New Roman" w:eastAsia="宋体"/>
          <w:b/>
          <w:i w:val="0"/>
          <w:sz w:val="21"/>
        </w:rPr>
        <w:t>人不是自己心理的透明主人。</w:t>
      </w:r>
    </w:p>
    <w:p>
      <w:pPr>
        <w:spacing w:line="336" w:lineRule="auto" w:before="0" w:after="80"/>
        <w:ind w:firstLine="420"/>
        <w:jc w:val="both"/>
      </w:pPr>
      <w:r>
        <w:rPr>
          <w:rFonts w:ascii="Times New Roman" w:hAnsi="Times New Roman" w:eastAsia="宋体"/>
          <w:b w:val="0"/>
          <w:i w:val="0"/>
          <w:sz w:val="21"/>
        </w:rPr>
        <w:t>这一点之所以要紧，是因为它顶到了行为金融的一个隐含假设。行为金融的干预逻辑很简单，把偏差告诉投资者就行，前提是投资者能知道自己不知道什么。无意识模型说，有些东西正因为不能被知道，才一直起作用。这样一来，“教育”这条路在原理上就封顶了。不是投资者不够聪明，是压下去的东西不会因为被点破就自动松开。</w:t>
      </w:r>
    </w:p>
    <w:p>
      <w:pPr>
        <w:keepNext/>
        <w:spacing w:before="200" w:after="90" w:line="300" w:lineRule="auto"/>
      </w:pPr>
      <w:r>
        <w:rPr>
          <w:rFonts w:ascii="Arial" w:hAnsi="Arial" w:eastAsia="黑体"/>
          <w:b/>
          <w:i w:val="0"/>
          <w:sz w:val="27"/>
        </w:rPr>
        <w:t>2.2 压抑、防御与否认</w:t>
      </w:r>
    </w:p>
    <w:p>
      <w:pPr>
        <w:spacing w:line="336" w:lineRule="auto" w:before="0" w:after="80"/>
        <w:ind w:firstLine="420"/>
        <w:jc w:val="both"/>
      </w:pPr>
      <w:r>
        <w:rPr>
          <w:rFonts w:ascii="Times New Roman" w:hAnsi="Times New Roman" w:eastAsia="宋体"/>
          <w:b w:val="0"/>
          <w:i w:val="0"/>
          <w:sz w:val="21"/>
        </w:rPr>
        <w:t>防御机制是无意识模型的直接产物。自我为了躲开痛苦，会做一整套不自觉的操作：否认、投射、合理化、理智化、反向形成。在金融场景里最有解释力的，不是笼统的“否认”，而是精神分析分得更细的那个词：</w:t>
      </w:r>
      <w:r>
        <w:rPr>
          <w:rFonts w:ascii="Times New Roman" w:hAnsi="Times New Roman" w:eastAsia="宋体"/>
          <w:b/>
          <w:i w:val="0"/>
          <w:sz w:val="21"/>
        </w:rPr>
        <w:t>否认（disavowal）</w:t>
      </w:r>
      <w:r>
        <w:rPr>
          <w:rFonts w:ascii="Times New Roman" w:hAnsi="Times New Roman" w:eastAsia="宋体"/>
          <w:b w:val="0"/>
          <w:i w:val="0"/>
          <w:sz w:val="21"/>
        </w:rPr>
        <w:t>。它的意思是，主体明知事实，却不让这个知道产生后果。</w:t>
      </w:r>
    </w:p>
    <w:p>
      <w:pPr>
        <w:spacing w:line="336" w:lineRule="auto" w:before="0" w:after="80"/>
        <w:ind w:firstLine="420"/>
        <w:jc w:val="both"/>
      </w:pPr>
      <w:r>
        <w:rPr>
          <w:rFonts w:ascii="Times New Roman" w:hAnsi="Times New Roman" w:eastAsia="宋体"/>
          <w:b w:val="0"/>
          <w:i w:val="0"/>
          <w:sz w:val="21"/>
        </w:rPr>
        <w:t>否认和无知是两回事。不知道自己拿的是烂资产的人，是缺信息；天天看着 K 线往下走、清楚基本面已经垮了，还拿着不撒手，并且能给自己讲出一套理由的人，是处在否认里。两种人的行为可能一模一样，机制却完全不同，该用的办法也完全不同。前者要信息，后者要处理焦虑。情绪金融把这状态描得很准：理性上知道股票有涨有跌，在心理现实里，方向却“只能向上”[15]。</w:t>
      </w:r>
    </w:p>
    <w:p>
      <w:pPr>
        <w:keepNext/>
        <w:spacing w:before="200" w:after="90" w:line="300" w:lineRule="auto"/>
      </w:pPr>
      <w:r>
        <w:rPr>
          <w:rFonts w:ascii="Arial" w:hAnsi="Arial" w:eastAsia="黑体"/>
          <w:b/>
          <w:i w:val="0"/>
          <w:sz w:val="27"/>
        </w:rPr>
        <w:t>2.3 驱力与重复强迫</w:t>
      </w:r>
    </w:p>
    <w:p>
      <w:pPr>
        <w:spacing w:line="336" w:lineRule="auto" w:before="0" w:after="80"/>
        <w:ind w:firstLine="420"/>
        <w:jc w:val="both"/>
      </w:pPr>
      <w:r>
        <w:rPr>
          <w:rFonts w:ascii="Times New Roman" w:hAnsi="Times New Roman" w:eastAsia="宋体"/>
          <w:b w:val="0"/>
          <w:i w:val="0"/>
          <w:sz w:val="21"/>
        </w:rPr>
        <w:t>弗洛伊德后期的驱力理论，是理解“明知故犯”的关键。驱力既不是本能，也不是某个欲望对象，而是一种持续的推力，任何对象都喂不饱它。人一旦进了驱力的循环，要的就不是终点，是循环本身接着转。这也解释了满足之后那股空虚为什么来得那么快：推动他的从来不是获得，是反复。</w:t>
      </w:r>
    </w:p>
    <w:p>
      <w:pPr>
        <w:spacing w:line="336" w:lineRule="auto" w:before="0" w:after="80"/>
        <w:ind w:firstLine="420"/>
        <w:jc w:val="both"/>
      </w:pPr>
      <w:r>
        <w:rPr>
          <w:rFonts w:ascii="Times New Roman" w:hAnsi="Times New Roman" w:eastAsia="宋体"/>
          <w:b w:val="0"/>
          <w:i w:val="0"/>
          <w:sz w:val="21"/>
        </w:rPr>
        <w:t>跟驱力绑在一起的，是</w:t>
      </w:r>
      <w:r>
        <w:rPr>
          <w:rFonts w:ascii="Times New Roman" w:hAnsi="Times New Roman" w:eastAsia="宋体"/>
          <w:b/>
          <w:i w:val="0"/>
          <w:sz w:val="21"/>
        </w:rPr>
        <w:t>重复强迫</w:t>
      </w:r>
      <w:r>
        <w:rPr>
          <w:rFonts w:ascii="Times New Roman" w:hAnsi="Times New Roman" w:eastAsia="宋体"/>
          <w:b w:val="0"/>
          <w:i w:val="0"/>
          <w:sz w:val="21"/>
        </w:rPr>
        <w:t>。主体会不自觉地重演痛苦的经历。弗洛伊德写《超越快乐原则》之后，用它来解释那些明显违反趋乐避苦的行为。交易者一次次回到同一个亏损模式，从经典精神分析看，未必只是纪律松，可能是重复强迫在起作用：把亏损当成需要反复经历的事，而不是需要躲开的事[2][24]。</w:t>
      </w:r>
    </w:p>
    <w:p>
      <w:pPr>
        <w:spacing w:line="336" w:lineRule="auto" w:before="0" w:after="80"/>
        <w:ind w:firstLine="420"/>
        <w:jc w:val="both"/>
      </w:pPr>
      <w:r>
        <w:rPr>
          <w:rFonts w:ascii="Times New Roman" w:hAnsi="Times New Roman" w:eastAsia="宋体"/>
          <w:b w:val="0"/>
          <w:i w:val="0"/>
          <w:sz w:val="21"/>
        </w:rPr>
        <w:t>把它接到资本的层面，Johnston 的转译很锋利。他说马克思在《资本论》里写的 M—C—M′ 循环，本质上就是精神分析意义上的驱动：它不找终点，只是不断回到自身。资本“对剩余价值的无穷渴望”在结构上是一种没有对象的驱动[20]。照这么说，贪婪可以是结构的产物，不一定是哪个人的道德毛病。</w:t>
      </w:r>
    </w:p>
    <w:p>
      <w:pPr>
        <w:keepNext/>
        <w:spacing w:before="200" w:after="90" w:line="300" w:lineRule="auto"/>
      </w:pPr>
      <w:r>
        <w:rPr>
          <w:rFonts w:ascii="Arial" w:hAnsi="Arial" w:eastAsia="黑体"/>
          <w:b/>
          <w:i w:val="0"/>
          <w:sz w:val="27"/>
        </w:rPr>
        <w:t>2.4 移情、反移情与投射性认同</w:t>
      </w:r>
    </w:p>
    <w:p>
      <w:pPr>
        <w:spacing w:line="336" w:lineRule="auto" w:before="0" w:after="80"/>
        <w:ind w:firstLine="420"/>
        <w:jc w:val="both"/>
      </w:pPr>
      <w:r>
        <w:rPr>
          <w:rFonts w:ascii="Times New Roman" w:hAnsi="Times New Roman" w:eastAsia="宋体"/>
          <w:b w:val="0"/>
          <w:i w:val="0"/>
          <w:sz w:val="21"/>
        </w:rPr>
        <w:t>移情，指人把过去重要关系里的情感模式，投射到当下的对象身上。它在金融里的对应物，是投资者跟“资产”“基金经理”“市场”之间那种带着强烈情感的关系：信、依赖、失望、被背叛。情绪金融注意到，基金持有人反复去找“值得信任的”管理人，找的大半是一种可依赖的关系感，收益只是顺带[12]。</w:t>
      </w:r>
    </w:p>
    <w:p>
      <w:pPr>
        <w:spacing w:line="336" w:lineRule="auto" w:before="0" w:after="80"/>
        <w:ind w:firstLine="420"/>
        <w:jc w:val="both"/>
      </w:pPr>
      <w:r>
        <w:rPr>
          <w:rFonts w:ascii="Times New Roman" w:hAnsi="Times New Roman" w:eastAsia="宋体"/>
          <w:b/>
          <w:i w:val="0"/>
          <w:sz w:val="21"/>
        </w:rPr>
        <w:t>投射性认同</w:t>
      </w:r>
      <w:r>
        <w:rPr>
          <w:rFonts w:ascii="Times New Roman" w:hAnsi="Times New Roman" w:eastAsia="宋体"/>
          <w:b w:val="0"/>
          <w:i w:val="0"/>
          <w:sz w:val="21"/>
        </w:rPr>
        <w:t>比移情更进一步。主体不光是把自己心里的东西投射出去，还通过行为把对方真的逼成那个样子。放到组织和市场里，它能解释一种常见现象：一个焦虑的团队会把焦虑塞进某个替罪羊身上，然后真的把这个替罪羊逼垮。交易团队爆仓前的相互指责、崩盘后集体找“元凶”，都可以在这个框架下重新看一遍[11][17]。</w:t>
      </w:r>
    </w:p>
    <w:p>
      <w:pPr>
        <w:keepNext/>
        <w:spacing w:before="200" w:after="90" w:line="300" w:lineRule="auto"/>
      </w:pPr>
      <w:r>
        <w:rPr>
          <w:rFonts w:ascii="Arial" w:hAnsi="Arial" w:eastAsia="黑体"/>
          <w:b/>
          <w:i w:val="0"/>
          <w:sz w:val="27"/>
        </w:rPr>
        <w:t>2.5 客体关系：克莱因的位相</w:t>
      </w:r>
    </w:p>
    <w:p>
      <w:pPr>
        <w:spacing w:line="336" w:lineRule="auto" w:before="0" w:after="80"/>
        <w:ind w:firstLine="420"/>
        <w:jc w:val="both"/>
      </w:pPr>
      <w:r>
        <w:rPr>
          <w:rFonts w:ascii="Times New Roman" w:hAnsi="Times New Roman" w:eastAsia="宋体"/>
          <w:b w:val="0"/>
          <w:i w:val="0"/>
          <w:sz w:val="21"/>
        </w:rPr>
        <w:t>客体关系理论把注意力从驱力挪到关系里的心理对象。克莱因提出，人在较早的心理组织里用“分裂”处理矛盾，把对象劈成全好与全坏两半，这叫</w:t>
      </w:r>
      <w:r>
        <w:rPr>
          <w:rFonts w:ascii="Times New Roman" w:hAnsi="Times New Roman" w:eastAsia="宋体"/>
          <w:b/>
          <w:i w:val="0"/>
          <w:sz w:val="21"/>
        </w:rPr>
        <w:t>偏执-分裂位</w:t>
      </w:r>
      <w:r>
        <w:rPr>
          <w:rFonts w:ascii="Times New Roman" w:hAnsi="Times New Roman" w:eastAsia="宋体"/>
          <w:b w:val="0"/>
          <w:i w:val="0"/>
          <w:sz w:val="21"/>
        </w:rPr>
        <w:t>；等一个人能承受对象既是好的又是坏的、也能容下自己的破坏性，就进到了</w:t>
      </w:r>
      <w:r>
        <w:rPr>
          <w:rFonts w:ascii="Times New Roman" w:hAnsi="Times New Roman" w:eastAsia="宋体"/>
          <w:b/>
          <w:i w:val="0"/>
          <w:sz w:val="21"/>
        </w:rPr>
        <w:t>抑郁位</w:t>
      </w:r>
      <w:r>
        <w:rPr>
          <w:rFonts w:ascii="Times New Roman" w:hAnsi="Times New Roman" w:eastAsia="宋体"/>
          <w:b w:val="0"/>
          <w:i w:val="0"/>
          <w:sz w:val="21"/>
        </w:rPr>
        <w:t>[8]。位相不是发育阶段，是可以来回移动的位置。</w:t>
      </w:r>
    </w:p>
    <w:p>
      <w:pPr>
        <w:spacing w:line="336" w:lineRule="auto" w:before="0" w:after="80"/>
        <w:ind w:firstLine="420"/>
        <w:jc w:val="both"/>
      </w:pPr>
      <w:r>
        <w:rPr>
          <w:rFonts w:ascii="Times New Roman" w:hAnsi="Times New Roman" w:eastAsia="宋体"/>
          <w:b w:val="0"/>
          <w:i w:val="0"/>
          <w:sz w:val="21"/>
        </w:rPr>
        <w:t>市场是个极好的分裂放大器。牛市里资产是“全好”的，崩盘后同一资产翻成“全坏”的。分析师对同一家公司，能给出截然相反、又同样斩钉截铁的两套评级。从偏执-分裂位挪到抑郁位，换个说法就是：投资者能不能跟一个“既会让我赚、也会让我亏”的资产长期待下去。情绪金融的“分阶段/未分阶段投资”，就是这组概念的金融改写[11][13]。</w:t>
      </w:r>
    </w:p>
    <w:p>
      <w:pPr>
        <w:keepNext/>
        <w:spacing w:before="200" w:after="90" w:line="300" w:lineRule="auto"/>
      </w:pPr>
      <w:r>
        <w:rPr>
          <w:rFonts w:ascii="Arial" w:hAnsi="Arial" w:eastAsia="黑体"/>
          <w:b/>
          <w:i w:val="0"/>
          <w:sz w:val="27"/>
        </w:rPr>
        <w:t>2.6 群体心理学：勒庞、弗洛伊德、比昂</w:t>
      </w:r>
    </w:p>
    <w:p>
      <w:pPr>
        <w:spacing w:line="336" w:lineRule="auto" w:before="0" w:after="80"/>
        <w:ind w:firstLine="420"/>
        <w:jc w:val="both"/>
      </w:pPr>
      <w:r>
        <w:rPr>
          <w:rFonts w:ascii="Times New Roman" w:hAnsi="Times New Roman" w:eastAsia="宋体"/>
          <w:b w:val="0"/>
          <w:i w:val="0"/>
          <w:sz w:val="21"/>
        </w:rPr>
        <w:t>勒庞在《乌合之众》里描述过个体进群体之后的样子：责任感被稀释，情绪被放大，判断被简化，人变得容易受暗示[6]。弗洛伊德把这一现象接进精神分析，补了机制那一层。群体靠什么黏合？靠把领袖放到自我理想的位置上，成员之间由此产生横向认同，各自交出一部分原本属于自己的批判能力[1]。</w:t>
      </w:r>
    </w:p>
    <w:p>
      <w:pPr>
        <w:spacing w:line="336" w:lineRule="auto" w:before="0" w:after="80"/>
        <w:ind w:firstLine="420"/>
        <w:jc w:val="both"/>
      </w:pPr>
      <w:r>
        <w:rPr>
          <w:rFonts w:ascii="Times New Roman" w:hAnsi="Times New Roman" w:eastAsia="宋体"/>
          <w:b w:val="0"/>
          <w:i w:val="0"/>
          <w:sz w:val="21"/>
        </w:rPr>
        <w:t>比昂又往前推了一步。他区分“工作群体”与“基本假设群体”，后者由三种无意识假设驱动：依赖、战斗-逃跑、配对[7]。市场在极端行情里，几乎每隔一段就要切换一次基本假设。先是依赖，盼着救市；接着战斗-逃跑，踩踏；然后是配对，集体盯上下一个能救赎大家的故事。这套分类的好处是它给了群体一个可操作的动力学结构，坏处是仍然难量化。给“当前市场处于哪种基本假设”打分，到今天也没人做出靠谱的刻度。</w:t>
      </w:r>
    </w:p>
    <w:p>
      <w:pPr>
        <w:keepNext/>
        <w:spacing w:before="200" w:after="90" w:line="300" w:lineRule="auto"/>
      </w:pPr>
      <w:r>
        <w:rPr>
          <w:rFonts w:ascii="Arial" w:hAnsi="Arial" w:eastAsia="黑体"/>
          <w:b/>
          <w:i w:val="0"/>
          <w:sz w:val="27"/>
        </w:rPr>
        <w:t>2.7 拉康：三界、对象 a 与四话语</w:t>
      </w:r>
    </w:p>
    <w:p>
      <w:pPr>
        <w:spacing w:line="336" w:lineRule="auto" w:before="0" w:after="80"/>
        <w:ind w:firstLine="420"/>
        <w:jc w:val="both"/>
      </w:pPr>
      <w:r>
        <w:rPr>
          <w:rFonts w:ascii="Times New Roman" w:hAnsi="Times New Roman" w:eastAsia="宋体"/>
          <w:b w:val="0"/>
          <w:i w:val="0"/>
          <w:sz w:val="21"/>
        </w:rPr>
        <w:t>拉康的三界提供了一套更结构化的语言。想象界是镜像式的认同与完整感；象征界是语言和法则的秩序，主体由此进入社会；实在界是语言兜不住、总以创伤或缺口的形式返回的东西。欲望被拉康定成“要求减去需要”的差额，所以它永远填不满。欲望是转喻，拿到一件就滑向下一件[44]。这套主体结构，他在《精神分析的四基本概念》里系统讲过[9]。</w:t>
      </w:r>
    </w:p>
    <w:p>
      <w:pPr>
        <w:spacing w:line="336" w:lineRule="auto" w:before="0" w:after="80"/>
        <w:ind w:firstLine="420"/>
        <w:jc w:val="both"/>
      </w:pPr>
      <w:r>
        <w:rPr>
          <w:rFonts w:ascii="Times New Roman" w:hAnsi="Times New Roman" w:eastAsia="宋体"/>
          <w:b w:val="0"/>
          <w:i w:val="0"/>
          <w:sz w:val="21"/>
        </w:rPr>
        <w:t>金融里的“对象 a”（objet petit a）不是钱本身。它是那个被认为能填上缺口、却永远差一点的东西：下一个涨停，下一轮牛市，下一种必胜策略。跟它配套的还有四种话语（主人、大学、癔症、分析家），以及后来所谓“资本主义话语”。在这种结构里，不可能性被取消了，主体被要求无限地消费和享受。Vanheule 把它整理成了可以分析的范畴，讨论它怎么在主体层面被再生产出来[53]。</w:t>
      </w:r>
    </w:p>
    <w:p>
      <w:pPr>
        <w:keepNext/>
        <w:spacing w:before="200" w:after="90" w:line="300" w:lineRule="auto"/>
      </w:pPr>
      <w:r>
        <w:rPr>
          <w:rFonts w:ascii="Arial" w:hAnsi="Arial" w:eastAsia="黑体"/>
          <w:b/>
          <w:i w:val="0"/>
          <w:sz w:val="27"/>
        </w:rPr>
        <w:t>2.8 翻译的准入条件</w:t>
      </w:r>
    </w:p>
    <w:p>
      <w:pPr>
        <w:spacing w:line="336" w:lineRule="auto" w:before="0" w:after="80"/>
        <w:ind w:firstLine="420"/>
        <w:jc w:val="both"/>
      </w:pPr>
      <w:r>
        <w:rPr>
          <w:rFonts w:ascii="Times New Roman" w:hAnsi="Times New Roman" w:eastAsia="宋体"/>
          <w:b w:val="0"/>
          <w:i w:val="0"/>
          <w:sz w:val="21"/>
        </w:rPr>
        <w:t>把概念搬进市场之前，得先过三关：概念要有明确的行为对应物；对应物要能被独立观测；观测结果要能反驳基于这个概念提出的预测。拿这三关去量本章的七个概念，分层很清楚。“否认”“重复强迫”“偏执-分裂位”的行为对应物清楚，好翻译。“基本假设”“幻觉客体”有对应物，却难量化，算中等。“对象 a”“资本主义话语”结构极强，却几乎找不到干净的可观测对应物，最难翻译。后文每评一条主张，都会回到这个分层上判它的证据强度。</w:t>
      </w:r>
    </w:p>
    <w:p>
      <w:pPr>
        <w:keepNext/>
        <w:spacing w:line="336" w:lineRule="auto" w:before="0" w:after="80"/>
        <w:jc w:val="both"/>
      </w:pPr>
      <w:r>
        <w:rPr>
          <w:rFonts w:ascii="Times New Roman" w:hAnsi="Times New Roman" w:eastAsia="宋体"/>
          <w:b w:val="0"/>
          <w:i w:val="0"/>
          <w:color w:val="5A5A5A"/>
          <w:sz w:val="19"/>
        </w:rPr>
        <w:t>这一章要留下的判断很硬。</w:t>
      </w:r>
    </w:p>
    <w:p>
      <w:pPr>
        <w:spacing w:line="336" w:lineRule="auto" w:before="0" w:after="80"/>
        <w:jc w:val="both"/>
      </w:pPr>
      <w:r>
        <w:rPr>
          <w:rFonts w:ascii="Times New Roman" w:hAnsi="Times New Roman" w:eastAsia="宋体"/>
          <w:b w:val="0"/>
          <w:i/>
          <w:sz w:val="21"/>
        </w:rPr>
        <w:t>临床概念不是修辞。能被观测、能被反驳，它才配进金融研究。</w:t>
      </w:r>
    </w:p>
    <w:p>
      <w:pPr>
        <w:keepNext/>
        <w:spacing w:before="400" w:after="140" w:line="300" w:lineRule="auto"/>
      </w:pPr>
      <w:r>
        <w:rPr>
          <w:rFonts w:ascii="Arial" w:hAnsi="Arial" w:eastAsia="黑体"/>
          <w:b/>
          <w:i w:val="0"/>
          <w:sz w:val="32"/>
        </w:rPr>
        <w:t>三、钱的精神分析学：从肛门欲到象征秩序</w:t>
      </w:r>
    </w:p>
    <w:p>
      <w:pPr>
        <w:spacing w:line="336" w:lineRule="auto" w:before="0" w:after="80"/>
        <w:ind w:firstLine="420"/>
        <w:jc w:val="both"/>
      </w:pPr>
      <w:r>
        <w:rPr>
          <w:rFonts w:ascii="Times New Roman" w:hAnsi="Times New Roman" w:eastAsia="宋体"/>
          <w:b w:val="0"/>
          <w:i w:val="0"/>
          <w:sz w:val="21"/>
        </w:rPr>
        <w:t>谈交易之前得先谈钱。精神分析对金钱的兴趣早于它对市场的兴趣，而且这条线一直拉到最当代的资本批判。本章的任务是把“钱在心理上是什么”整条铺开，顺便标出来：哪些部分还撑得住今天的交易研究，哪些已经过时。</w:t>
      </w:r>
    </w:p>
    <w:p>
      <w:pPr>
        <w:keepNext/>
        <w:spacing w:before="200" w:after="90" w:line="300" w:lineRule="auto"/>
      </w:pPr>
      <w:r>
        <w:rPr>
          <w:rFonts w:ascii="Arial" w:hAnsi="Arial" w:eastAsia="黑体"/>
          <w:b/>
          <w:i w:val="0"/>
          <w:sz w:val="27"/>
        </w:rPr>
        <w:t>3.1 弗洛伊德：金钱、性与羞耻</w:t>
      </w:r>
    </w:p>
    <w:p>
      <w:pPr>
        <w:spacing w:line="336" w:lineRule="auto" w:before="0" w:after="80"/>
        <w:ind w:firstLine="420"/>
        <w:jc w:val="both"/>
      </w:pPr>
      <w:r>
        <w:rPr>
          <w:rFonts w:ascii="Times New Roman" w:hAnsi="Times New Roman" w:eastAsia="宋体"/>
          <w:b w:val="0"/>
          <w:i w:val="0"/>
          <w:sz w:val="21"/>
        </w:rPr>
        <w:t>弗洛伊德在《关于治疗的开端》里有句话被反复引用：文明人对待金钱，跟对待性一样，带着同样的不一致、羞怯与虚伪[19]。它的分量不在道德批评。它在说，金钱在心理上从来不是中性的交换工具，而是一个装着羞耻、欲望和压抑的象征物。他在《性格与肛门性欲》里又把金钱跟肛门期的心理组织挂上钩[3]，为亚伯拉罕和费伦齐后来的发展留了口子。</w:t>
      </w:r>
    </w:p>
    <w:p>
      <w:pPr>
        <w:spacing w:line="336" w:lineRule="auto" w:before="0" w:after="80"/>
        <w:ind w:firstLine="420"/>
        <w:jc w:val="both"/>
      </w:pPr>
      <w:r>
        <w:rPr>
          <w:rFonts w:ascii="Times New Roman" w:hAnsi="Times New Roman" w:eastAsia="宋体"/>
          <w:b w:val="0"/>
          <w:i w:val="0"/>
          <w:sz w:val="21"/>
        </w:rPr>
        <w:t>今天回头看，弗洛伊德把“羞耻”和“金钱”绑在一起，比把“金钱”和“肛门”绑在一起更能解释现实。人们谈钱时的那种回避、尴尬、甚至禁忌感，说明金钱是被文化高度编码的对象。这一点对交易研究有用：围绕盈亏的强烈情绪，未必来自金额，可能来自金钱背后那套社会评价。</w:t>
      </w:r>
    </w:p>
    <w:p>
      <w:pPr>
        <w:keepNext/>
        <w:spacing w:before="200" w:after="90" w:line="300" w:lineRule="auto"/>
      </w:pPr>
      <w:r>
        <w:rPr>
          <w:rFonts w:ascii="Arial" w:hAnsi="Arial" w:eastAsia="黑体"/>
          <w:b/>
          <w:i w:val="0"/>
          <w:sz w:val="27"/>
        </w:rPr>
        <w:t>3.2 亚伯拉罕：肛门性格与金钱的保留</w:t>
      </w:r>
    </w:p>
    <w:p>
      <w:pPr>
        <w:spacing w:line="336" w:lineRule="auto" w:before="0" w:after="80"/>
        <w:ind w:firstLine="420"/>
        <w:jc w:val="both"/>
      </w:pPr>
      <w:r>
        <w:rPr>
          <w:rFonts w:ascii="Times New Roman" w:hAnsi="Times New Roman" w:eastAsia="宋体"/>
          <w:b w:val="0"/>
          <w:i w:val="0"/>
          <w:sz w:val="21"/>
        </w:rPr>
        <w:t>亚伯拉罕在肛门性格理论里举过一个例子：坚持用支票付哪怕极小的金额，是一种典型的肛门性保留[5]。换成今天的说法，这是把“控制”跟“金钱”绑在一起的行为模式。它在交易里出现得意外地多。不肯止损的死扛；拒绝落袋为安；对交易成本敏感到过分；在小钱上反复纠结。这些行为有个共同点，它们要的不是收益最大化，是控制感。</w:t>
      </w:r>
    </w:p>
    <w:p>
      <w:pPr>
        <w:keepNext/>
        <w:spacing w:before="200" w:after="90" w:line="300" w:lineRule="auto"/>
      </w:pPr>
      <w:r>
        <w:rPr>
          <w:rFonts w:ascii="Arial" w:hAnsi="Arial" w:eastAsia="黑体"/>
          <w:b/>
          <w:i w:val="0"/>
          <w:sz w:val="27"/>
        </w:rPr>
        <w:t>3.3 费伦齐：一条发生学的象征链</w:t>
      </w:r>
    </w:p>
    <w:p>
      <w:pPr>
        <w:spacing w:line="336" w:lineRule="auto" w:before="0" w:after="80"/>
        <w:ind w:firstLine="420"/>
        <w:jc w:val="both"/>
      </w:pPr>
      <w:r>
        <w:rPr>
          <w:rFonts w:ascii="Times New Roman" w:hAnsi="Times New Roman" w:eastAsia="宋体"/>
          <w:b w:val="0"/>
          <w:i w:val="0"/>
          <w:sz w:val="21"/>
        </w:rPr>
        <w:t>费伦齐给过一条著名的象征链。儿童对泥沙的兴趣，经沙、石子、硬币、纽扣一路置换，最终在成人身上变成对金钱的占有欲，而这种占有是对肛门快感的社会化反向形成[4]。这条链今天很容易被笑话，看着像过度联想，也拿不出实证。可它至少留下一个值得认真对待的直觉：</w:t>
      </w:r>
      <w:r>
        <w:rPr>
          <w:rFonts w:ascii="Times New Roman" w:hAnsi="Times New Roman" w:eastAsia="宋体"/>
          <w:b/>
          <w:i w:val="0"/>
          <w:sz w:val="21"/>
        </w:rPr>
        <w:t>钱的心理意义，不等于钱的经济功能。</w:t>
      </w:r>
      <w:r>
        <w:rPr>
          <w:rFonts w:ascii="Times New Roman" w:hAnsi="Times New Roman" w:eastAsia="宋体"/>
          <w:b w:val="0"/>
          <w:i w:val="0"/>
          <w:sz w:val="21"/>
        </w:rPr>
        <w:t>囤积、挥霍、吝啬，没有一个是收益最大化能解释的。</w:t>
      </w:r>
    </w:p>
    <w:p>
      <w:pPr>
        <w:spacing w:line="336" w:lineRule="auto" w:before="0" w:after="80"/>
        <w:ind w:firstLine="420"/>
        <w:jc w:val="both"/>
      </w:pPr>
      <w:r>
        <w:rPr>
          <w:rFonts w:ascii="Times New Roman" w:hAnsi="Times New Roman" w:eastAsia="宋体"/>
          <w:b w:val="0"/>
          <w:i w:val="0"/>
          <w:sz w:val="21"/>
        </w:rPr>
        <w:t>也得把话说明白：象征链的具体路径无法独立验证，它在当代精神分析内部早就不是核心主张了。本文留它，只因为它比任何效用模型都更早指出一件事——人对钱的行为里，塞着大量跟钱的数量无关的成分。</w:t>
      </w:r>
    </w:p>
    <w:p>
      <w:pPr>
        <w:keepNext/>
        <w:spacing w:before="200" w:after="90" w:line="300" w:lineRule="auto"/>
      </w:pPr>
      <w:r>
        <w:rPr>
          <w:rFonts w:ascii="Arial" w:hAnsi="Arial" w:eastAsia="黑体"/>
          <w:b/>
          <w:i w:val="0"/>
          <w:sz w:val="27"/>
        </w:rPr>
        <w:t>3.4 金钱作为情感等价物</w:t>
      </w:r>
    </w:p>
    <w:p>
      <w:pPr>
        <w:spacing w:line="336" w:lineRule="auto" w:before="0" w:after="80"/>
        <w:ind w:firstLine="420"/>
        <w:jc w:val="both"/>
      </w:pPr>
      <w:r>
        <w:rPr>
          <w:rFonts w:ascii="Times New Roman" w:hAnsi="Times New Roman" w:eastAsia="宋体"/>
          <w:b w:val="0"/>
          <w:i w:val="0"/>
          <w:sz w:val="21"/>
        </w:rPr>
        <w:t>在临床传统里，钱常被当成一种“情感等价物”。它可以是爱，是控制，是补偿，也可以是攻击。Dimen 把这条线推到了关系上：钱在分析情境里既属于设置，也是移情与反移情的载体，爱与恨在上面调和不了，只能放进一个悖论里暂时安顿[19]。这对交易研究有直接用处。它提示：金钱行为往往在处理某种关系张力，不在处理数字。一个人对亏损的暴怒，冲着可能不是市场，是某个更早的对象。</w:t>
      </w:r>
    </w:p>
    <w:p>
      <w:pPr>
        <w:spacing w:line="336" w:lineRule="auto" w:before="0" w:after="80"/>
        <w:ind w:firstLine="420"/>
        <w:jc w:val="both"/>
      </w:pPr>
      <w:r>
        <w:rPr>
          <w:rFonts w:ascii="Times New Roman" w:hAnsi="Times New Roman" w:eastAsia="宋体"/>
          <w:b w:val="0"/>
          <w:i w:val="0"/>
          <w:sz w:val="21"/>
        </w:rPr>
        <w:t>Kets de Vries 从发展角度给了同构的观察。当照料者用“东西”去顶替照料，孩子会攒下一种“缺了什么”的感觉，长大后靠不断获取去补，而那个缺口永远补不满[18]。换句话说，“我到底有多少钱”这个问题，在心理上常常是“我有没有被好好待过”的替身。</w:t>
      </w:r>
    </w:p>
    <w:p>
      <w:pPr>
        <w:keepNext/>
        <w:spacing w:before="200" w:after="90" w:line="300" w:lineRule="auto"/>
      </w:pPr>
      <w:r>
        <w:rPr>
          <w:rFonts w:ascii="Arial" w:hAnsi="Arial" w:eastAsia="黑体"/>
          <w:b/>
          <w:i w:val="0"/>
          <w:sz w:val="27"/>
        </w:rPr>
        <w:t>3.5 从金钱到资本：M—C—M′ 作为驱动</w:t>
      </w:r>
    </w:p>
    <w:p>
      <w:pPr>
        <w:spacing w:line="336" w:lineRule="auto" w:before="0" w:after="80"/>
        <w:ind w:firstLine="420"/>
        <w:jc w:val="both"/>
      </w:pPr>
      <w:r>
        <w:rPr>
          <w:rFonts w:ascii="Times New Roman" w:hAnsi="Times New Roman" w:eastAsia="宋体"/>
          <w:b w:val="0"/>
          <w:i w:val="0"/>
          <w:sz w:val="21"/>
        </w:rPr>
        <w:t>个体的金钱幻想怎么变成系统的动力？Johnston 的答案是回到马克思。他主张当代资本主义的运作方式近似于“对象 a”的机制，资本关系本身就在生产一种停不下来的驱动。马克思写 M—C—M′，在结构上就是一个精神分析意义上的驱动：资本对剩余价值的渴望不指向任何具体目标，它无对象，只是不断回到自身[20]。这一步把“个体金钱幻想”和“系统动力”接上了。</w:t>
      </w:r>
    </w:p>
    <w:p>
      <w:pPr>
        <w:spacing w:line="336" w:lineRule="auto" w:before="0" w:after="80"/>
        <w:ind w:firstLine="420"/>
        <w:jc w:val="both"/>
      </w:pPr>
      <w:r>
        <w:rPr>
          <w:rFonts w:ascii="Times New Roman" w:hAnsi="Times New Roman" w:eastAsia="宋体"/>
          <w:b w:val="0"/>
          <w:i w:val="0"/>
          <w:sz w:val="21"/>
        </w:rPr>
        <w:t>更早的一条线索来自 Maurer。他把金融衍生品读成一种“神学的无意识”：衍生工具在结构上处理的是对未来的信仰与压抑，不只是转移风险[50]。Chicchi 则用“物之幻影”讨论商品如何充当资本的主能指，把恋物式的幻象和资本批判绑在一起[22]。这组工作指向同一个结论：资本不是一堆中性工具，它是一套会生产特定心理形式的装置。</w:t>
      </w:r>
    </w:p>
    <w:p>
      <w:pPr>
        <w:keepNext/>
        <w:spacing w:before="200" w:after="90" w:line="300" w:lineRule="auto"/>
      </w:pPr>
      <w:r>
        <w:rPr>
          <w:rFonts w:ascii="Arial" w:hAnsi="Arial" w:eastAsia="黑体"/>
          <w:b/>
          <w:i w:val="0"/>
          <w:sz w:val="27"/>
        </w:rPr>
        <w:t>3.6 可用遗产与边界</w:t>
      </w:r>
    </w:p>
    <w:p>
      <w:pPr>
        <w:spacing w:line="336" w:lineRule="auto" w:before="0" w:after="80"/>
        <w:ind w:firstLine="420"/>
        <w:jc w:val="both"/>
      </w:pPr>
      <w:r>
        <w:rPr>
          <w:rFonts w:ascii="Times New Roman" w:hAnsi="Times New Roman" w:eastAsia="宋体"/>
          <w:b w:val="0"/>
          <w:i w:val="0"/>
          <w:sz w:val="21"/>
        </w:rPr>
        <w:t>钱的精神分析学给今天的交易研究留下三条可用遗产。金钱承载的心理意义超出它的经济功能；金钱行为常在处理关系，不在处理数字；贪婪在结构上可能是系统的，而不只是个人的。边界也有两条。一是它高度依赖临床个案，当成普适规律用必然出错；二是它对当代金融的具体形态——杠杆、衍生品、算法交易——几乎没直接论述，翻译要研究者自己动手。</w:t>
      </w:r>
    </w:p>
    <w:p>
      <w:pPr>
        <w:keepNext/>
        <w:spacing w:line="336" w:lineRule="auto" w:before="0" w:after="80"/>
        <w:jc w:val="both"/>
      </w:pPr>
      <w:r>
        <w:rPr>
          <w:rFonts w:ascii="Times New Roman" w:hAnsi="Times New Roman" w:eastAsia="宋体"/>
          <w:b w:val="0"/>
          <w:i w:val="0"/>
          <w:color w:val="5A5A5A"/>
          <w:sz w:val="19"/>
        </w:rPr>
        <w:t>从钱出发，能带走的是这么一句。</w:t>
      </w:r>
    </w:p>
    <w:p>
      <w:pPr>
        <w:spacing w:line="336" w:lineRule="auto" w:before="0" w:after="80"/>
        <w:jc w:val="both"/>
      </w:pPr>
      <w:r>
        <w:rPr>
          <w:rFonts w:ascii="Times New Roman" w:hAnsi="Times New Roman" w:eastAsia="宋体"/>
          <w:b w:val="0"/>
          <w:i/>
          <w:sz w:val="21"/>
        </w:rPr>
        <w:t>钱是符号。符号兑现的从来不只是购买力，还有羞耻、关系与重复。</w:t>
      </w:r>
    </w:p>
    <w:p>
      <w:pPr>
        <w:keepNext/>
        <w:spacing w:before="400" w:after="140" w:line="300" w:lineRule="auto"/>
      </w:pPr>
      <w:r>
        <w:rPr>
          <w:rFonts w:ascii="Arial" w:hAnsi="Arial" w:eastAsia="黑体"/>
          <w:b/>
          <w:i w:val="0"/>
          <w:sz w:val="32"/>
        </w:rPr>
        <w:t>四、从个体到市场：群体心理学与泡沫的情感轨迹</w:t>
      </w:r>
    </w:p>
    <w:p>
      <w:pPr>
        <w:spacing w:line="336" w:lineRule="auto" w:before="0" w:after="80"/>
        <w:ind w:firstLine="420"/>
        <w:jc w:val="both"/>
      </w:pPr>
      <w:r>
        <w:rPr>
          <w:rFonts w:ascii="Times New Roman" w:hAnsi="Times New Roman" w:eastAsia="宋体"/>
          <w:b w:val="0"/>
          <w:i w:val="0"/>
          <w:sz w:val="21"/>
        </w:rPr>
        <w:t>前三章都停在个体身上。可金融最戏剧性的场面，泡沫和崩盘，恰恰是单看个体解释不出来的。本章处理从个体走到群体的这一步。这也是精神分析手里，相对行为金融最有辨识度的一张牌。</w:t>
      </w:r>
    </w:p>
    <w:p>
      <w:pPr>
        <w:keepNext/>
        <w:spacing w:before="200" w:after="90" w:line="300" w:lineRule="auto"/>
      </w:pPr>
      <w:r>
        <w:rPr>
          <w:rFonts w:ascii="Arial" w:hAnsi="Arial" w:eastAsia="黑体"/>
          <w:b/>
          <w:i w:val="0"/>
          <w:sz w:val="27"/>
        </w:rPr>
        <w:t>4.1 勒庞与弗洛伊德：群体是怎么成形的</w:t>
      </w:r>
    </w:p>
    <w:p>
      <w:pPr>
        <w:spacing w:line="336" w:lineRule="auto" w:before="0" w:after="80"/>
        <w:ind w:firstLine="420"/>
        <w:jc w:val="both"/>
      </w:pPr>
      <w:r>
        <w:rPr>
          <w:rFonts w:ascii="Times New Roman" w:hAnsi="Times New Roman" w:eastAsia="宋体"/>
          <w:b w:val="0"/>
          <w:i w:val="0"/>
          <w:sz w:val="21"/>
        </w:rPr>
        <w:t>勒庞笔下的群体是去人格化的，情绪化，易受暗示[6]。他描述的东西今天一点都不陌生：人一进群体，责任感被稀释，情绪被放大，判断被简化。弗洛伊德接过来，补齐了机制那一层。群体把领袖放到自我理想的位置上，成员由此横向认同，各自交出一部分批判能力[1]。</w:t>
      </w:r>
    </w:p>
    <w:p>
      <w:pPr>
        <w:spacing w:line="336" w:lineRule="auto" w:before="0" w:after="80"/>
        <w:ind w:firstLine="420"/>
        <w:jc w:val="both"/>
      </w:pPr>
      <w:r>
        <w:rPr>
          <w:rFonts w:ascii="Times New Roman" w:hAnsi="Times New Roman" w:eastAsia="宋体"/>
          <w:b w:val="0"/>
          <w:i w:val="0"/>
          <w:sz w:val="21"/>
        </w:rPr>
        <w:t>这个机制对看市场有一个提醒：市场的“领袖”未必是人。一个故事、一个叙事，甚至价格趋势本身都可以顶上这个位置。牛市里，上涨的价格就是领袖。它一遍遍确认“你会赚钱”，成员于是心甘情愿交出判断。价格一转向，领袖就塌了，群体立刻换一副样子。</w:t>
      </w:r>
    </w:p>
    <w:p>
      <w:pPr>
        <w:keepNext/>
        <w:spacing w:before="200" w:after="90" w:line="300" w:lineRule="auto"/>
      </w:pPr>
      <w:r>
        <w:rPr>
          <w:rFonts w:ascii="Arial" w:hAnsi="Arial" w:eastAsia="黑体"/>
          <w:b/>
          <w:i w:val="0"/>
          <w:sz w:val="27"/>
        </w:rPr>
        <w:t>4.2 比昂：工作群体与基本假设群体</w:t>
      </w:r>
    </w:p>
    <w:p>
      <w:pPr>
        <w:spacing w:line="336" w:lineRule="auto" w:before="0" w:after="80"/>
        <w:ind w:firstLine="420"/>
        <w:jc w:val="both"/>
      </w:pPr>
      <w:r>
        <w:rPr>
          <w:rFonts w:ascii="Times New Roman" w:hAnsi="Times New Roman" w:eastAsia="宋体"/>
          <w:b w:val="0"/>
          <w:i w:val="0"/>
          <w:sz w:val="21"/>
        </w:rPr>
        <w:t>比昂的价值在于给群体配了一个可操作的动力学结构[7]。工作群体面对真实任务，基本假设群体则由无意识幻想推着走。市场大部分时间是工作群体，在定价、套利、消化信息；到了泡沫和恐慌里，它整体切进基本假设群体。有意思的是，这种切换不需要成员彼此认识。市场恰好是“虚拟群体”的极端样本：无数陌生人，靠价格这一个媒介，把情绪对上了[12]。</w:t>
      </w:r>
    </w:p>
    <w:p>
      <w:pPr>
        <w:spacing w:line="336" w:lineRule="auto" w:before="0" w:after="80"/>
        <w:ind w:firstLine="420"/>
        <w:jc w:val="both"/>
      </w:pPr>
      <w:r>
        <w:rPr>
          <w:rFonts w:ascii="Times New Roman" w:hAnsi="Times New Roman" w:eastAsia="宋体"/>
          <w:b w:val="0"/>
          <w:i w:val="0"/>
          <w:sz w:val="21"/>
        </w:rPr>
        <w:t>三种基本假设在市场里都有对应物。依赖，是盼央行、监管、“国家队”出手；战斗-逃跑，是恐慌踩踏和逼空互绞；配对，是集体盯上下一个叙事——互联网、元宇宙、生成式人工智能，市场总在找一个能带来救赎的新对象。把这三样当成可辨认的情绪结构去认，比笼统说一句“市场情绪化”要有分析力得多。</w:t>
      </w:r>
    </w:p>
    <w:p>
      <w:pPr>
        <w:keepNext/>
        <w:spacing w:before="200" w:after="90" w:line="300" w:lineRule="auto"/>
      </w:pPr>
      <w:r>
        <w:rPr>
          <w:rFonts w:ascii="Arial" w:hAnsi="Arial" w:eastAsia="黑体"/>
          <w:b/>
          <w:i w:val="0"/>
          <w:sz w:val="27"/>
        </w:rPr>
        <w:t>4.3 市场作为虚拟群体：情绪传染与叙事</w:t>
      </w:r>
    </w:p>
    <w:p>
      <w:pPr>
        <w:spacing w:line="336" w:lineRule="auto" w:before="0" w:after="80"/>
        <w:ind w:firstLine="420"/>
        <w:jc w:val="both"/>
      </w:pPr>
      <w:r>
        <w:rPr>
          <w:rFonts w:ascii="Times New Roman" w:hAnsi="Times New Roman" w:eastAsia="宋体"/>
          <w:b w:val="0"/>
          <w:i w:val="0"/>
          <w:sz w:val="21"/>
        </w:rPr>
        <w:t>近期有研究把勒庞框架重新带回行为金融，主张繁荣与崩盘阶段的市场就是一个“勒庞式群体”，由无意识过程、暗示、情绪传染和冲动行动支配，不是一个个人偏差的加总[26]。这个提法最值钱的地方，是它明确反对“加总谬误”：把市场当成许多独立个体的集合，群体层面的涌现性质就丢了。</w:t>
      </w:r>
    </w:p>
    <w:p>
      <w:pPr>
        <w:spacing w:line="336" w:lineRule="auto" w:before="0" w:after="80"/>
        <w:ind w:firstLine="420"/>
        <w:jc w:val="both"/>
      </w:pPr>
      <w:r>
        <w:rPr>
          <w:rFonts w:ascii="Times New Roman" w:hAnsi="Times New Roman" w:eastAsia="宋体"/>
          <w:b w:val="0"/>
          <w:i w:val="0"/>
          <w:sz w:val="21"/>
        </w:rPr>
        <w:t>更早的同类主张出自 Prechter。他把“无意识羊群行为”直接当成市场趋势与形态的心理基础，走的是社会经济学一路[49]。叙事经济学给了一个更好操作的版本：推着市场走的常常是流行故事，不是数据[28]。席勒更早就用“非理性繁荣”记下过同一件事，还指出情绪会自我强化成价格偏离[29]。叙事与情绪传染，其实是一件事的两面：一个讲内容，一个讲传播。</w:t>
      </w:r>
    </w:p>
    <w:p>
      <w:pPr>
        <w:keepNext/>
        <w:spacing w:before="200" w:after="90" w:line="300" w:lineRule="auto"/>
      </w:pPr>
      <w:r>
        <w:rPr>
          <w:rFonts w:ascii="Arial" w:hAnsi="Arial" w:eastAsia="黑体"/>
          <w:b/>
          <w:i w:val="0"/>
          <w:sz w:val="27"/>
        </w:rPr>
        <w:t>4.4 泡沫与崩盘的情感轨迹</w:t>
      </w:r>
    </w:p>
    <w:p>
      <w:pPr>
        <w:spacing w:line="336" w:lineRule="auto" w:before="0" w:after="80"/>
        <w:ind w:firstLine="420"/>
        <w:jc w:val="both"/>
      </w:pPr>
      <w:r>
        <w:rPr>
          <w:rFonts w:ascii="Times New Roman" w:hAnsi="Times New Roman" w:eastAsia="宋体"/>
          <w:b w:val="0"/>
          <w:i w:val="0"/>
          <w:sz w:val="21"/>
        </w:rPr>
        <w:t>Tuckett 与 Taffler 用“幻觉客体”解释了互联网泡沫的心理轨迹[11]。一个被寄予厚望的新事物成了幻觉客体之后，投资者跟它的关系就不再是评估，而是相信。撑着这份相信的，是一套“支持性故事”和“覆盖性观念”，反面证据因此被挡在外面。等故事撑不住，恐惧就作为被压抑者返回，市场从兴奋一步跌进恐慌[11]。整个过程，说到底是快乐原则压着现实原则，最后压不住。</w:t>
      </w:r>
    </w:p>
    <w:p>
      <w:pPr>
        <w:spacing w:line="336" w:lineRule="auto" w:before="0" w:after="80"/>
        <w:ind w:firstLine="420"/>
        <w:jc w:val="both"/>
      </w:pPr>
      <w:r>
        <w:rPr>
          <w:rFonts w:ascii="Times New Roman" w:hAnsi="Times New Roman" w:eastAsia="宋体"/>
          <w:b w:val="0"/>
          <w:i w:val="0"/>
          <w:sz w:val="21"/>
        </w:rPr>
        <w:t>这里有个常被跳过的细节。泡沫破，往往不是因为冒出了“新证据”，而是因为群体没力气再维持那份幻想了。触发崩盘的，常常是心理性的东西，不是信息性的。行为金融在这一步会卡住。它擅长讲“信息怎样被错误定价”，却不擅长讲“为什么同一条信息，在不同时刻会被读出完全不同的意思”。</w:t>
      </w:r>
    </w:p>
    <w:p>
      <w:pPr>
        <w:keepNext/>
        <w:spacing w:before="200" w:after="90" w:line="300" w:lineRule="auto"/>
      </w:pPr>
      <w:r>
        <w:rPr>
          <w:rFonts w:ascii="Arial" w:hAnsi="Arial" w:eastAsia="黑体"/>
          <w:b/>
          <w:i w:val="0"/>
          <w:sz w:val="27"/>
        </w:rPr>
        <w:t>4.5 与行为金融的对照</w:t>
      </w:r>
    </w:p>
    <w:p>
      <w:pPr>
        <w:spacing w:line="336" w:lineRule="auto" w:before="0" w:after="80"/>
        <w:ind w:firstLine="420"/>
        <w:jc w:val="both"/>
      </w:pPr>
      <w:r>
        <w:rPr>
          <w:rFonts w:ascii="Times New Roman" w:hAnsi="Times New Roman" w:eastAsia="宋体"/>
          <w:b w:val="0"/>
          <w:i w:val="0"/>
          <w:sz w:val="21"/>
        </w:rPr>
        <w:t>行为金融用羊群、情绪传染解释同步行为，描述是准的，机制偏浅[40]。群体心理学往前走了一步，回答的是：个体为什么会主动放弃判断，为什么“知道是泡沫”和“不参与泡沫”能同时成立。代价也摆在明面上——它不好测。基本假设、自我理想外置，这些都很难直接量化。拿解释力换可测量性，这笔交换是本章留下的核心张力，第九、十章还会回来处理。</w:t>
      </w:r>
    </w:p>
    <w:p>
      <w:pPr>
        <w:keepNext/>
        <w:spacing w:before="200" w:after="90" w:line="300" w:lineRule="auto"/>
      </w:pPr>
      <w:r>
        <w:rPr>
          <w:rFonts w:ascii="Arial" w:hAnsi="Arial" w:eastAsia="黑体"/>
          <w:b/>
          <w:i w:val="0"/>
          <w:sz w:val="27"/>
        </w:rPr>
        <w:t>4.6 边界</w:t>
      </w:r>
    </w:p>
    <w:p>
      <w:pPr>
        <w:spacing w:line="336" w:lineRule="auto" w:before="0" w:after="80"/>
        <w:ind w:firstLine="420"/>
        <w:jc w:val="both"/>
      </w:pPr>
      <w:r>
        <w:rPr>
          <w:rFonts w:ascii="Times New Roman" w:hAnsi="Times New Roman" w:eastAsia="宋体"/>
          <w:b w:val="0"/>
          <w:i w:val="0"/>
          <w:sz w:val="21"/>
        </w:rPr>
        <w:t>群体心理学这条路有两条必须认的边界。第一，它事后解释很顺，事前预测很难。几乎任何一次泡沫都能套进“幻觉客体加基本假设”的模板，可套得上本身不构成证据。第二，它容易漏掉异质性。真实市场里总有人在卖，群体从来不是铁板一块。把“市场”当成一个统一主体，这个简化是有代价的。</w:t>
      </w:r>
    </w:p>
    <w:p>
      <w:pPr>
        <w:keepNext/>
        <w:spacing w:line="336" w:lineRule="auto" w:before="0" w:after="80"/>
        <w:jc w:val="both"/>
      </w:pPr>
      <w:r>
        <w:rPr>
          <w:rFonts w:ascii="Times New Roman" w:hAnsi="Times New Roman" w:eastAsia="宋体"/>
          <w:b w:val="0"/>
          <w:i w:val="0"/>
          <w:color w:val="5A5A5A"/>
          <w:sz w:val="19"/>
        </w:rPr>
        <w:t>看完这一章，记住一个区别。</w:t>
      </w:r>
    </w:p>
    <w:p>
      <w:pPr>
        <w:spacing w:line="336" w:lineRule="auto" w:before="0" w:after="80"/>
        <w:jc w:val="both"/>
      </w:pPr>
      <w:r>
        <w:rPr>
          <w:rFonts w:ascii="Times New Roman" w:hAnsi="Times New Roman" w:eastAsia="宋体"/>
          <w:b w:val="0"/>
          <w:i/>
          <w:sz w:val="21"/>
        </w:rPr>
        <w:t>泡沫不是很多人的偏差相加，是一群人一起走进了一种心理状态。</w:t>
      </w:r>
    </w:p>
    <w:p>
      <w:pPr>
        <w:keepNext/>
        <w:spacing w:before="400" w:after="140" w:line="300" w:lineRule="auto"/>
      </w:pPr>
      <w:r>
        <w:rPr>
          <w:rFonts w:ascii="Arial" w:hAnsi="Arial" w:eastAsia="黑体"/>
          <w:b/>
          <w:i w:val="0"/>
          <w:sz w:val="32"/>
        </w:rPr>
        <w:t>五、情绪金融：一个试图独立的范式</w:t>
      </w:r>
    </w:p>
    <w:p>
      <w:pPr>
        <w:spacing w:line="336" w:lineRule="auto" w:before="0" w:after="80"/>
        <w:ind w:firstLine="420"/>
        <w:jc w:val="both"/>
      </w:pPr>
      <w:r>
        <w:rPr>
          <w:rFonts w:ascii="Times New Roman" w:hAnsi="Times New Roman" w:eastAsia="宋体"/>
          <w:b w:val="0"/>
          <w:i w:val="0"/>
          <w:sz w:val="21"/>
        </w:rPr>
        <w:t>在精神分析进金融的所有尝试里，情绪金融（emotional finance）是成体系、也最肯接受检验的一支。它由 Tuckett 与 Taffler 在 UCL 与华威一带慢慢搭起来，既不是纯理论，也不是常规实证金融，而是在两座山之间另开一条路。</w:t>
      </w:r>
    </w:p>
    <w:p>
      <w:pPr>
        <w:keepNext/>
        <w:spacing w:before="200" w:after="90" w:line="300" w:lineRule="auto"/>
      </w:pPr>
      <w:r>
        <w:rPr>
          <w:rFonts w:ascii="Arial" w:hAnsi="Arial" w:eastAsia="黑体"/>
          <w:b/>
          <w:i w:val="0"/>
          <w:sz w:val="27"/>
        </w:rPr>
        <w:t>5.1 范式定位：站在两座山之间</w:t>
      </w:r>
    </w:p>
    <w:p>
      <w:pPr>
        <w:spacing w:line="336" w:lineRule="auto" w:before="0" w:after="80"/>
        <w:ind w:firstLine="420"/>
        <w:jc w:val="both"/>
      </w:pPr>
      <w:r>
        <w:rPr>
          <w:rFonts w:ascii="Times New Roman" w:hAnsi="Times New Roman" w:eastAsia="宋体"/>
          <w:b w:val="0"/>
          <w:i w:val="0"/>
          <w:sz w:val="21"/>
        </w:rPr>
        <w:t>情绪金融对自己要站哪儿说得很清楚。它既反对传统金融的理性人，也不满足于行为金融的“有偏差的人”。Taffler 的原话大意是：行为金融的前提仍然是“投资者学会少一点偏差，就会更理性”；情绪金融要处理的是无意识的幻想、需要和欲望，它们不以“可以被克服的偏差”的形式存在[12]。</w:t>
      </w:r>
    </w:p>
    <w:p>
      <w:pPr>
        <w:spacing w:line="336" w:lineRule="auto" w:before="0" w:after="80"/>
        <w:ind w:firstLine="420"/>
        <w:jc w:val="both"/>
      </w:pPr>
      <w:r>
        <w:rPr>
          <w:rFonts w:ascii="Times New Roman" w:hAnsi="Times New Roman" w:eastAsia="宋体"/>
          <w:b w:val="0"/>
          <w:i w:val="0"/>
          <w:sz w:val="21"/>
        </w:rPr>
        <w:t>这个定位带来一个方法论后果。情绪金融没法靠“纠正偏差”式的干预来验自己，因为它主张偏差底下还有更深的结构。路只有两条：要么找到能标记无意识过程的行为代理，要么承认自己只能做解释性研究。这个两难贯穿了它全部的实证工作。</w:t>
      </w:r>
    </w:p>
    <w:p>
      <w:pPr>
        <w:keepNext/>
        <w:spacing w:before="200" w:after="90" w:line="300" w:lineRule="auto"/>
      </w:pPr>
      <w:r>
        <w:rPr>
          <w:rFonts w:ascii="Arial" w:hAnsi="Arial" w:eastAsia="黑体"/>
          <w:b/>
          <w:i w:val="0"/>
          <w:sz w:val="27"/>
        </w:rPr>
        <w:t>5.2 幻觉客体：概念的来处与判据</w:t>
      </w:r>
    </w:p>
    <w:p>
      <w:pPr>
        <w:spacing w:line="336" w:lineRule="auto" w:before="0" w:after="80"/>
        <w:ind w:firstLine="420"/>
        <w:jc w:val="both"/>
      </w:pPr>
      <w:r>
        <w:rPr>
          <w:rFonts w:ascii="Times New Roman" w:hAnsi="Times New Roman" w:eastAsia="宋体"/>
          <w:b w:val="0"/>
          <w:i w:val="0"/>
          <w:sz w:val="21"/>
        </w:rPr>
        <w:t>“幻觉客体”（phantastic object）是情绪金融的核心概念，由 Tuckett 与 Taffler 在 2003 年研究互联网股票估值时提出，2008 年那篇论文里把它系统化了[11][14]。它指那种被认为能即时、无限地满足主体欲望的心理对象。要紧的是：幻觉客体不是被评估的对象，是被爱的对象。它天然排斥中性信息。互联网股票、加密货币、某位明星创始人，都能临时坐上这个位置[51]。</w:t>
      </w:r>
    </w:p>
    <w:p>
      <w:pPr>
        <w:spacing w:line="336" w:lineRule="auto" w:before="0" w:after="80"/>
        <w:ind w:firstLine="420"/>
        <w:jc w:val="both"/>
      </w:pPr>
      <w:r>
        <w:rPr>
          <w:rFonts w:ascii="Times New Roman" w:hAnsi="Times New Roman" w:eastAsia="宋体"/>
          <w:b w:val="0"/>
          <w:i w:val="0"/>
          <w:sz w:val="21"/>
        </w:rPr>
        <w:t>从精神分析看，幻觉客体是克莱因的“好对象”和拉康的“对象 a”在市场里的合流。它既有早期客体关系里的全好属性，又有拉康意义上“填补缺口之物”的位置。情绪金融把它从临床搬进金融，还给了个可操作的判据：当某个资产的负面信息不再改变持有意愿时，它大概已经进到幻觉客体的位置上了。</w:t>
      </w:r>
    </w:p>
    <w:p>
      <w:pPr>
        <w:keepNext/>
        <w:spacing w:before="200" w:after="90" w:line="300" w:lineRule="auto"/>
      </w:pPr>
      <w:r>
        <w:rPr>
          <w:rFonts w:ascii="Arial" w:hAnsi="Arial" w:eastAsia="黑体"/>
          <w:b/>
          <w:i w:val="0"/>
          <w:sz w:val="27"/>
        </w:rPr>
        <w:t>5.3 分阶段与未分阶段投资</w:t>
      </w:r>
    </w:p>
    <w:p>
      <w:pPr>
        <w:spacing w:line="336" w:lineRule="auto" w:before="0" w:after="80"/>
        <w:ind w:firstLine="420"/>
        <w:jc w:val="both"/>
      </w:pPr>
      <w:r>
        <w:rPr>
          <w:rFonts w:ascii="Times New Roman" w:hAnsi="Times New Roman" w:eastAsia="宋体"/>
          <w:b w:val="0"/>
          <w:i w:val="0"/>
          <w:sz w:val="21"/>
        </w:rPr>
        <w:t>这一对概念，是情绪金融里最接近可操作指标的地方。“分阶段投资”指投资者能同时容下“可能赚”和“可能亏”，人待在一种能承受矛盾的抑郁位；“未分阶段投资”把资产劈成全好或全坏，对应偏执-分裂位。Tuckett 与 Taffler 主张，市场整体的“现实感”会在两种状态间漂移，泡沫起来和破掉的心理机制就在这儿[11][13]。</w:t>
      </w:r>
    </w:p>
    <w:p>
      <w:pPr>
        <w:spacing w:line="336" w:lineRule="auto" w:before="0" w:after="80"/>
        <w:ind w:firstLine="420"/>
        <w:jc w:val="both"/>
      </w:pPr>
      <w:r>
        <w:rPr>
          <w:rFonts w:ascii="Times New Roman" w:hAnsi="Times New Roman" w:eastAsia="宋体"/>
          <w:b w:val="0"/>
          <w:i w:val="0"/>
          <w:sz w:val="21"/>
        </w:rPr>
        <w:t>这套区分真正推进的地方，是把“情绪”从连续变量改成了结构变量。以前问的是乐观或悲观到什么程度，现在问的是能不能容纳矛盾。程度可以测量，结构更贴近无意识那一层。代价也跟着来了：结构变量比程度变量更难标准化。</w:t>
      </w:r>
    </w:p>
    <w:p>
      <w:pPr>
        <w:keepNext/>
        <w:spacing w:before="200" w:after="90" w:line="300" w:lineRule="auto"/>
      </w:pPr>
      <w:r>
        <w:rPr>
          <w:rFonts w:ascii="Arial" w:hAnsi="Arial" w:eastAsia="黑体"/>
          <w:b/>
          <w:i w:val="0"/>
          <w:sz w:val="27"/>
        </w:rPr>
        <w:t>5.4 信任、不确定性与市场现实感</w:t>
      </w:r>
    </w:p>
    <w:p>
      <w:pPr>
        <w:spacing w:line="336" w:lineRule="auto" w:before="0" w:after="80"/>
        <w:ind w:firstLine="420"/>
        <w:jc w:val="both"/>
      </w:pPr>
      <w:r>
        <w:rPr>
          <w:rFonts w:ascii="Times New Roman" w:hAnsi="Times New Roman" w:eastAsia="宋体"/>
          <w:b w:val="0"/>
          <w:i w:val="0"/>
          <w:sz w:val="21"/>
        </w:rPr>
        <w:t>情绪金融很在意“不确定”和“风险”的分家。风险是概率分布已知、可以定价的东西；不确定是未来没法预测，它必然招来焦虑和无助。在 Taffler 看来，传统金融的风险模型本身就是对抗不确定性的一种心理防御：把不可知包装成可计算，好把焦虑挡在门外[15]。</w:t>
      </w:r>
    </w:p>
    <w:p>
      <w:pPr>
        <w:spacing w:line="336" w:lineRule="auto" w:before="0" w:after="80"/>
        <w:ind w:firstLine="420"/>
        <w:jc w:val="both"/>
      </w:pPr>
      <w:r>
        <w:rPr>
          <w:rFonts w:ascii="Times New Roman" w:hAnsi="Times New Roman" w:eastAsia="宋体"/>
          <w:b w:val="0"/>
          <w:i w:val="0"/>
          <w:sz w:val="21"/>
        </w:rPr>
        <w:t>这就带出了信任的位置。投资者要在明知可能被辜负的前提下跟一个资产建立关系，靠的是信任。它也顺手解释了基金行业的一些做法：为什么基金经理那么看重见企业的人，为什么持有人反复去找“值得信任”的管理人。他们买的是一种关系感[12]。</w:t>
      </w:r>
    </w:p>
    <w:p>
      <w:pPr>
        <w:keepNext/>
        <w:spacing w:before="200" w:after="90" w:line="300" w:lineRule="auto"/>
      </w:pPr>
      <w:r>
        <w:rPr>
          <w:rFonts w:ascii="Arial" w:hAnsi="Arial" w:eastAsia="黑体"/>
          <w:b/>
          <w:i w:val="0"/>
          <w:sz w:val="27"/>
        </w:rPr>
        <w:t>5.5 三个应用</w:t>
      </w:r>
    </w:p>
    <w:p>
      <w:pPr>
        <w:spacing w:line="336" w:lineRule="auto" w:before="0" w:after="80"/>
        <w:ind w:firstLine="420"/>
        <w:jc w:val="both"/>
      </w:pPr>
      <w:r>
        <w:rPr>
          <w:rFonts w:ascii="Times New Roman" w:hAnsi="Times New Roman" w:eastAsia="宋体"/>
          <w:b w:val="0"/>
          <w:i w:val="0"/>
          <w:sz w:val="21"/>
        </w:rPr>
        <w:t>情绪金融至少往三个方向用过。一是互联网泡沫与 2008 年金融危机，用集体幻觉和防御解释市场“现实感”的崩塌[11]。二是爱尔兰房地产泡沫。Ryan、Taffler 与 Branigan 把创伤的代际传递引了进来，指出对土地和房产的执念，是一种想超越殖民历史的心理补偿[16]。三是基金行业的悖论：这个行业真正卖给投资者的，大半不是超额收益，是一种被照料、被信任的关系感[12]。Eshraghi 与 Taffler 后来把这套分析延伸到了对冲基金，看管理者和投资者之间的幻想关系怎么建立、又怎么幻灭[52]。</w:t>
      </w:r>
    </w:p>
    <w:p>
      <w:pPr>
        <w:spacing w:line="336" w:lineRule="auto" w:before="0" w:after="80"/>
        <w:ind w:firstLine="420"/>
        <w:jc w:val="both"/>
      </w:pPr>
      <w:r>
        <w:rPr>
          <w:rFonts w:ascii="Times New Roman" w:hAnsi="Times New Roman" w:eastAsia="宋体"/>
          <w:b w:val="0"/>
          <w:i w:val="0"/>
          <w:sz w:val="21"/>
        </w:rPr>
        <w:t>爱尔兰那篇值得多看一眼。它把个体心理扩到了社会与历史的尺度上：泡沫不再只是个市场现象，成了一个民族心理的症候。这一步迈得很大，也正因如此，它最难被常规金融实证收编。</w:t>
      </w:r>
    </w:p>
    <w:p>
      <w:pPr>
        <w:keepNext/>
        <w:spacing w:before="200" w:after="90" w:line="300" w:lineRule="auto"/>
      </w:pPr>
      <w:r>
        <w:rPr>
          <w:rFonts w:ascii="Arial" w:hAnsi="Arial" w:eastAsia="黑体"/>
          <w:b/>
          <w:i w:val="0"/>
          <w:sz w:val="27"/>
        </w:rPr>
        <w:t>5.6 证据与可检验性</w:t>
      </w:r>
    </w:p>
    <w:p>
      <w:pPr>
        <w:spacing w:line="336" w:lineRule="auto" w:before="0" w:after="80"/>
        <w:ind w:firstLine="420"/>
        <w:jc w:val="both"/>
      </w:pPr>
      <w:r>
        <w:rPr>
          <w:rFonts w:ascii="Times New Roman" w:hAnsi="Times New Roman" w:eastAsia="宋体"/>
          <w:b w:val="0"/>
          <w:i w:val="0"/>
          <w:sz w:val="21"/>
        </w:rPr>
        <w:t>情绪金融自己承认，这个领域实证还太少，“需要对个体与市场行为的预测做更多实证检验”[15]。近几年有尝试把情绪金融跟投资绩效、市场知识、投资者保护放进同一个模型去验[58]，也有研究把它当理解市场的新路径引介一番[57]。已经落地的操作化，主要靠深度访谈和质性编码。McDonnell 访了 21 位活跃投资者，从中提出幻觉客体、社会防御、基本假设、效价与脆弱性五个动力因素[23]。</w:t>
      </w:r>
    </w:p>
    <w:p>
      <w:pPr>
        <w:spacing w:line="336" w:lineRule="auto" w:before="0" w:after="80"/>
        <w:ind w:firstLine="420"/>
        <w:jc w:val="both"/>
      </w:pPr>
      <w:r>
        <w:rPr>
          <w:rFonts w:ascii="Times New Roman" w:hAnsi="Times New Roman" w:eastAsia="宋体"/>
          <w:b w:val="0"/>
          <w:i w:val="0"/>
          <w:sz w:val="21"/>
        </w:rPr>
        <w:t>把情绪金融的核心主张翻成能反驳的命题，是做得到的。假设“幻觉客体”真存在，那在资产坐进幻觉客体位置的那段时间里，负面信息的定价速度就该明显慢于中性时期，等它被“去幻觉化”之后，这个差异又该消失。假设“分阶段投资”是一个真实状态，它就该跟可测的心理指标挂钩，比如矛盾情感的容忍度、持仓集中度的时间序列。这些命题原则上都能验，问题是有没有人真去做。</w:t>
      </w:r>
    </w:p>
    <w:p>
      <w:pPr>
        <w:keepNext/>
        <w:spacing w:before="200" w:after="90" w:line="300" w:lineRule="auto"/>
      </w:pPr>
      <w:r>
        <w:rPr>
          <w:rFonts w:ascii="Arial" w:hAnsi="Arial" w:eastAsia="黑体"/>
          <w:b/>
          <w:i w:val="0"/>
          <w:sz w:val="27"/>
        </w:rPr>
        <w:t>5.7 批判：样本、编码与可重复</w:t>
      </w:r>
    </w:p>
    <w:p>
      <w:pPr>
        <w:spacing w:line="336" w:lineRule="auto" w:before="0" w:after="80"/>
        <w:ind w:firstLine="420"/>
        <w:jc w:val="both"/>
      </w:pPr>
      <w:r>
        <w:rPr>
          <w:rFonts w:ascii="Times New Roman" w:hAnsi="Times New Roman" w:eastAsia="宋体"/>
          <w:b w:val="0"/>
          <w:i w:val="0"/>
          <w:sz w:val="21"/>
        </w:rPr>
        <w:t>实话讲，情绪金融眼下最大的短板不在理论，在证据。访谈研究样本小，编码靠研究者拿捏，别人很难复现。案例研究——互联网泡沫、爱尔兰房地产——能给出很丰富的机制细节，却也躲不开事后解释的嫌疑。说句不客气的：情绪金融解释力很强，但它还没证明自己比行为金融“多预测对了什么”。</w:t>
      </w:r>
    </w:p>
    <w:p>
      <w:pPr>
        <w:keepNext/>
        <w:spacing w:before="200" w:after="90" w:line="300" w:lineRule="auto"/>
      </w:pPr>
      <w:r>
        <w:rPr>
          <w:rFonts w:ascii="Arial" w:hAnsi="Arial" w:eastAsia="黑体"/>
          <w:b/>
          <w:i w:val="0"/>
          <w:sz w:val="27"/>
        </w:rPr>
        <w:t>5.8 小结</w:t>
      </w:r>
    </w:p>
    <w:p>
      <w:pPr>
        <w:spacing w:line="336" w:lineRule="auto" w:before="0" w:after="80"/>
        <w:ind w:firstLine="420"/>
        <w:jc w:val="both"/>
      </w:pPr>
      <w:r>
        <w:rPr>
          <w:rFonts w:ascii="Times New Roman" w:hAnsi="Times New Roman" w:eastAsia="宋体"/>
          <w:b w:val="0"/>
          <w:i w:val="0"/>
          <w:sz w:val="21"/>
        </w:rPr>
        <w:t>情绪金融是精神分析进金融至今最成功的一次尝试。它留住了无意识这个内核，又主动接受“得接受实证检验”这条约束。下一步成不成，就看能不能把幻觉客体、分阶段投资变成可测量的变量。这不是措辞问题，是它能不能活下去的问题。</w:t>
      </w:r>
    </w:p>
    <w:p>
      <w:pPr>
        <w:keepNext/>
        <w:spacing w:line="336" w:lineRule="auto" w:before="0" w:after="80"/>
        <w:jc w:val="both"/>
      </w:pPr>
      <w:r>
        <w:rPr>
          <w:rFonts w:ascii="Times New Roman" w:hAnsi="Times New Roman" w:eastAsia="宋体"/>
          <w:b w:val="0"/>
          <w:i w:val="0"/>
          <w:color w:val="5A5A5A"/>
          <w:sz w:val="19"/>
        </w:rPr>
        <w:t>我对情绪金融的评价，压成一句。</w:t>
      </w:r>
    </w:p>
    <w:p>
      <w:pPr>
        <w:spacing w:line="336" w:lineRule="auto" w:before="0" w:after="80"/>
        <w:jc w:val="both"/>
      </w:pPr>
      <w:r>
        <w:rPr>
          <w:rFonts w:ascii="Times New Roman" w:hAnsi="Times New Roman" w:eastAsia="宋体"/>
          <w:b w:val="0"/>
          <w:i/>
          <w:sz w:val="21"/>
        </w:rPr>
        <w:t>它的分量不在讲了无意识，在它肯让无意识上秤。</w:t>
      </w:r>
    </w:p>
    <w:p>
      <w:pPr>
        <w:keepNext/>
        <w:spacing w:before="400" w:after="140" w:line="300" w:lineRule="auto"/>
      </w:pPr>
      <w:r>
        <w:rPr>
          <w:rFonts w:ascii="Arial" w:hAnsi="Arial" w:eastAsia="黑体"/>
          <w:b/>
          <w:i w:val="0"/>
          <w:sz w:val="32"/>
        </w:rPr>
        <w:t>六、交易者病理：贪婪、成瘾与赌博的重合</w:t>
      </w:r>
    </w:p>
    <w:p>
      <w:pPr>
        <w:spacing w:line="336" w:lineRule="auto" w:before="0" w:after="80"/>
        <w:ind w:firstLine="420"/>
        <w:jc w:val="both"/>
      </w:pPr>
      <w:r>
        <w:rPr>
          <w:rFonts w:ascii="Times New Roman" w:hAnsi="Times New Roman" w:eastAsia="宋体"/>
          <w:b w:val="0"/>
          <w:i w:val="0"/>
          <w:sz w:val="21"/>
        </w:rPr>
        <w:t>前几章讲的还在“正常范围内的非理性”里打转。本章换到另一头：贪婪失控、交易成瘾，以及赌博和交易在临床上的重合。这是整个交叉地带里证据最硬的一块，也是精神分析的解释最有现实意义的地方。</w:t>
      </w:r>
    </w:p>
    <w:p>
      <w:pPr>
        <w:keepNext/>
        <w:spacing w:before="200" w:after="90" w:line="300" w:lineRule="auto"/>
      </w:pPr>
      <w:r>
        <w:rPr>
          <w:rFonts w:ascii="Arial" w:hAnsi="Arial" w:eastAsia="黑体"/>
          <w:b/>
          <w:i w:val="0"/>
          <w:sz w:val="27"/>
        </w:rPr>
        <w:t>6.1 贪婪综合征</w:t>
      </w:r>
    </w:p>
    <w:p>
      <w:pPr>
        <w:spacing w:line="336" w:lineRule="auto" w:before="0" w:after="80"/>
        <w:ind w:firstLine="420"/>
        <w:jc w:val="both"/>
      </w:pPr>
      <w:r>
        <w:rPr>
          <w:rFonts w:ascii="Times New Roman" w:hAnsi="Times New Roman" w:eastAsia="宋体"/>
          <w:b w:val="0"/>
          <w:i w:val="0"/>
          <w:sz w:val="21"/>
        </w:rPr>
        <w:t>Kets de Vries 把不受约束的贪婪类比成瘾，排在毒品、性、食物、赌博旁边[18]。从精神动力学往源头追，贪婪常被追到养育缺陷上。照料者拿“东西”顶替照料，孩子就攒下一种“缺了什么”的感觉，长大后靠不断获取去补这个缺口，而缺口一直补不满[18]。</w:t>
      </w:r>
    </w:p>
    <w:p>
      <w:pPr>
        <w:spacing w:line="336" w:lineRule="auto" w:before="0" w:after="80"/>
        <w:ind w:firstLine="420"/>
        <w:jc w:val="both"/>
      </w:pPr>
      <w:r>
        <w:rPr>
          <w:rFonts w:ascii="Times New Roman" w:hAnsi="Times New Roman" w:eastAsia="宋体"/>
          <w:b w:val="0"/>
          <w:i w:val="0"/>
          <w:sz w:val="21"/>
        </w:rPr>
        <w:t>这套解释跟拉康的欲望转喻在结构上是一回事，欲望对象永远滑走，只是换成了发展心理学的说法。两条线在这儿碰上，提示一件事：贪婪不是道德问题，是一种有结构、有来处、会自我复制的心智状态。它也解释了“赚够了就收手”这类劝告为什么几乎从不生效。</w:t>
      </w:r>
    </w:p>
    <w:p>
      <w:pPr>
        <w:keepNext/>
        <w:spacing w:before="200" w:after="90" w:line="300" w:lineRule="auto"/>
      </w:pPr>
      <w:r>
        <w:rPr>
          <w:rFonts w:ascii="Arial" w:hAnsi="Arial" w:eastAsia="黑体"/>
          <w:b/>
          <w:i w:val="0"/>
          <w:sz w:val="27"/>
        </w:rPr>
        <w:t>6.2 赌博的精神分析：弗洛伊德写陀思妥耶夫斯基</w:t>
      </w:r>
    </w:p>
    <w:p>
      <w:pPr>
        <w:spacing w:line="336" w:lineRule="auto" w:before="0" w:after="80"/>
        <w:ind w:firstLine="420"/>
        <w:jc w:val="both"/>
      </w:pPr>
      <w:r>
        <w:rPr>
          <w:rFonts w:ascii="Times New Roman" w:hAnsi="Times New Roman" w:eastAsia="宋体"/>
          <w:b w:val="0"/>
          <w:i w:val="0"/>
          <w:sz w:val="21"/>
        </w:rPr>
        <w:t>1928 年，弗洛伊德写了《陀思妥耶夫斯基与弑父》，提出赌徒身上有个无意识的自罚需求：赌博是赎罪，输钱才是潜意识真正想要的结局[2]。这套解释后来被反复重述和讨论。有人把《赌徒》主人公的三段路——赢、输、绝望——拿来做精神分析解读[25]；也有人从社会学角度回头审视弗洛伊德：Kingma 指出，陀思妥耶夫斯基自己把赌博看成对困窘处境的理性回应，弗洛伊德却把它读成“病理性激情”，两种读法其实各自预设了对“为赌而赌”的立场[24]。</w:t>
      </w:r>
    </w:p>
    <w:p>
      <w:pPr>
        <w:spacing w:line="336" w:lineRule="auto" w:before="0" w:after="80"/>
        <w:ind w:firstLine="420"/>
        <w:jc w:val="both"/>
      </w:pPr>
      <w:r>
        <w:rPr>
          <w:rFonts w:ascii="Times New Roman" w:hAnsi="Times New Roman" w:eastAsia="宋体"/>
          <w:b w:val="0"/>
          <w:i w:val="0"/>
          <w:sz w:val="21"/>
        </w:rPr>
        <w:t>诚实地说，弗洛伊德这套“自罚”解释在当代临床里已经边缘了。今天的赌博研究更多走冲动控制、奖赏回路、共病这几条路。它的价值可能不在结论，而在提了一个行为主义不太会提的问题：为什么有人反复求输。就算答案不是自罚，这个问题本身还站得住。</w:t>
      </w:r>
    </w:p>
    <w:p>
      <w:pPr>
        <w:keepNext/>
        <w:spacing w:before="200" w:after="90" w:line="300" w:lineRule="auto"/>
      </w:pPr>
      <w:r>
        <w:rPr>
          <w:rFonts w:ascii="Arial" w:hAnsi="Arial" w:eastAsia="黑体"/>
          <w:b/>
          <w:i w:val="0"/>
          <w:sz w:val="27"/>
        </w:rPr>
        <w:t>6.3 从赌博到交易：临床谱系的证据</w:t>
      </w:r>
    </w:p>
    <w:p>
      <w:pPr>
        <w:spacing w:line="336" w:lineRule="auto" w:before="0" w:after="80"/>
        <w:ind w:firstLine="420"/>
        <w:jc w:val="both"/>
      </w:pPr>
      <w:r>
        <w:rPr>
          <w:rFonts w:ascii="Times New Roman" w:hAnsi="Times New Roman" w:eastAsia="宋体"/>
          <w:b w:val="0"/>
          <w:i w:val="0"/>
          <w:sz w:val="21"/>
        </w:rPr>
        <w:t>这一块是精神分析话题里实证最扎实的部分。不少研究表明，过度交易与赌博障碍在诊断标准、共病和轨迹上高度重合[36][37]。荷兰两项投资者调查发现，4.4% 的投资者符合金融市场强迫性赌博标准，另有 3.6% 属于“问题赌博”。这些人表现出停不下来、持续追逐、失控、明知有害仍继续，还伴随抑郁与自杀意念[36]。巴西期货市场的数据更直白：坚持交易超过 300 个交易日的人里，97% 亏损[36]。</w:t>
      </w:r>
    </w:p>
    <w:p>
      <w:pPr>
        <w:spacing w:line="336" w:lineRule="auto" w:before="0" w:after="80"/>
        <w:ind w:firstLine="420"/>
        <w:jc w:val="both"/>
      </w:pPr>
      <w:r>
        <w:rPr>
          <w:rFonts w:ascii="Times New Roman" w:hAnsi="Times New Roman" w:eastAsia="宋体"/>
          <w:b w:val="0"/>
          <w:i w:val="0"/>
          <w:sz w:val="21"/>
        </w:rPr>
        <w:t>临床描述里还有一个共同的动力学特征：先是一小笔盈利，接着追损，最后失控[36]。正是这条轨迹，让研究者主张把赌博障碍的诊断标准直接搬到过度股票和加密交易上[36][37]。这给了精神分析式解释一块能落地的地方：如果心理动力机制真存在，它就该在这些可观测的临床人群里留下痕迹。</w:t>
      </w:r>
    </w:p>
    <w:p>
      <w:pPr>
        <w:keepNext/>
        <w:spacing w:before="200" w:after="90" w:line="300" w:lineRule="auto"/>
      </w:pPr>
      <w:r>
        <w:rPr>
          <w:rFonts w:ascii="Arial" w:hAnsi="Arial" w:eastAsia="黑体"/>
          <w:b/>
          <w:i w:val="0"/>
          <w:sz w:val="27"/>
        </w:rPr>
        <w:t>6.4 神经机制：可变比率、多巴胺与近失</w:t>
      </w:r>
    </w:p>
    <w:p>
      <w:pPr>
        <w:spacing w:line="336" w:lineRule="auto" w:before="0" w:after="80"/>
        <w:ind w:firstLine="420"/>
        <w:jc w:val="both"/>
      </w:pPr>
      <w:r>
        <w:rPr>
          <w:rFonts w:ascii="Times New Roman" w:hAnsi="Times New Roman" w:eastAsia="宋体"/>
          <w:b w:val="0"/>
          <w:i w:val="0"/>
          <w:sz w:val="21"/>
        </w:rPr>
        <w:t>神经层面的解释集中在三点：可变比率强化、预期性多巴胺、近失效应。真正让人上瘾的不是盈利，是那份“不确定的期待”。大脑对不确定奖赏的反应，常常强过对确定奖赏的反应[37]。这跟精神分析对赌博“兴奋/焦虑”二元结构的描述能对上号，只不过两边用的证据完全不同——一边是量表加流行病学，一边是临床叙事。</w:t>
      </w:r>
    </w:p>
    <w:p>
      <w:pPr>
        <w:spacing w:line="336" w:lineRule="auto" w:before="0" w:after="80"/>
        <w:ind w:firstLine="420"/>
        <w:jc w:val="both"/>
      </w:pPr>
      <w:r>
        <w:rPr>
          <w:rFonts w:ascii="Times New Roman" w:hAnsi="Times New Roman" w:eastAsia="宋体"/>
          <w:b w:val="0"/>
          <w:i w:val="0"/>
          <w:sz w:val="21"/>
        </w:rPr>
        <w:t>两种证据摆一起，能得到一个比任何一方都强的结论。交易比大多数赌博更容易上瘾，因为它同时具备三样东西：不确定性、高频重复，外加一个“看起来像技能”的外壳。这个外壳，正是精神分析所说的“幻想的技能感”在社会层面的载体。</w:t>
      </w:r>
    </w:p>
    <w:p>
      <w:pPr>
        <w:keepNext/>
        <w:spacing w:before="200" w:after="90" w:line="300" w:lineRule="auto"/>
      </w:pPr>
      <w:r>
        <w:rPr>
          <w:rFonts w:ascii="Arial" w:hAnsi="Arial" w:eastAsia="黑体"/>
          <w:b/>
          <w:i w:val="0"/>
          <w:sz w:val="27"/>
        </w:rPr>
        <w:t>6.5 控制错觉与幻想的技能感</w:t>
      </w:r>
    </w:p>
    <w:p>
      <w:pPr>
        <w:spacing w:line="336" w:lineRule="auto" w:before="0" w:after="80"/>
        <w:ind w:firstLine="420"/>
        <w:jc w:val="both"/>
      </w:pPr>
      <w:r>
        <w:rPr>
          <w:rFonts w:ascii="Times New Roman" w:hAnsi="Times New Roman" w:eastAsia="宋体"/>
          <w:b w:val="0"/>
          <w:i w:val="0"/>
          <w:sz w:val="21"/>
        </w:rPr>
        <w:t>精神分析把赌博里的“能力幻觉”定义成一种对抗无助感的防御：用“我能控制”去抵住“我无法预知”的焦虑[15]。行为金融管这叫控制错觉、技能幻觉，并且发现技术分析给了投机一副“像技能”的外表[36]。两条路在这儿少见地合了流：都认这是对抗不确定性的心理装置，分歧只在——它是无意识的防御，还是能被纠正的认知错误。</w:t>
      </w:r>
    </w:p>
    <w:p>
      <w:pPr>
        <w:keepNext/>
        <w:spacing w:before="200" w:after="90" w:line="300" w:lineRule="auto"/>
      </w:pPr>
      <w:r>
        <w:rPr>
          <w:rFonts w:ascii="Arial" w:hAnsi="Arial" w:eastAsia="黑体"/>
          <w:b/>
          <w:i w:val="0"/>
          <w:sz w:val="27"/>
        </w:rPr>
        <w:t>6.6 自罚假说的今天</w:t>
      </w:r>
    </w:p>
    <w:p>
      <w:pPr>
        <w:spacing w:line="336" w:lineRule="auto" w:before="0" w:after="80"/>
        <w:ind w:firstLine="420"/>
        <w:jc w:val="both"/>
      </w:pPr>
      <w:r>
        <w:rPr>
          <w:rFonts w:ascii="Times New Roman" w:hAnsi="Times New Roman" w:eastAsia="宋体"/>
          <w:b w:val="0"/>
          <w:i w:val="0"/>
          <w:sz w:val="21"/>
        </w:rPr>
        <w:t>回到弗洛伊德那个“为输而赌”。现代研究的态度大概是：当普遍规律不行，当个体动力学的一种可能形式，还有解释价值。有些重复强迫式的交易——反复在同一品种、同一时段、同一模式下爆仓——用自罚或重复强迫来理解，比骂一句“纪律不够”更能说明它的顽固[2][24]。但要把这推广成投资大众的普遍机制，就明显越界了。</w:t>
      </w:r>
    </w:p>
    <w:p>
      <w:pPr>
        <w:keepNext/>
        <w:spacing w:before="200" w:after="90" w:line="300" w:lineRule="auto"/>
      </w:pPr>
      <w:r>
        <w:rPr>
          <w:rFonts w:ascii="Arial" w:hAnsi="Arial" w:eastAsia="黑体"/>
          <w:b/>
          <w:i w:val="0"/>
          <w:sz w:val="27"/>
        </w:rPr>
        <w:t>6.7 小结</w:t>
      </w:r>
    </w:p>
    <w:p>
      <w:pPr>
        <w:spacing w:line="336" w:lineRule="auto" w:before="0" w:after="80"/>
        <w:ind w:firstLine="420"/>
        <w:jc w:val="both"/>
      </w:pPr>
      <w:r>
        <w:rPr>
          <w:rFonts w:ascii="Times New Roman" w:hAnsi="Times New Roman" w:eastAsia="宋体"/>
          <w:b w:val="0"/>
          <w:i w:val="0"/>
          <w:sz w:val="21"/>
        </w:rPr>
        <w:t>交易成瘾是这个交叉领域里最有现实意义的落点。它一边有临床诊断的硬证据，一边有精神分析对动力机制的细腻描述。两边接上，才有可能既说清“为什么”，又给出“怎么办”。</w:t>
      </w:r>
    </w:p>
    <w:p>
      <w:pPr>
        <w:keepNext/>
        <w:spacing w:line="336" w:lineRule="auto" w:before="0" w:after="80"/>
        <w:jc w:val="both"/>
      </w:pPr>
      <w:r>
        <w:rPr>
          <w:rFonts w:ascii="Times New Roman" w:hAnsi="Times New Roman" w:eastAsia="宋体"/>
          <w:b w:val="0"/>
          <w:i w:val="0"/>
          <w:color w:val="5A5A5A"/>
          <w:sz w:val="19"/>
        </w:rPr>
        <w:t>交易成瘾这一章，收在这里。</w:t>
      </w:r>
    </w:p>
    <w:p>
      <w:pPr>
        <w:spacing w:line="336" w:lineRule="auto" w:before="0" w:after="80"/>
        <w:jc w:val="both"/>
      </w:pPr>
      <w:r>
        <w:rPr>
          <w:rFonts w:ascii="Times New Roman" w:hAnsi="Times New Roman" w:eastAsia="宋体"/>
          <w:b w:val="0"/>
          <w:i/>
          <w:sz w:val="21"/>
        </w:rPr>
        <w:t>赌徒求的不是赢，是那个还没揭晓的瞬间。市场每天都在批量生产这个瞬间。</w:t>
      </w:r>
    </w:p>
    <w:p>
      <w:pPr>
        <w:keepNext/>
        <w:spacing w:before="400" w:after="140" w:line="300" w:lineRule="auto"/>
      </w:pPr>
      <w:r>
        <w:rPr>
          <w:rFonts w:ascii="Arial" w:hAnsi="Arial" w:eastAsia="黑体"/>
          <w:b/>
          <w:i w:val="0"/>
          <w:sz w:val="32"/>
        </w:rPr>
        <w:t>七、拉康视角：欲望、幻想与市场的“大他者”</w:t>
      </w:r>
    </w:p>
    <w:p>
      <w:pPr>
        <w:spacing w:line="336" w:lineRule="auto" w:before="0" w:after="80"/>
        <w:ind w:firstLine="420"/>
        <w:jc w:val="both"/>
      </w:pPr>
      <w:r>
        <w:rPr>
          <w:rFonts w:ascii="Times New Roman" w:hAnsi="Times New Roman" w:eastAsia="宋体"/>
          <w:b w:val="0"/>
          <w:i w:val="0"/>
          <w:sz w:val="21"/>
        </w:rPr>
        <w:t>前六章的框架大多停在个体和群体心理上。本章换一个层次：结构与意识形态。拉康取向的价值在于它能碰一些行为金融根本够不着的问题——资本为什么要求无限增长，人们为什么明知某个叙事是假的还照做，货币为什么能成为一种被崇拜的东西。</w:t>
      </w:r>
    </w:p>
    <w:p>
      <w:pPr>
        <w:keepNext/>
        <w:spacing w:before="200" w:after="90" w:line="300" w:lineRule="auto"/>
      </w:pPr>
      <w:r>
        <w:rPr>
          <w:rFonts w:ascii="Arial" w:hAnsi="Arial" w:eastAsia="黑体"/>
          <w:b/>
          <w:i w:val="0"/>
          <w:sz w:val="27"/>
        </w:rPr>
        <w:t>7.1 为什么需要结构层面的分析</w:t>
      </w:r>
    </w:p>
    <w:p>
      <w:pPr>
        <w:spacing w:line="336" w:lineRule="auto" w:before="0" w:after="80"/>
        <w:ind w:firstLine="420"/>
        <w:jc w:val="both"/>
      </w:pPr>
      <w:r>
        <w:rPr>
          <w:rFonts w:ascii="Times New Roman" w:hAnsi="Times New Roman" w:eastAsia="宋体"/>
          <w:b w:val="0"/>
          <w:i w:val="0"/>
          <w:sz w:val="21"/>
        </w:rPr>
        <w:t>个体层面的解释有个天花板。它能把每个投资者的行为讲清楚，却答不了“系统为什么持续要求这种行为”。举个例：行为金融能解释个体为何过度自信，却解释不了整套制度安排——佣金结构、产品设计、绩效考核——为什么系统性地奖励过度交易。这类问题需要一种结构性的语言，拉康的话语理论是其中一种。</w:t>
      </w:r>
    </w:p>
    <w:p>
      <w:pPr>
        <w:keepNext/>
        <w:spacing w:before="200" w:after="90" w:line="300" w:lineRule="auto"/>
      </w:pPr>
      <w:r>
        <w:rPr>
          <w:rFonts w:ascii="Arial" w:hAnsi="Arial" w:eastAsia="黑体"/>
          <w:b/>
          <w:i w:val="0"/>
          <w:sz w:val="27"/>
        </w:rPr>
        <w:t>7.2 欲望作为转喻：填不满的主体</w:t>
      </w:r>
    </w:p>
    <w:p>
      <w:pPr>
        <w:spacing w:line="336" w:lineRule="auto" w:before="0" w:after="80"/>
        <w:ind w:firstLine="420"/>
        <w:jc w:val="both"/>
      </w:pPr>
      <w:r>
        <w:rPr>
          <w:rFonts w:ascii="Times New Roman" w:hAnsi="Times New Roman" w:eastAsia="宋体"/>
          <w:b w:val="0"/>
          <w:i w:val="0"/>
          <w:sz w:val="21"/>
        </w:rPr>
        <w:t>拉康把欲望定成“要求减去需要”，所以它注定填不满。金融里这个结构几乎是照着写的：赚到一笔，欲望不会平息，它沿着能指链滑向下一笔。孔明安在评 Žižek 的金融资本主义分析时，把这套逻辑说成“欲望主体”的悖论：主体同时装着匮乏与欲望、贪婪与恐惧，投机冲动就从这种结构里来[44]。</w:t>
      </w:r>
    </w:p>
    <w:p>
      <w:pPr>
        <w:spacing w:line="336" w:lineRule="auto" w:before="0" w:after="80"/>
        <w:ind w:firstLine="420"/>
        <w:jc w:val="both"/>
      </w:pPr>
      <w:r>
        <w:rPr>
          <w:rFonts w:ascii="Times New Roman" w:hAnsi="Times New Roman" w:eastAsia="宋体"/>
          <w:b w:val="0"/>
          <w:i w:val="0"/>
          <w:sz w:val="21"/>
        </w:rPr>
        <w:t>这个结构有个反直觉的推论。如果欲望的本质就是填不满，那“帮投资者满足欲望”这条路从根上就是错的。任何以“赚到某个数字就幸福”为前提的建议，在结构上都会失效。这跟 Kets de Vries 对贪婪的发展心理学描述走到了一处：缺口永远补不满[18]。</w:t>
      </w:r>
    </w:p>
    <w:p>
      <w:pPr>
        <w:keepNext/>
        <w:spacing w:before="200" w:after="90" w:line="300" w:lineRule="auto"/>
      </w:pPr>
      <w:r>
        <w:rPr>
          <w:rFonts w:ascii="Arial" w:hAnsi="Arial" w:eastAsia="黑体"/>
          <w:b/>
          <w:i w:val="0"/>
          <w:sz w:val="27"/>
        </w:rPr>
        <w:t>7.3 意识形态幻想与腐败交易</w:t>
      </w:r>
    </w:p>
    <w:p>
      <w:pPr>
        <w:spacing w:line="336" w:lineRule="auto" w:before="0" w:after="80"/>
        <w:ind w:firstLine="420"/>
        <w:jc w:val="both"/>
      </w:pPr>
      <w:r>
        <w:rPr>
          <w:rFonts w:ascii="Times New Roman" w:hAnsi="Times New Roman" w:eastAsia="宋体"/>
          <w:b w:val="0"/>
          <w:i w:val="0"/>
          <w:sz w:val="21"/>
        </w:rPr>
        <w:t>Pignot 用拉康的“意识形态幻想”分析了高盛 Abacus 交易里的邮件往来。他提出，交易员的腐败行为不只是道德败坏，而是一种“自逾越的享乐”（self-transgressive jouissance）：既给快感又自我破坏，用它去维系公司那套不可能的理想规范[17]。这是少数把拉康概念落到具体交易证据上的尝试，材料是真实的内部邮件，比纯理论推演有说服力得多。</w:t>
      </w:r>
    </w:p>
    <w:p>
      <w:pPr>
        <w:spacing w:line="336" w:lineRule="auto" w:before="0" w:after="80"/>
        <w:ind w:firstLine="420"/>
        <w:jc w:val="both"/>
      </w:pPr>
      <w:r>
        <w:rPr>
          <w:rFonts w:ascii="Times New Roman" w:hAnsi="Times New Roman" w:eastAsia="宋体"/>
          <w:b w:val="0"/>
          <w:i w:val="0"/>
          <w:sz w:val="21"/>
        </w:rPr>
        <w:t>它的方法论价值值得单说一句。它没有停在“金融从业者贪婪”这种浅结论上，而是用具体文本摆出一个逻辑：主体明知越界，却在这种越界里拿到维系组织规范所需的那股劲。所谓“意识形态幻想”，操作性含义就是这个：不是你不知道，是你的行动替你相信。</w:t>
      </w:r>
    </w:p>
    <w:p>
      <w:pPr>
        <w:keepNext/>
        <w:spacing w:before="200" w:after="90" w:line="300" w:lineRule="auto"/>
      </w:pPr>
      <w:r>
        <w:rPr>
          <w:rFonts w:ascii="Arial" w:hAnsi="Arial" w:eastAsia="黑体"/>
          <w:b/>
          <w:i w:val="0"/>
          <w:sz w:val="27"/>
        </w:rPr>
        <w:t>7.4 剩余享乐与资本主义话语</w:t>
      </w:r>
    </w:p>
    <w:p>
      <w:pPr>
        <w:spacing w:line="336" w:lineRule="auto" w:before="0" w:after="80"/>
        <w:ind w:firstLine="420"/>
        <w:jc w:val="both"/>
      </w:pPr>
      <w:r>
        <w:rPr>
          <w:rFonts w:ascii="Times New Roman" w:hAnsi="Times New Roman" w:eastAsia="宋体"/>
          <w:b w:val="0"/>
          <w:i w:val="0"/>
          <w:sz w:val="21"/>
        </w:rPr>
        <w:t>Žižek 的贡献是把拉康的“剩余享乐”接进马克思的政治经济学，主张当代资本主义已从生产主导转向金融投机主导，运作方式近似“对象 a”的机制[10][44][45]。陈剑梳理“资本主义恋物癖”时进一步指出：人们明知金钱、地位只是社会关系的折射，行为上却仍旧把它们当神来膜拜。这种“知而不信、信而不言”的自动化，就是商品恋物癖的当代形态[45]。</w:t>
      </w:r>
    </w:p>
    <w:p>
      <w:pPr>
        <w:spacing w:line="336" w:lineRule="auto" w:before="0" w:after="80"/>
        <w:ind w:firstLine="420"/>
        <w:jc w:val="both"/>
      </w:pPr>
      <w:r>
        <w:rPr>
          <w:rFonts w:ascii="Times New Roman" w:hAnsi="Times New Roman" w:eastAsia="宋体"/>
          <w:b w:val="0"/>
          <w:i w:val="0"/>
          <w:sz w:val="21"/>
        </w:rPr>
        <w:t>再往宏观走一步，Maher 用“自由市场作为幻想”解释新自由主义为什么有那么强的韧性[54]；Vanheule 则把拉康的“资本主义话语”整理了一遍，讨论它如何在主体层面被再生产[53]。这组工作合起来说明一件事：资本主义不只是一套资源配置机制，它同时在生产一套让人自愿配合的主体形式。</w:t>
      </w:r>
    </w:p>
    <w:p>
      <w:pPr>
        <w:keepNext/>
        <w:spacing w:before="200" w:after="90" w:line="300" w:lineRule="auto"/>
      </w:pPr>
      <w:r>
        <w:rPr>
          <w:rFonts w:ascii="Arial" w:hAnsi="Arial" w:eastAsia="黑体"/>
          <w:b/>
          <w:i w:val="0"/>
          <w:sz w:val="27"/>
        </w:rPr>
        <w:t>7.5 恋物癖：从商品到货币到比特币</w:t>
      </w:r>
    </w:p>
    <w:p>
      <w:pPr>
        <w:spacing w:line="336" w:lineRule="auto" w:before="0" w:after="80"/>
        <w:ind w:firstLine="420"/>
        <w:jc w:val="both"/>
      </w:pPr>
      <w:r>
        <w:rPr>
          <w:rFonts w:ascii="Times New Roman" w:hAnsi="Times New Roman" w:eastAsia="宋体"/>
          <w:b w:val="0"/>
          <w:i w:val="0"/>
          <w:sz w:val="21"/>
        </w:rPr>
        <w:t>Bjerg 用 Žižek 的“实在界/象征界/想象界”三元组分析了比特币的本体构成，给出一句漂亮的判词：比特币是没有黄金的商品货币、没有国家的法币、没有债务的信用货币[21]。这项研究的意义在于示范了一件事：三界框架能拿来分析具体货币现象，不必只做概念游戏。</w:t>
      </w:r>
    </w:p>
    <w:p>
      <w:pPr>
        <w:spacing w:line="336" w:lineRule="auto" w:before="0" w:after="80"/>
        <w:ind w:firstLine="420"/>
        <w:jc w:val="both"/>
      </w:pPr>
      <w:r>
        <w:rPr>
          <w:rFonts w:ascii="Times New Roman" w:hAnsi="Times New Roman" w:eastAsia="宋体"/>
          <w:b w:val="0"/>
          <w:i w:val="0"/>
          <w:sz w:val="21"/>
        </w:rPr>
        <w:t>把这条线接回货币理论。如果把货币当成纯粹的交换工具，就解释不了人对它的情感强度——囤积、崇拜，以及“某种货币要崩了”那种周期性恐慌。恋物癖这个概念在这儿的作用，是提醒货币从不是中性的符号，它是一个装着集体信仰与焦虑的对象。</w:t>
      </w:r>
    </w:p>
    <w:p>
      <w:pPr>
        <w:keepNext/>
        <w:spacing w:before="200" w:after="90" w:line="300" w:lineRule="auto"/>
      </w:pPr>
      <w:r>
        <w:rPr>
          <w:rFonts w:ascii="Arial" w:hAnsi="Arial" w:eastAsia="黑体"/>
          <w:b/>
          <w:i w:val="0"/>
          <w:sz w:val="27"/>
        </w:rPr>
        <w:t>7.6 工作场所中的主体</w:t>
      </w:r>
    </w:p>
    <w:p>
      <w:pPr>
        <w:spacing w:line="336" w:lineRule="auto" w:before="0" w:after="80"/>
        <w:ind w:firstLine="420"/>
        <w:jc w:val="both"/>
      </w:pPr>
      <w:r>
        <w:rPr>
          <w:rFonts w:ascii="Times New Roman" w:hAnsi="Times New Roman" w:eastAsia="宋体"/>
          <w:b w:val="0"/>
          <w:i w:val="0"/>
          <w:sz w:val="21"/>
        </w:rPr>
        <w:t>拉康取向还有一支把分析伸进了组织内部。Hoedemaekers 拿“绩效”当切口，分析金融与知识工作里主体如何被绩效话语建构[64]。这跟 Pignot 对交易台的观察正好互补：一个看个体如何在越界里获得享乐，一个看组织如何把绩效变成一种身份要求。两篇合起来，是对金融从业者心理的一套结构性描述。</w:t>
      </w:r>
    </w:p>
    <w:p>
      <w:pPr>
        <w:keepNext/>
        <w:spacing w:before="200" w:after="90" w:line="300" w:lineRule="auto"/>
      </w:pPr>
      <w:r>
        <w:rPr>
          <w:rFonts w:ascii="Arial" w:hAnsi="Arial" w:eastAsia="黑体"/>
          <w:b/>
          <w:i w:val="0"/>
          <w:sz w:val="27"/>
        </w:rPr>
        <w:t>7.7 定位与风险</w:t>
      </w:r>
    </w:p>
    <w:p>
      <w:pPr>
        <w:spacing w:line="336" w:lineRule="auto" w:before="0" w:after="80"/>
        <w:ind w:firstLine="420"/>
        <w:jc w:val="both"/>
      </w:pPr>
      <w:r>
        <w:rPr>
          <w:rFonts w:ascii="Times New Roman" w:hAnsi="Times New Roman" w:eastAsia="宋体"/>
          <w:b w:val="0"/>
          <w:i w:val="0"/>
          <w:sz w:val="21"/>
        </w:rPr>
        <w:t>拉康取向的长处是能处理结构与意识形态，这是行为金融完全够不着的层次。风险也一样明显：它太容易滑成对一切现象的万能解释，从而丢掉被反驳的可能。波普尔当年指控精神分析，核心就在这儿[41]。把拉康讲成“什么都能解释”，结果就是让它什么都不能反驳。</w:t>
      </w:r>
    </w:p>
    <w:p>
      <w:pPr>
        <w:keepNext/>
        <w:spacing w:line="336" w:lineRule="auto" w:before="0" w:after="80"/>
        <w:jc w:val="both"/>
      </w:pPr>
      <w:r>
        <w:rPr>
          <w:rFonts w:ascii="Times New Roman" w:hAnsi="Times New Roman" w:eastAsia="宋体"/>
          <w:b w:val="0"/>
          <w:i w:val="0"/>
          <w:color w:val="5A5A5A"/>
          <w:sz w:val="19"/>
        </w:rPr>
        <w:t>拉康这一章，留个问题在这儿。</w:t>
      </w:r>
    </w:p>
    <w:p>
      <w:pPr>
        <w:spacing w:line="336" w:lineRule="auto" w:before="0" w:after="80"/>
        <w:jc w:val="both"/>
      </w:pPr>
      <w:r>
        <w:rPr>
          <w:rFonts w:ascii="Times New Roman" w:hAnsi="Times New Roman" w:eastAsia="宋体"/>
          <w:b w:val="0"/>
          <w:i/>
          <w:sz w:val="21"/>
        </w:rPr>
        <w:t>市场不缺故事，缺的是弄明白：明知是故事，为什么还要往里投钱。</w:t>
      </w:r>
    </w:p>
    <w:p>
      <w:pPr>
        <w:keepNext/>
        <w:spacing w:before="400" w:after="140" w:line="300" w:lineRule="auto"/>
      </w:pPr>
      <w:r>
        <w:rPr>
          <w:rFonts w:ascii="Arial" w:hAnsi="Arial" w:eastAsia="黑体"/>
          <w:b/>
          <w:i w:val="0"/>
          <w:sz w:val="32"/>
        </w:rPr>
        <w:t>八、实证与证据层：精神分析的主张如何被检验</w:t>
      </w:r>
    </w:p>
    <w:p>
      <w:pPr>
        <w:spacing w:line="336" w:lineRule="auto" w:before="0" w:after="80"/>
        <w:ind w:firstLine="420"/>
        <w:jc w:val="both"/>
      </w:pPr>
      <w:r>
        <w:rPr>
          <w:rFonts w:ascii="Times New Roman" w:hAnsi="Times New Roman" w:eastAsia="宋体"/>
          <w:b w:val="0"/>
          <w:i w:val="0"/>
          <w:sz w:val="21"/>
        </w:rPr>
        <w:t>前七章铺的都是理论。本章做一件更不讨喜、却更必要的事：把每一条主张放上证据的天平。称出来的结果不算好看，但只有说清楚，这个领域才谈得上下一步。</w:t>
      </w:r>
    </w:p>
    <w:p>
      <w:pPr>
        <w:keepNext/>
        <w:spacing w:before="200" w:after="90" w:line="300" w:lineRule="auto"/>
      </w:pPr>
      <w:r>
        <w:rPr>
          <w:rFonts w:ascii="Arial" w:hAnsi="Arial" w:eastAsia="黑体"/>
          <w:b/>
          <w:i w:val="0"/>
          <w:sz w:val="27"/>
        </w:rPr>
        <w:t>8.1 质性证据：访谈与临床</w:t>
      </w:r>
    </w:p>
    <w:p>
      <w:pPr>
        <w:spacing w:line="336" w:lineRule="auto" w:before="0" w:after="80"/>
        <w:ind w:firstLine="420"/>
        <w:jc w:val="both"/>
      </w:pPr>
      <w:r>
        <w:rPr>
          <w:rFonts w:ascii="Times New Roman" w:hAnsi="Times New Roman" w:eastAsia="宋体"/>
          <w:b w:val="0"/>
          <w:i w:val="0"/>
          <w:sz w:val="21"/>
        </w:rPr>
        <w:t>情绪金融的实证主要靠深度访谈。McDonnell 的 21 人访谈是其中样本较完整的一份。他把幻觉客体、社会防御、基本假设、效价、脆弱性编成动力因素，再从精神动力学角度解释前景理论里的风险偏好翻转[23]。这类研究的长处是能抓住意义结构，短处是样本小、别人难以重复、结论受访谈者和编码者影响。</w:t>
      </w:r>
    </w:p>
    <w:p>
      <w:pPr>
        <w:spacing w:line="336" w:lineRule="auto" w:before="0" w:after="80"/>
        <w:ind w:firstLine="420"/>
        <w:jc w:val="both"/>
      </w:pPr>
      <w:r>
        <w:rPr>
          <w:rFonts w:ascii="Times New Roman" w:hAnsi="Times New Roman" w:eastAsia="宋体"/>
          <w:b w:val="0"/>
          <w:i w:val="0"/>
          <w:sz w:val="21"/>
        </w:rPr>
        <w:t>质性研究还有个更麻烦的问题。它很难分清“投资者真的具备这些无意识结构”，和“投资者在被访谈时用这套语言描述自己”。前者是心理事实，后者是叙事事实。两种读法会把后续解释引向完全不同的方向。</w:t>
      </w:r>
    </w:p>
    <w:p>
      <w:pPr>
        <w:keepNext/>
        <w:spacing w:before="200" w:after="90" w:line="300" w:lineRule="auto"/>
      </w:pPr>
      <w:r>
        <w:rPr>
          <w:rFonts w:ascii="Arial" w:hAnsi="Arial" w:eastAsia="黑体"/>
          <w:b/>
          <w:i w:val="0"/>
          <w:sz w:val="27"/>
        </w:rPr>
        <w:t>8.2 神经金融与躯体标记</w:t>
      </w:r>
    </w:p>
    <w:p>
      <w:pPr>
        <w:spacing w:line="336" w:lineRule="auto" w:before="0" w:after="80"/>
        <w:ind w:firstLine="420"/>
        <w:jc w:val="both"/>
      </w:pPr>
      <w:r>
        <w:rPr>
          <w:rFonts w:ascii="Times New Roman" w:hAnsi="Times New Roman" w:eastAsia="宋体"/>
          <w:b w:val="0"/>
          <w:i w:val="0"/>
          <w:sz w:val="21"/>
        </w:rPr>
        <w:t>达马西奥的躯体标记假说主张，身体状态信号（比如皮肤电反应）会给决策“打标”，情绪因此不是理性的对立面，而是复杂不确定情境下决策的必要一环[33]。这条思路被搬进了交易研究。有实验测了 30 名被试在交易博弈里的预期性情绪（皮肤电），发现它跟交易表现显著相关，相关方向却取决于标的价格的走势：情绪说不上全好或全坏，它是看情境的[35]。</w:t>
      </w:r>
    </w:p>
    <w:p>
      <w:pPr>
        <w:spacing w:line="336" w:lineRule="auto" w:before="0" w:after="80"/>
        <w:ind w:firstLine="420"/>
        <w:jc w:val="both"/>
      </w:pPr>
      <w:r>
        <w:rPr>
          <w:rFonts w:ascii="Times New Roman" w:hAnsi="Times New Roman" w:eastAsia="宋体"/>
          <w:b w:val="0"/>
          <w:i w:val="0"/>
          <w:sz w:val="21"/>
        </w:rPr>
        <w:t>这里也得泼一盆冷水。躯体标记假说挨过很重的批评。Dunn 等人指出，它的证据主要来自爱荷华赌博任务，而这个任务的奖励结构能被认知穿透，心理生理数据的解释也含混，更缺外周反馈与任务表现之间的因果证据[34]。换句话说，走到神经这一层，地基也没那么牢。中文语境的普及读物倒是把“大脑把股市当成原始森林”这类神经金融解释讲给了普通投资者[46]。</w:t>
      </w:r>
    </w:p>
    <w:p>
      <w:pPr>
        <w:keepNext/>
        <w:spacing w:before="200" w:after="90" w:line="300" w:lineRule="auto"/>
      </w:pPr>
      <w:r>
        <w:rPr>
          <w:rFonts w:ascii="Arial" w:hAnsi="Arial" w:eastAsia="黑体"/>
          <w:b/>
          <w:i w:val="0"/>
          <w:sz w:val="27"/>
        </w:rPr>
        <w:t>8.3 情绪的可测量化</w:t>
      </w:r>
    </w:p>
    <w:p>
      <w:pPr>
        <w:spacing w:line="336" w:lineRule="auto" w:before="0" w:after="80"/>
        <w:ind w:firstLine="420"/>
        <w:jc w:val="both"/>
      </w:pPr>
      <w:r>
        <w:rPr>
          <w:rFonts w:ascii="Times New Roman" w:hAnsi="Times New Roman" w:eastAsia="宋体"/>
          <w:b w:val="0"/>
          <w:i w:val="0"/>
          <w:sz w:val="21"/>
        </w:rPr>
        <w:t>行为与资产定价文献一直在试着把情绪变成因子。有研究用情绪的异质波动率（EMO）度量行为唤醒风险，发现它跟横截面收益相关，并认为来源是噪音交易而不是知情交易[38]；也有研究把行为异质性塞进情绪指标，发现情绪跟收益的肥尾、波动聚集这些异象相关，还能在模型里复现不同类型的危机[39]。</w:t>
      </w:r>
    </w:p>
    <w:p>
      <w:pPr>
        <w:spacing w:line="336" w:lineRule="auto" w:before="0" w:after="80"/>
        <w:ind w:firstLine="420"/>
        <w:jc w:val="both"/>
      </w:pPr>
      <w:r>
        <w:rPr>
          <w:rFonts w:ascii="Times New Roman" w:hAnsi="Times New Roman" w:eastAsia="宋体"/>
          <w:b w:val="0"/>
          <w:i w:val="0"/>
          <w:sz w:val="21"/>
        </w:rPr>
        <w:t>预印本层面，情绪与市场的关系被处理得更工程化。有研究从社交媒体文本里抽投资者情绪，看它跟企业财报公告、IPO 收益之间是什么关系[60][61]；也有研究直接检验在线情绪对中国股市波动与收益的因果与预测关系[59][63]。这些工作跟精神分析没有直接血缘，但它们的度量思路，正是情绪金融想被检验时必须借的工具。另外，Forbes 直接讨论过无意识思维如何既推动、又拖住良好的财务决策[55]，Dow 则把凯恩斯、明斯基与情绪金融放进同一个框架比较[56]。</w:t>
      </w:r>
    </w:p>
    <w:p>
      <w:pPr>
        <w:keepNext/>
        <w:spacing w:before="200" w:after="90" w:line="300" w:lineRule="auto"/>
      </w:pPr>
      <w:r>
        <w:rPr>
          <w:rFonts w:ascii="Arial" w:hAnsi="Arial" w:eastAsia="黑体"/>
          <w:b/>
          <w:i w:val="0"/>
          <w:sz w:val="27"/>
        </w:rPr>
        <w:t>8.4 交易成瘾的流行病学</w:t>
      </w:r>
    </w:p>
    <w:p>
      <w:pPr>
        <w:spacing w:line="336" w:lineRule="auto" w:before="0" w:after="80"/>
        <w:ind w:firstLine="420"/>
        <w:jc w:val="both"/>
      </w:pPr>
      <w:r>
        <w:rPr>
          <w:rFonts w:ascii="Times New Roman" w:hAnsi="Times New Roman" w:eastAsia="宋体"/>
          <w:b w:val="0"/>
          <w:i w:val="0"/>
          <w:sz w:val="21"/>
        </w:rPr>
        <w:t>这是全领域证据最硬的一块。诊断标准可移植[36][37]，患病率能统计，共病和后果能追踪。它给精神分析式解释提供了一块落地的“地面”：如果心理动力机制真存在，它就该在这些可观测的临床人群里留下痕迹。从“金融市场与赌博市场可比性”这个角度，也有研究直接把两者做了结构比较[62]。</w:t>
      </w:r>
    </w:p>
    <w:p>
      <w:pPr>
        <w:keepNext/>
        <w:spacing w:before="200" w:after="90" w:line="300" w:lineRule="auto"/>
      </w:pPr>
      <w:r>
        <w:rPr>
          <w:rFonts w:ascii="Arial" w:hAnsi="Arial" w:eastAsia="黑体"/>
          <w:b/>
          <w:i w:val="0"/>
          <w:sz w:val="27"/>
        </w:rPr>
        <w:t>8.5 证据强度怎么排</w:t>
      </w:r>
    </w:p>
    <w:p>
      <w:pPr>
        <w:spacing w:line="336" w:lineRule="auto" w:before="0" w:after="80"/>
        <w:ind w:firstLine="420"/>
        <w:jc w:val="both"/>
      </w:pPr>
      <w:r>
        <w:rPr>
          <w:rFonts w:ascii="Times New Roman" w:hAnsi="Times New Roman" w:eastAsia="宋体"/>
          <w:b w:val="0"/>
          <w:i w:val="0"/>
          <w:sz w:val="21"/>
        </w:rPr>
        <w:t>本章不给精确分数，只按四条粗原则排序：</w:t>
      </w:r>
      <w:r>
        <w:rPr>
          <w:rFonts w:ascii="Times New Roman" w:hAnsi="Times New Roman" w:eastAsia="宋体"/>
          <w:b/>
          <w:i w:val="0"/>
          <w:sz w:val="21"/>
        </w:rPr>
        <w:t>可重复</w:t>
      </w:r>
      <w:r>
        <w:rPr>
          <w:rFonts w:ascii="Times New Roman" w:hAnsi="Times New Roman" w:eastAsia="宋体"/>
          <w:b w:val="0"/>
          <w:i w:val="0"/>
          <w:sz w:val="21"/>
        </w:rPr>
        <w:t>——有没有多组独立研究得到一致结果；</w:t>
      </w:r>
      <w:r>
        <w:rPr>
          <w:rFonts w:ascii="Times New Roman" w:hAnsi="Times New Roman" w:eastAsia="宋体"/>
          <w:b/>
          <w:i w:val="0"/>
          <w:sz w:val="21"/>
        </w:rPr>
        <w:t>可测量</w:t>
      </w:r>
      <w:r>
        <w:rPr>
          <w:rFonts w:ascii="Times New Roman" w:hAnsi="Times New Roman" w:eastAsia="宋体"/>
          <w:b w:val="0"/>
          <w:i w:val="0"/>
          <w:sz w:val="21"/>
        </w:rPr>
        <w:t>——核心变量有没有标准化；</w:t>
      </w:r>
      <w:r>
        <w:rPr>
          <w:rFonts w:ascii="Times New Roman" w:hAnsi="Times New Roman" w:eastAsia="宋体"/>
          <w:b/>
          <w:i w:val="0"/>
          <w:sz w:val="21"/>
        </w:rPr>
        <w:t>因果</w:t>
      </w:r>
      <w:r>
        <w:rPr>
          <w:rFonts w:ascii="Times New Roman" w:hAnsi="Times New Roman" w:eastAsia="宋体"/>
          <w:b w:val="0"/>
          <w:i w:val="0"/>
          <w:sz w:val="21"/>
        </w:rPr>
        <w:t>——有没有超出相关性的证据；</w:t>
      </w:r>
      <w:r>
        <w:rPr>
          <w:rFonts w:ascii="Times New Roman" w:hAnsi="Times New Roman" w:eastAsia="宋体"/>
          <w:b/>
          <w:i w:val="0"/>
          <w:sz w:val="21"/>
        </w:rPr>
        <w:t>可外推</w:t>
      </w:r>
      <w:r>
        <w:rPr>
          <w:rFonts w:ascii="Times New Roman" w:hAnsi="Times New Roman" w:eastAsia="宋体"/>
          <w:b w:val="0"/>
          <w:i w:val="0"/>
          <w:sz w:val="21"/>
        </w:rPr>
        <w:t>——结论有没有超出原始样本。照这四条排下来：交易成瘾与赌博重合最强；情绪影响决策中等；躯体标记的具体机制有争议；群体层面的“市场作为心理群体”理论强、实证弱；幻觉客体与分阶段投资理论丰富、操作化不足；拉康式结构解释思辨性最强。逐条评级见附录 C。</w:t>
      </w:r>
    </w:p>
    <w:p>
      <w:pPr>
        <w:keepNext/>
        <w:spacing w:before="200" w:after="90" w:line="300" w:lineRule="auto"/>
      </w:pPr>
      <w:r>
        <w:rPr>
          <w:rFonts w:ascii="Arial" w:hAnsi="Arial" w:eastAsia="黑体"/>
          <w:b/>
          <w:i w:val="0"/>
          <w:sz w:val="27"/>
        </w:rPr>
        <w:t>8.6 复现性</w:t>
      </w:r>
    </w:p>
    <w:p>
      <w:pPr>
        <w:spacing w:line="336" w:lineRule="auto" w:before="0" w:after="80"/>
        <w:ind w:firstLine="420"/>
        <w:jc w:val="both"/>
      </w:pPr>
      <w:r>
        <w:rPr>
          <w:rFonts w:ascii="Times New Roman" w:hAnsi="Times New Roman" w:eastAsia="宋体"/>
          <w:b w:val="0"/>
          <w:i w:val="0"/>
          <w:sz w:val="21"/>
        </w:rPr>
        <w:t>整个交叉领域共享一个复现难题。质性研究和案例研究几乎没法被严格复制，因为结论依赖研究者怎么解读素材。这不是这个领域独有的麻烦，但在这儿更严重，因为核心概念本身就抗拒标准化测量。认下这一点，比拿一堆“深度案例”堆可信度要诚实。</w:t>
      </w:r>
    </w:p>
    <w:p>
      <w:pPr>
        <w:keepNext/>
        <w:spacing w:before="200" w:after="90" w:line="300" w:lineRule="auto"/>
      </w:pPr>
      <w:r>
        <w:rPr>
          <w:rFonts w:ascii="Arial" w:hAnsi="Arial" w:eastAsia="黑体"/>
          <w:b/>
          <w:i w:val="0"/>
          <w:sz w:val="27"/>
        </w:rPr>
        <w:t>8.7 小结</w:t>
      </w:r>
    </w:p>
    <w:p>
      <w:pPr>
        <w:spacing w:line="336" w:lineRule="auto" w:before="0" w:after="80"/>
        <w:ind w:firstLine="420"/>
        <w:jc w:val="both"/>
      </w:pPr>
      <w:r>
        <w:rPr>
          <w:rFonts w:ascii="Times New Roman" w:hAnsi="Times New Roman" w:eastAsia="宋体"/>
          <w:b w:val="0"/>
          <w:i w:val="0"/>
          <w:sz w:val="21"/>
        </w:rPr>
        <w:t>精神分析的实证困境，一句话能说清：越靠近无意识核心的主张，越难找到干净的可观测对应物；越好测量的部分，越靠近行为金融已有的结论。这个“测不准”不是技术问题，是概念的本性。</w:t>
      </w:r>
    </w:p>
    <w:p>
      <w:pPr>
        <w:keepNext/>
        <w:spacing w:line="336" w:lineRule="auto" w:before="0" w:after="80"/>
        <w:jc w:val="both"/>
      </w:pPr>
      <w:r>
        <w:rPr>
          <w:rFonts w:ascii="Times New Roman" w:hAnsi="Times New Roman" w:eastAsia="宋体"/>
          <w:b w:val="0"/>
          <w:i w:val="0"/>
          <w:color w:val="5A5A5A"/>
          <w:sz w:val="19"/>
        </w:rPr>
        <w:t>称完这些证据，只剩一句。</w:t>
      </w:r>
    </w:p>
    <w:p>
      <w:pPr>
        <w:spacing w:line="336" w:lineRule="auto" w:before="0" w:after="80"/>
        <w:jc w:val="both"/>
      </w:pPr>
      <w:r>
        <w:rPr>
          <w:rFonts w:ascii="Times New Roman" w:hAnsi="Times New Roman" w:eastAsia="宋体"/>
          <w:b w:val="0"/>
          <w:i/>
          <w:sz w:val="21"/>
        </w:rPr>
        <w:t>一条解释要有分量，就得付得起被反证的代价。</w:t>
      </w:r>
    </w:p>
    <w:p>
      <w:pPr>
        <w:keepNext/>
        <w:spacing w:before="400" w:after="140" w:line="300" w:lineRule="auto"/>
      </w:pPr>
      <w:r>
        <w:rPr>
          <w:rFonts w:ascii="Arial" w:hAnsi="Arial" w:eastAsia="黑体"/>
          <w:b/>
          <w:i w:val="0"/>
          <w:sz w:val="32"/>
        </w:rPr>
        <w:t>九、方法论批判：科学地位与边界</w:t>
      </w:r>
    </w:p>
    <w:p>
      <w:pPr>
        <w:spacing w:line="336" w:lineRule="auto" w:before="0" w:after="80"/>
        <w:ind w:firstLine="420"/>
        <w:jc w:val="both"/>
      </w:pPr>
      <w:r>
        <w:rPr>
          <w:rFonts w:ascii="Times New Roman" w:hAnsi="Times New Roman" w:eastAsia="宋体"/>
          <w:b w:val="0"/>
          <w:i w:val="0"/>
          <w:sz w:val="21"/>
        </w:rPr>
        <w:t>前八章已经好几次碰到科学性问题，本章正面处理。对精神分析在金融里的应用来说，方法论批判不是外人来砸场子，是它自己保持健康的必要条件。</w:t>
      </w:r>
    </w:p>
    <w:p>
      <w:pPr>
        <w:keepNext/>
        <w:spacing w:before="200" w:after="90" w:line="300" w:lineRule="auto"/>
      </w:pPr>
      <w:r>
        <w:rPr>
          <w:rFonts w:ascii="Arial" w:hAnsi="Arial" w:eastAsia="黑体"/>
          <w:b/>
          <w:i w:val="0"/>
          <w:sz w:val="27"/>
        </w:rPr>
        <w:t>9.1 波普尔的质疑</w:t>
      </w:r>
    </w:p>
    <w:p>
      <w:pPr>
        <w:spacing w:line="336" w:lineRule="auto" w:before="0" w:after="80"/>
        <w:ind w:firstLine="420"/>
        <w:jc w:val="both"/>
      </w:pPr>
      <w:r>
        <w:rPr>
          <w:rFonts w:ascii="Times New Roman" w:hAnsi="Times New Roman" w:eastAsia="宋体"/>
          <w:b w:val="0"/>
          <w:i w:val="0"/>
          <w:sz w:val="21"/>
        </w:rPr>
        <w:t>波普尔拿可证伪性当科学与非科学的分界线，并把精神分析（连同马克思主义历史观）列为“跟一切可能观察都相容、因而不可能证伪”的样板[41]。这个批评对本文的主题是要害：如果精神分析的解释永远能跟任何结果自洽，那它对金融研究的贡献就只能停在事后叙事上。</w:t>
      </w:r>
    </w:p>
    <w:p>
      <w:pPr>
        <w:spacing w:line="336" w:lineRule="auto" w:before="0" w:after="80"/>
        <w:ind w:firstLine="420"/>
        <w:jc w:val="both"/>
      </w:pPr>
      <w:r>
        <w:rPr>
          <w:rFonts w:ascii="Times New Roman" w:hAnsi="Times New Roman" w:eastAsia="宋体"/>
          <w:b w:val="0"/>
          <w:i w:val="0"/>
          <w:sz w:val="21"/>
        </w:rPr>
        <w:t>不过波普尔这个判断本身也有问题。他针对的主要是阿德勒式的“万能解释”倾向。弗洛伊德那些具体的临床预测——比如压抑对症状有没有因果作用——到底能不能检验，他判断得太粗。格林鲍姆的批评，就是从这儿切进去的。</w:t>
      </w:r>
    </w:p>
    <w:p>
      <w:pPr>
        <w:keepNext/>
        <w:spacing w:before="200" w:after="90" w:line="300" w:lineRule="auto"/>
      </w:pPr>
      <w:r>
        <w:rPr>
          <w:rFonts w:ascii="Arial" w:hAnsi="Arial" w:eastAsia="黑体"/>
          <w:b/>
          <w:i w:val="0"/>
          <w:sz w:val="27"/>
        </w:rPr>
        <w:t>9.2 格林鲍姆的补刀</w:t>
      </w:r>
    </w:p>
    <w:p>
      <w:pPr>
        <w:spacing w:line="336" w:lineRule="auto" w:before="0" w:after="80"/>
        <w:ind w:firstLine="420"/>
        <w:jc w:val="both"/>
      </w:pPr>
      <w:r>
        <w:rPr>
          <w:rFonts w:ascii="Times New Roman" w:hAnsi="Times New Roman" w:eastAsia="宋体"/>
          <w:b w:val="0"/>
          <w:i w:val="0"/>
          <w:sz w:val="21"/>
        </w:rPr>
        <w:t>格林鲍姆比波普尔更狠，可他也不认同波普尔说对了。他说弗洛伊德其实做过可检验的预测，问题不在可证伪性，在证据价值：临床素材很可能就是分析师自我实现预期的产物，自由联想并没有真正支持无意识动机理论。他主张，要检验精神分析的核心主张，必须靠设计良好的“临床之外”的研究[42][43]。这话给本文指了路：精神分析要在金融里站住，靠的不是更多案例，是更多独立、可重复的实证。</w:t>
      </w:r>
    </w:p>
    <w:p>
      <w:pPr>
        <w:keepNext/>
        <w:spacing w:before="200" w:after="90" w:line="300" w:lineRule="auto"/>
      </w:pPr>
      <w:r>
        <w:rPr>
          <w:rFonts w:ascii="Arial" w:hAnsi="Arial" w:eastAsia="黑体"/>
          <w:b/>
          <w:i w:val="0"/>
          <w:sz w:val="27"/>
        </w:rPr>
        <w:t>9.3 解释学转向与代价</w:t>
      </w:r>
    </w:p>
    <w:p>
      <w:pPr>
        <w:spacing w:line="336" w:lineRule="auto" w:before="0" w:after="80"/>
        <w:ind w:firstLine="420"/>
        <w:jc w:val="both"/>
      </w:pPr>
      <w:r>
        <w:rPr>
          <w:rFonts w:ascii="Times New Roman" w:hAnsi="Times New Roman" w:eastAsia="宋体"/>
          <w:b w:val="0"/>
          <w:i w:val="0"/>
          <w:sz w:val="21"/>
        </w:rPr>
        <w:t>面对科学性质疑，精神分析内部曾退过一步：把精神分析理解成解释学，不是自然科学，说它的目标不是因果解释，是意义理解。这一步能让精神分析免于可证伪性的要求，可代价同步付掉了——它也放弃了在金融这类实证领域提出可检验主张的资格。</w:t>
      </w:r>
    </w:p>
    <w:p>
      <w:pPr>
        <w:spacing w:line="336" w:lineRule="auto" w:before="0" w:after="80"/>
        <w:ind w:firstLine="420"/>
        <w:jc w:val="both"/>
      </w:pPr>
      <w:r>
        <w:rPr>
          <w:rFonts w:ascii="Times New Roman" w:hAnsi="Times New Roman" w:eastAsia="宋体"/>
          <w:b w:val="0"/>
          <w:i w:val="0"/>
          <w:sz w:val="21"/>
        </w:rPr>
        <w:t>对本文来说，接受解释学定位是危险的。它实际上把精神分析从金融研究的主流议程里请了出去。更务实的做法是：承认有一部分主张确实不可证伪，只把可证伪的那部分带进金融研究，并且明说哪些部分被排除在外。</w:t>
      </w:r>
    </w:p>
    <w:p>
      <w:pPr>
        <w:keepNext/>
        <w:spacing w:before="200" w:after="90" w:line="300" w:lineRule="auto"/>
      </w:pPr>
      <w:r>
        <w:rPr>
          <w:rFonts w:ascii="Arial" w:hAnsi="Arial" w:eastAsia="黑体"/>
          <w:b/>
          <w:i w:val="0"/>
          <w:sz w:val="27"/>
        </w:rPr>
        <w:t>9.4 情绪金融能不能被证伪</w:t>
      </w:r>
    </w:p>
    <w:p>
      <w:pPr>
        <w:spacing w:line="336" w:lineRule="auto" w:before="0" w:after="80"/>
        <w:ind w:firstLine="420"/>
        <w:jc w:val="both"/>
      </w:pPr>
      <w:r>
        <w:rPr>
          <w:rFonts w:ascii="Times New Roman" w:hAnsi="Times New Roman" w:eastAsia="宋体"/>
          <w:b w:val="0"/>
          <w:i w:val="0"/>
          <w:sz w:val="21"/>
        </w:rPr>
        <w:t>把情绪金融的核心主张翻成能反驳的命题，是做得到的。假设“幻觉客体”真存在，那在资产坐进这个位置的期间，负面信息的定价速度就该明显慢于中性时期，等它被“去幻觉化”之后，这个差异又该消失。假设“分阶段投资”是一个真实状态，它就该跟可测的心理指标挂钩，比如矛盾情感的容忍度、持仓集中度的时间序列。这些命题原则上都能验，关键是有没有人真去做。</w:t>
      </w:r>
    </w:p>
    <w:p>
      <w:pPr>
        <w:keepNext/>
        <w:spacing w:before="200" w:after="90" w:line="300" w:lineRule="auto"/>
      </w:pPr>
      <w:r>
        <w:rPr>
          <w:rFonts w:ascii="Arial" w:hAnsi="Arial" w:eastAsia="黑体"/>
          <w:b/>
          <w:i w:val="0"/>
          <w:sz w:val="27"/>
        </w:rPr>
        <w:t>9.5 与行为金融的分工</w:t>
      </w:r>
    </w:p>
    <w:p>
      <w:pPr>
        <w:spacing w:line="336" w:lineRule="auto" w:before="0" w:after="80"/>
        <w:ind w:firstLine="420"/>
        <w:jc w:val="both"/>
      </w:pPr>
      <w:r>
        <w:rPr>
          <w:rFonts w:ascii="Times New Roman" w:hAnsi="Times New Roman" w:eastAsia="宋体"/>
          <w:b w:val="0"/>
          <w:i w:val="0"/>
          <w:sz w:val="21"/>
        </w:rPr>
        <w:t>一个务实的判断是：精神分析跟行为金融不是替代关系，是分工关系。行为金融擅长刻画偏差的形态与统计规律，精神分析擅长解释偏差的动力学来源与重复性。把前者当预测引擎，把后者当机制假说的仓库，比硬让精神分析去做它不擅长的预测要诚实。这也给出一条评价标准：精神分析式研究好不好，不看它讲得多深刻，看它有没有给行为金融提出更好的问题。</w:t>
      </w:r>
    </w:p>
    <w:p>
      <w:pPr>
        <w:keepNext/>
        <w:spacing w:before="200" w:after="90" w:line="300" w:lineRule="auto"/>
      </w:pPr>
      <w:r>
        <w:rPr>
          <w:rFonts w:ascii="Arial" w:hAnsi="Arial" w:eastAsia="黑体"/>
          <w:b/>
          <w:i w:val="0"/>
          <w:sz w:val="27"/>
        </w:rPr>
        <w:t>9.6 过度解读的风险清单</w:t>
      </w:r>
    </w:p>
    <w:p>
      <w:pPr>
        <w:spacing w:line="336" w:lineRule="auto" w:after="50"/>
        <w:ind w:left="420" w:hanging="210"/>
      </w:pPr>
      <w:r>
        <w:rPr>
          <w:rFonts w:ascii="Times New Roman" w:hAnsi="Times New Roman" w:eastAsia="宋体"/>
          <w:b w:val="0"/>
          <w:i w:val="0"/>
          <w:sz w:val="21"/>
        </w:rPr>
        <w:t>— 把一切亏损都解释成“无意识求输”，会取消对纪律、成本、技能的严肃讨论。</w:t>
      </w:r>
    </w:p>
    <w:p>
      <w:pPr>
        <w:spacing w:line="336" w:lineRule="auto" w:after="50"/>
        <w:ind w:left="420" w:hanging="210"/>
      </w:pPr>
      <w:r>
        <w:rPr>
          <w:rFonts w:ascii="Times New Roman" w:hAnsi="Times New Roman" w:eastAsia="宋体"/>
          <w:b w:val="0"/>
          <w:i w:val="0"/>
          <w:sz w:val="21"/>
        </w:rPr>
        <w:t>— 把市场说成“一个大主体”，会掩盖异质性——不同交易者的心理结构并不相同。</w:t>
      </w:r>
    </w:p>
    <w:p>
      <w:pPr>
        <w:spacing w:line="336" w:lineRule="auto" w:after="50"/>
        <w:ind w:left="420" w:hanging="210"/>
      </w:pPr>
      <w:r>
        <w:rPr>
          <w:rFonts w:ascii="Times New Roman" w:hAnsi="Times New Roman" w:eastAsia="宋体"/>
          <w:b w:val="0"/>
          <w:i w:val="0"/>
          <w:sz w:val="21"/>
        </w:rPr>
        <w:t>— 用拉康术语解释一切，等于什么都没解释。万能解释是理论退化的标志。</w:t>
      </w:r>
    </w:p>
    <w:p>
      <w:pPr>
        <w:spacing w:line="336" w:lineRule="auto" w:after="50"/>
        <w:ind w:left="420" w:hanging="210"/>
      </w:pPr>
      <w:r>
        <w:rPr>
          <w:rFonts w:ascii="Times New Roman" w:hAnsi="Times New Roman" w:eastAsia="宋体"/>
          <w:b w:val="0"/>
          <w:i w:val="0"/>
          <w:sz w:val="21"/>
        </w:rPr>
        <w:t>— 把临床概念不加改造地搬进市场，容易产出“看着深刻、其实不可操作”的结论。</w:t>
      </w:r>
    </w:p>
    <w:p>
      <w:pPr>
        <w:spacing w:line="336" w:lineRule="auto" w:after="50"/>
        <w:ind w:left="420" w:hanging="210"/>
      </w:pPr>
      <w:r>
        <w:rPr>
          <w:rFonts w:ascii="Times New Roman" w:hAnsi="Times New Roman" w:eastAsia="宋体"/>
          <w:b w:val="0"/>
          <w:i w:val="0"/>
          <w:sz w:val="21"/>
        </w:rPr>
        <w:t>— 忽略反方证据（比如躯体标记挨的批评、弗洛伊德自罚解释的边缘化），会高估证据强度。</w:t>
      </w:r>
    </w:p>
    <w:p>
      <w:pPr>
        <w:spacing w:line="336" w:lineRule="auto" w:after="50"/>
        <w:ind w:left="420" w:hanging="210"/>
      </w:pPr>
      <w:r>
        <w:rPr>
          <w:rFonts w:ascii="Times New Roman" w:hAnsi="Times New Roman" w:eastAsia="宋体"/>
          <w:b w:val="0"/>
          <w:i w:val="0"/>
          <w:sz w:val="21"/>
        </w:rPr>
        <w:t>— 把“解释得好”当成“说得对”，是这个领域最常见、也最难自察的错。</w:t>
      </w:r>
    </w:p>
    <w:p>
      <w:pPr>
        <w:keepNext/>
        <w:spacing w:before="200" w:after="90" w:line="300" w:lineRule="auto"/>
      </w:pPr>
      <w:r>
        <w:rPr>
          <w:rFonts w:ascii="Arial" w:hAnsi="Arial" w:eastAsia="黑体"/>
          <w:b/>
          <w:i w:val="0"/>
          <w:sz w:val="27"/>
        </w:rPr>
        <w:t>9.7 预注册与可复现</w:t>
      </w:r>
    </w:p>
    <w:p>
      <w:pPr>
        <w:spacing w:line="336" w:lineRule="auto" w:before="0" w:after="80"/>
        <w:ind w:firstLine="420"/>
        <w:jc w:val="both"/>
      </w:pPr>
      <w:r>
        <w:rPr>
          <w:rFonts w:ascii="Times New Roman" w:hAnsi="Times New Roman" w:eastAsia="宋体"/>
          <w:b w:val="0"/>
          <w:i w:val="0"/>
          <w:sz w:val="21"/>
        </w:rPr>
        <w:t>要把这个领域推向可检验，最直接的手段是预注册：收集数据之前，先把假设、变量定义、分析计划、证伪条件写下来。对情绪金融这类概念先行、解释弹性大的研究，这一步尤其要紧，因为它最大的风险就是事后叙事。预注册保证不了结论正确，但它能保证结论不是事后编出来的。</w:t>
      </w:r>
    </w:p>
    <w:p>
      <w:pPr>
        <w:keepNext/>
        <w:spacing w:before="200" w:after="90" w:line="300" w:lineRule="auto"/>
      </w:pPr>
      <w:r>
        <w:rPr>
          <w:rFonts w:ascii="Arial" w:hAnsi="Arial" w:eastAsia="黑体"/>
          <w:b/>
          <w:i w:val="0"/>
          <w:sz w:val="27"/>
        </w:rPr>
        <w:t>9.8 小结</w:t>
      </w:r>
    </w:p>
    <w:p>
      <w:pPr>
        <w:spacing w:line="336" w:lineRule="auto" w:before="0" w:after="80"/>
        <w:ind w:firstLine="420"/>
        <w:jc w:val="both"/>
      </w:pPr>
      <w:r>
        <w:rPr>
          <w:rFonts w:ascii="Times New Roman" w:hAnsi="Times New Roman" w:eastAsia="宋体"/>
          <w:b w:val="0"/>
          <w:i w:val="0"/>
          <w:sz w:val="21"/>
        </w:rPr>
        <w:t>方法论的诚实，是这个领域能不能被主流金融接纳的前提。承认哪些主张不可证伪，比假装它们都能证伪，更能保住可信度。</w:t>
      </w:r>
    </w:p>
    <w:p>
      <w:pPr>
        <w:keepNext/>
        <w:spacing w:line="336" w:lineRule="auto" w:before="0" w:after="80"/>
        <w:jc w:val="both"/>
      </w:pPr>
      <w:r>
        <w:rPr>
          <w:rFonts w:ascii="Times New Roman" w:hAnsi="Times New Roman" w:eastAsia="宋体"/>
          <w:b w:val="0"/>
          <w:i w:val="0"/>
          <w:color w:val="5A5A5A"/>
          <w:sz w:val="19"/>
        </w:rPr>
        <w:t>方法论这一章，结论很短。</w:t>
      </w:r>
    </w:p>
    <w:p>
      <w:pPr>
        <w:spacing w:line="336" w:lineRule="auto" w:before="0" w:after="80"/>
        <w:jc w:val="both"/>
      </w:pPr>
      <w:r>
        <w:rPr>
          <w:rFonts w:ascii="Times New Roman" w:hAnsi="Times New Roman" w:eastAsia="宋体"/>
          <w:b w:val="0"/>
          <w:i/>
          <w:sz w:val="21"/>
        </w:rPr>
        <w:t>精神分析要进金融，先得放下“什么都能解释”的诱惑。</w:t>
      </w:r>
    </w:p>
    <w:p>
      <w:pPr>
        <w:keepNext/>
        <w:spacing w:before="400" w:after="140" w:line="300" w:lineRule="auto"/>
      </w:pPr>
      <w:r>
        <w:rPr>
          <w:rFonts w:ascii="Arial" w:hAnsi="Arial" w:eastAsia="黑体"/>
          <w:b/>
          <w:i w:val="0"/>
          <w:sz w:val="32"/>
        </w:rPr>
        <w:t>十、综合：五条路线对照与整体判断</w:t>
      </w:r>
    </w:p>
    <w:p>
      <w:pPr>
        <w:spacing w:line="336" w:lineRule="auto" w:before="0" w:after="80"/>
        <w:ind w:firstLine="420"/>
        <w:jc w:val="both"/>
      </w:pPr>
      <w:r>
        <w:rPr>
          <w:rFonts w:ascii="Times New Roman" w:hAnsi="Times New Roman" w:eastAsia="宋体"/>
          <w:b w:val="0"/>
          <w:i w:val="0"/>
          <w:sz w:val="21"/>
        </w:rPr>
        <w:t>前九章各走各的。本章把它们拉回同一张桌，做两件事：给出可比的结构，再给一个我担得起的整体判断。</w:t>
      </w:r>
    </w:p>
    <w:p>
      <w:pPr>
        <w:keepNext/>
        <w:spacing w:before="200" w:after="90" w:line="300" w:lineRule="auto"/>
      </w:pPr>
      <w:r>
        <w:rPr>
          <w:rFonts w:ascii="Arial" w:hAnsi="Arial" w:eastAsia="黑体"/>
          <w:b/>
          <w:i w:val="0"/>
          <w:sz w:val="27"/>
        </w:rPr>
        <w:t>10.1 五条路线各站什么位置</w:t>
      </w:r>
    </w:p>
    <w:p>
      <w:pPr>
        <w:spacing w:line="336" w:lineRule="auto" w:before="0" w:after="80"/>
        <w:ind w:firstLine="420"/>
        <w:jc w:val="both"/>
      </w:pPr>
      <w:r>
        <w:rPr>
          <w:rFonts w:ascii="Times New Roman" w:hAnsi="Times New Roman" w:eastAsia="宋体"/>
          <w:b w:val="0"/>
          <w:i w:val="0"/>
          <w:sz w:val="21"/>
        </w:rPr>
        <w:t>按“核心问题、解释层次、证据类型、主要弱点”四个维度对齐，结果见附录 B。简略说：钱的精神分析学给象征与关系的视角，离交易现场远；群体心理学解释同步与泡沫，可测量性差；情绪金融最成体系，正卡在可检验化的门槛上；交易者病理证据最硬，但它更像临床精神病学，不太像金融；拉康取向理论最深，可证伪性最弱。</w:t>
      </w:r>
    </w:p>
    <w:p>
      <w:pPr>
        <w:spacing w:line="336" w:lineRule="auto" w:before="0" w:after="80"/>
        <w:ind w:firstLine="420"/>
        <w:jc w:val="both"/>
      </w:pPr>
      <w:r>
        <w:rPr>
          <w:rFonts w:ascii="Times New Roman" w:hAnsi="Times New Roman" w:eastAsia="宋体"/>
          <w:b w:val="0"/>
          <w:i w:val="0"/>
          <w:sz w:val="21"/>
        </w:rPr>
        <w:t>这五条并不互斥。它们更像从不同高度看同一座山。钱的精神分析学看底座，群体心理学看整体轮廓，情绪金融看某一层岩面，交易者病理看裂隙和滑坡，拉康取向问的是这座山为什么非爬不可。拼起来，才有一张勉强够用的地形图。</w:t>
      </w:r>
    </w:p>
    <w:p>
      <w:pPr>
        <w:keepNext/>
        <w:spacing w:before="200" w:after="90" w:line="300" w:lineRule="auto"/>
      </w:pPr>
      <w:r>
        <w:rPr>
          <w:rFonts w:ascii="Arial" w:hAnsi="Arial" w:eastAsia="黑体"/>
          <w:b/>
          <w:i w:val="0"/>
          <w:sz w:val="27"/>
        </w:rPr>
        <w:t>10.2 术语到现象的映射</w:t>
      </w:r>
    </w:p>
    <w:p>
      <w:pPr>
        <w:spacing w:line="336" w:lineRule="auto" w:before="0" w:after="80"/>
        <w:ind w:firstLine="420"/>
        <w:jc w:val="both"/>
      </w:pPr>
      <w:r>
        <w:rPr>
          <w:rFonts w:ascii="Times New Roman" w:hAnsi="Times New Roman" w:eastAsia="宋体"/>
          <w:b w:val="0"/>
          <w:i w:val="0"/>
          <w:sz w:val="21"/>
        </w:rPr>
        <w:t>把概念落到现象上，是检验“翻译准入条件”有没有满足的关键一步，结果见附录 D。这张表的价值不在好看，在于它把哪些概念其实找不到干净的行为对应物给抖了出来。那些正是最该被未来研究填的坑。表里有个规律一眼能看出来：越贴近个体行为的词（否认、控制错觉），对应物越清楚；越贴近结构的词（对象 a、资本主义话语），对应物越模糊。</w:t>
      </w:r>
    </w:p>
    <w:p>
      <w:pPr>
        <w:keepNext/>
        <w:spacing w:before="200" w:after="90" w:line="300" w:lineRule="auto"/>
      </w:pPr>
      <w:r>
        <w:rPr>
          <w:rFonts w:ascii="Arial" w:hAnsi="Arial" w:eastAsia="黑体"/>
          <w:b/>
          <w:i w:val="0"/>
          <w:sz w:val="27"/>
        </w:rPr>
        <w:t>10.3 我的整体判断</w:t>
      </w:r>
    </w:p>
    <w:p>
      <w:pPr>
        <w:spacing w:line="336" w:lineRule="auto" w:before="0" w:after="80"/>
        <w:ind w:firstLine="420"/>
        <w:jc w:val="both"/>
      </w:pPr>
      <w:r>
        <w:rPr>
          <w:rFonts w:ascii="Times New Roman" w:hAnsi="Times New Roman" w:eastAsia="宋体"/>
          <w:b w:val="0"/>
          <w:i w:val="0"/>
          <w:sz w:val="21"/>
        </w:rPr>
        <w:t>把全部证据看完，我的判断是克制的：</w:t>
      </w:r>
      <w:r>
        <w:rPr>
          <w:rFonts w:ascii="Times New Roman" w:hAnsi="Times New Roman" w:eastAsia="宋体"/>
          <w:b/>
          <w:i w:val="0"/>
          <w:sz w:val="21"/>
        </w:rPr>
        <w:t>精神分析在金融交易研究里，位置是机制假说的供给方，不是预测模型的竞争者。</w:t>
      </w:r>
      <w:r>
        <w:rPr>
          <w:rFonts w:ascii="Times New Roman" w:hAnsi="Times New Roman" w:eastAsia="宋体"/>
          <w:b w:val="0"/>
          <w:i w:val="0"/>
          <w:sz w:val="21"/>
        </w:rPr>
        <w:t>它有三件事做得比谁都深：明知故犯、亏损的重复、群体的同步狂热。也有三件事明显不如行为金融：参数估计、可重复的实证、跨样本泛化。放对位置，它能反过来给行为金融喂更好的问题；放错位置，它就退化成一套事后圆故事的说辞。</w:t>
      </w:r>
    </w:p>
    <w:p>
      <w:pPr>
        <w:keepNext/>
        <w:spacing w:before="200" w:after="90" w:line="300" w:lineRule="auto"/>
      </w:pPr>
      <w:r>
        <w:rPr>
          <w:rFonts w:ascii="Arial" w:hAnsi="Arial" w:eastAsia="黑体"/>
          <w:b/>
          <w:i w:val="0"/>
          <w:sz w:val="27"/>
        </w:rPr>
        <w:t>10.4 三种常见误用</w:t>
      </w:r>
    </w:p>
    <w:p>
      <w:pPr>
        <w:spacing w:line="336" w:lineRule="auto" w:before="0" w:after="80"/>
        <w:ind w:firstLine="420"/>
        <w:jc w:val="both"/>
      </w:pPr>
      <w:r>
        <w:rPr>
          <w:rFonts w:ascii="Times New Roman" w:hAnsi="Times New Roman" w:eastAsia="宋体"/>
          <w:b w:val="0"/>
          <w:i w:val="0"/>
          <w:sz w:val="21"/>
        </w:rPr>
        <w:t>顺着这个判断，可以点出三种反复出现的误用。公开写作里的大部分问题，基本都落在里面。</w:t>
      </w:r>
    </w:p>
    <w:p>
      <w:pPr>
        <w:spacing w:line="336" w:lineRule="auto" w:after="50"/>
        <w:ind w:left="420" w:hanging="210"/>
      </w:pPr>
      <w:r>
        <w:rPr>
          <w:rFonts w:ascii="Times New Roman" w:hAnsi="Times New Roman" w:eastAsia="宋体"/>
          <w:b w:val="0"/>
          <w:i w:val="0"/>
          <w:sz w:val="21"/>
        </w:rPr>
        <w:t>— **把无意识当万能解释。** 结果是什么都能解释，也就等于什么都没解释。</w:t>
      </w:r>
    </w:p>
    <w:p>
      <w:pPr>
        <w:spacing w:line="336" w:lineRule="auto" w:after="50"/>
        <w:ind w:left="420" w:hanging="210"/>
      </w:pPr>
      <w:r>
        <w:rPr>
          <w:rFonts w:ascii="Times New Roman" w:hAnsi="Times New Roman" w:eastAsia="宋体"/>
          <w:b w:val="0"/>
          <w:i w:val="0"/>
          <w:sz w:val="21"/>
        </w:rPr>
        <w:t>— **拿深度替证据。** 把一个案例讲得极细腻，替代不了多组独立研究的一致结果。</w:t>
      </w:r>
    </w:p>
    <w:p>
      <w:pPr>
        <w:spacing w:line="336" w:lineRule="auto" w:after="50"/>
        <w:ind w:left="420" w:hanging="210"/>
      </w:pPr>
      <w:r>
        <w:rPr>
          <w:rFonts w:ascii="Times New Roman" w:hAnsi="Times New Roman" w:eastAsia="宋体"/>
          <w:b w:val="0"/>
          <w:i w:val="0"/>
          <w:sz w:val="21"/>
        </w:rPr>
        <w:t>— **个体与系统混着说。** 把结构性动力（比如资本要求无限增长）直接读成个体动机，或者反过来，都会得出落不了地的结论。</w:t>
      </w:r>
    </w:p>
    <w:p>
      <w:pPr>
        <w:keepNext/>
        <w:spacing w:line="336" w:lineRule="auto" w:before="0" w:after="80"/>
        <w:jc w:val="both"/>
      </w:pPr>
      <w:r>
        <w:rPr>
          <w:rFonts w:ascii="Times New Roman" w:hAnsi="Times New Roman" w:eastAsia="宋体"/>
          <w:b w:val="0"/>
          <w:i w:val="0"/>
          <w:color w:val="5A5A5A"/>
          <w:sz w:val="19"/>
        </w:rPr>
        <w:t>五条路线摆到一起，我的判断是这句。</w:t>
      </w:r>
    </w:p>
    <w:p>
      <w:pPr>
        <w:spacing w:line="336" w:lineRule="auto" w:before="0" w:after="80"/>
        <w:jc w:val="both"/>
      </w:pPr>
      <w:r>
        <w:rPr>
          <w:rFonts w:ascii="Times New Roman" w:hAnsi="Times New Roman" w:eastAsia="宋体"/>
          <w:b w:val="0"/>
          <w:i/>
          <w:sz w:val="21"/>
        </w:rPr>
        <w:t>精神分析解释得越深，越得承认它预测得越浅。</w:t>
      </w:r>
    </w:p>
    <w:p>
      <w:pPr>
        <w:keepNext/>
        <w:spacing w:before="400" w:after="140" w:line="300" w:lineRule="auto"/>
      </w:pPr>
      <w:r>
        <w:rPr>
          <w:rFonts w:ascii="Arial" w:hAnsi="Arial" w:eastAsia="黑体"/>
          <w:b/>
          <w:i w:val="0"/>
          <w:sz w:val="32"/>
        </w:rPr>
        <w:t>十一、未来研究方向</w:t>
      </w:r>
    </w:p>
    <w:p>
      <w:pPr>
        <w:spacing w:line="336" w:lineRule="auto" w:before="0" w:after="80"/>
        <w:ind w:firstLine="420"/>
        <w:jc w:val="both"/>
      </w:pPr>
      <w:r>
        <w:rPr>
          <w:rFonts w:ascii="Times New Roman" w:hAnsi="Times New Roman" w:eastAsia="宋体"/>
          <w:b w:val="0"/>
          <w:i w:val="0"/>
          <w:sz w:val="21"/>
        </w:rPr>
        <w:t>批评容易，建设难。本章试着把前面的批判翻成能执行的方案，不停在“需要更多研究”这种空话上。</w:t>
      </w:r>
    </w:p>
    <w:p>
      <w:pPr>
        <w:keepNext/>
        <w:spacing w:before="200" w:after="90" w:line="300" w:lineRule="auto"/>
      </w:pPr>
      <w:r>
        <w:rPr>
          <w:rFonts w:ascii="Arial" w:hAnsi="Arial" w:eastAsia="黑体"/>
          <w:b/>
          <w:i w:val="0"/>
          <w:sz w:val="27"/>
        </w:rPr>
        <w:t>11.1 五项可复现的研究设计</w:t>
      </w:r>
    </w:p>
    <w:p>
      <w:pPr>
        <w:spacing w:line="336" w:lineRule="auto" w:before="0" w:after="80"/>
        <w:ind w:firstLine="420"/>
        <w:jc w:val="both"/>
      </w:pPr>
      <w:r>
        <w:rPr>
          <w:rFonts w:ascii="Times New Roman" w:hAnsi="Times New Roman" w:eastAsia="宋体"/>
          <w:b w:val="0"/>
          <w:i w:val="0"/>
          <w:sz w:val="21"/>
        </w:rPr>
        <w:t>下面五项，方法上都做得了。每一项都配了测量和证伪条件。</w:t>
      </w:r>
    </w:p>
    <w:p>
      <w:pPr>
        <w:keepNext/>
        <w:spacing w:before="140" w:after="70" w:line="300" w:lineRule="auto"/>
      </w:pPr>
      <w:r>
        <w:rPr>
          <w:rFonts w:ascii="Arial" w:hAnsi="Arial" w:eastAsia="黑体"/>
          <w:b/>
          <w:i w:val="0"/>
          <w:sz w:val="24"/>
        </w:rPr>
        <w:t>设计一：幻觉客体的识别规则</w:t>
      </w:r>
    </w:p>
    <w:p>
      <w:pPr>
        <w:spacing w:line="336" w:lineRule="auto" w:before="0" w:after="80"/>
        <w:ind w:firstLine="420"/>
        <w:jc w:val="both"/>
      </w:pPr>
      <w:r>
        <w:rPr>
          <w:rFonts w:ascii="Times New Roman" w:hAnsi="Times New Roman" w:eastAsia="宋体"/>
          <w:b w:val="0"/>
          <w:i w:val="0"/>
          <w:sz w:val="21"/>
        </w:rPr>
        <w:t>用信息不对称定价速度、叙事密度、社交讨论量做一个联合指标，标出对象进入“幻觉态”的时间窗。</w:t>
      </w:r>
      <w:r>
        <w:rPr>
          <w:rFonts w:ascii="Times New Roman" w:hAnsi="Times New Roman" w:eastAsia="宋体"/>
          <w:b/>
          <w:i w:val="0"/>
          <w:sz w:val="21"/>
        </w:rPr>
        <w:t>假设</w:t>
      </w:r>
      <w:r>
        <w:rPr>
          <w:rFonts w:ascii="Times New Roman" w:hAnsi="Times New Roman" w:eastAsia="宋体"/>
          <w:b w:val="0"/>
          <w:i w:val="0"/>
          <w:sz w:val="21"/>
        </w:rPr>
        <w:t>：幻觉态期间，同等强度的负面信息引发的价格反应明显更弱。</w:t>
      </w:r>
      <w:r>
        <w:rPr>
          <w:rFonts w:ascii="Times New Roman" w:hAnsi="Times New Roman" w:eastAsia="宋体"/>
          <w:b/>
          <w:i w:val="0"/>
          <w:sz w:val="21"/>
        </w:rPr>
        <w:t>证伪条件</w:t>
      </w:r>
      <w:r>
        <w:rPr>
          <w:rFonts w:ascii="Times New Roman" w:hAnsi="Times New Roman" w:eastAsia="宋体"/>
          <w:b w:val="0"/>
          <w:i w:val="0"/>
          <w:sz w:val="21"/>
        </w:rPr>
        <w:t>：若负面消息的价格反应在幻觉态与中性期没有显著差异，假设不成立。这么设计的好处，是把“幻觉客体”变成一个有起点、可回测的变量。</w:t>
      </w:r>
    </w:p>
    <w:p>
      <w:pPr>
        <w:keepNext/>
        <w:spacing w:before="140" w:after="70" w:line="300" w:lineRule="auto"/>
      </w:pPr>
      <w:r>
        <w:rPr>
          <w:rFonts w:ascii="Arial" w:hAnsi="Arial" w:eastAsia="黑体"/>
          <w:b/>
          <w:i w:val="0"/>
          <w:sz w:val="24"/>
        </w:rPr>
        <w:t>设计二：分阶段投资的行为代理</w:t>
      </w:r>
    </w:p>
    <w:p>
      <w:pPr>
        <w:spacing w:line="336" w:lineRule="auto" w:before="0" w:after="80"/>
        <w:ind w:firstLine="420"/>
        <w:jc w:val="both"/>
      </w:pPr>
      <w:r>
        <w:rPr>
          <w:rFonts w:ascii="Times New Roman" w:hAnsi="Times New Roman" w:eastAsia="宋体"/>
          <w:b w:val="0"/>
          <w:i w:val="0"/>
          <w:sz w:val="21"/>
        </w:rPr>
        <w:t>把“分阶段/未分阶段投资”跟已有的心理学量表、以及持仓行为的时间序列对接，做预注册的假设检验。</w:t>
      </w:r>
      <w:r>
        <w:rPr>
          <w:rFonts w:ascii="Times New Roman" w:hAnsi="Times New Roman" w:eastAsia="宋体"/>
          <w:b/>
          <w:i w:val="0"/>
          <w:sz w:val="21"/>
        </w:rPr>
        <w:t>假设</w:t>
      </w:r>
      <w:r>
        <w:rPr>
          <w:rFonts w:ascii="Times New Roman" w:hAnsi="Times New Roman" w:eastAsia="宋体"/>
          <w:b w:val="0"/>
          <w:i w:val="0"/>
          <w:sz w:val="21"/>
        </w:rPr>
        <w:t>：下跌期里，分阶段投资者的减仓比例与情绪波动幅度明显低于未分阶段投资者。</w:t>
      </w:r>
      <w:r>
        <w:rPr>
          <w:rFonts w:ascii="Times New Roman" w:hAnsi="Times New Roman" w:eastAsia="宋体"/>
          <w:b/>
          <w:i w:val="0"/>
          <w:sz w:val="21"/>
        </w:rPr>
        <w:t>证伪条件</w:t>
      </w:r>
      <w:r>
        <w:rPr>
          <w:rFonts w:ascii="Times New Roman" w:hAnsi="Times New Roman" w:eastAsia="宋体"/>
          <w:b w:val="0"/>
          <w:i w:val="0"/>
          <w:sz w:val="21"/>
        </w:rPr>
        <w:t>：若两类投资者在下跌期的行为没有显著差异，这个区分在行为层面就失去了意义。</w:t>
      </w:r>
    </w:p>
    <w:p>
      <w:pPr>
        <w:keepNext/>
        <w:spacing w:before="140" w:after="70" w:line="300" w:lineRule="auto"/>
      </w:pPr>
      <w:r>
        <w:rPr>
          <w:rFonts w:ascii="Arial" w:hAnsi="Arial" w:eastAsia="黑体"/>
          <w:b/>
          <w:i w:val="0"/>
          <w:sz w:val="24"/>
        </w:rPr>
        <w:t>设计三：临床与动力的联合样本</w:t>
      </w:r>
    </w:p>
    <w:p>
      <w:pPr>
        <w:spacing w:line="336" w:lineRule="auto" w:before="0" w:after="80"/>
        <w:ind w:firstLine="420"/>
        <w:jc w:val="both"/>
      </w:pPr>
      <w:r>
        <w:rPr>
          <w:rFonts w:ascii="Times New Roman" w:hAnsi="Times New Roman" w:eastAsia="宋体"/>
          <w:b w:val="0"/>
          <w:i w:val="0"/>
          <w:sz w:val="21"/>
        </w:rPr>
        <w:t>在交易成瘾研究里加进精神动力学访谈，把“硬诊断”和“动力机制”放在同一批被试上交叉验证。</w:t>
      </w:r>
      <w:r>
        <w:rPr>
          <w:rFonts w:ascii="Times New Roman" w:hAnsi="Times New Roman" w:eastAsia="宋体"/>
          <w:b/>
          <w:i w:val="0"/>
          <w:sz w:val="21"/>
        </w:rPr>
        <w:t>假设</w:t>
      </w:r>
      <w:r>
        <w:rPr>
          <w:rFonts w:ascii="Times New Roman" w:hAnsi="Times New Roman" w:eastAsia="宋体"/>
          <w:b w:val="0"/>
          <w:i w:val="0"/>
          <w:sz w:val="21"/>
        </w:rPr>
        <w:t>：符合赌博障碍诊断标准的交易者里，重复强迫式模式（同品种、同时段、同方式反复爆仓）的占比明显更高。</w:t>
      </w:r>
      <w:r>
        <w:rPr>
          <w:rFonts w:ascii="Times New Roman" w:hAnsi="Times New Roman" w:eastAsia="宋体"/>
          <w:b/>
          <w:i w:val="0"/>
          <w:sz w:val="21"/>
        </w:rPr>
        <w:t>证伪条件</w:t>
      </w:r>
      <w:r>
        <w:rPr>
          <w:rFonts w:ascii="Times New Roman" w:hAnsi="Times New Roman" w:eastAsia="宋体"/>
          <w:b w:val="0"/>
          <w:i w:val="0"/>
          <w:sz w:val="21"/>
        </w:rPr>
        <w:t>：若这个占比跟对照组没差别，动力机制与成瘾诊断之间就不存在特异性关联。</w:t>
      </w:r>
    </w:p>
    <w:p>
      <w:pPr>
        <w:keepNext/>
        <w:spacing w:before="140" w:after="70" w:line="300" w:lineRule="auto"/>
      </w:pPr>
      <w:r>
        <w:rPr>
          <w:rFonts w:ascii="Arial" w:hAnsi="Arial" w:eastAsia="黑体"/>
          <w:b/>
          <w:i w:val="0"/>
          <w:sz w:val="24"/>
        </w:rPr>
        <w:t>设计四：把拉康式命题改成能反驳的</w:t>
      </w:r>
    </w:p>
    <w:p>
      <w:pPr>
        <w:spacing w:line="336" w:lineRule="auto" w:before="0" w:after="80"/>
        <w:ind w:firstLine="420"/>
        <w:jc w:val="both"/>
      </w:pPr>
      <w:r>
        <w:rPr>
          <w:rFonts w:ascii="Times New Roman" w:hAnsi="Times New Roman" w:eastAsia="宋体"/>
          <w:b w:val="0"/>
          <w:i w:val="0"/>
          <w:sz w:val="21"/>
        </w:rPr>
        <w:t>对拉康式命题做“可反驳化”改造，说清在什么观察下它被推翻。比如把“欲望无法被满足”改写成：投资者达到预设收益目标之后，提高风险暴露的概率明显高于降低风险暴露的概率。</w:t>
      </w:r>
      <w:r>
        <w:rPr>
          <w:rFonts w:ascii="Times New Roman" w:hAnsi="Times New Roman" w:eastAsia="宋体"/>
          <w:b/>
          <w:i w:val="0"/>
          <w:sz w:val="21"/>
        </w:rPr>
        <w:t>证伪条件</w:t>
      </w:r>
      <w:r>
        <w:rPr>
          <w:rFonts w:ascii="Times New Roman" w:hAnsi="Times New Roman" w:eastAsia="宋体"/>
          <w:b w:val="0"/>
          <w:i w:val="0"/>
          <w:sz w:val="21"/>
        </w:rPr>
        <w:t>：若达标之后风险暴露没有系统性变化，这个改写就不成立。</w:t>
      </w:r>
    </w:p>
    <w:p>
      <w:pPr>
        <w:keepNext/>
        <w:spacing w:before="140" w:after="70" w:line="300" w:lineRule="auto"/>
      </w:pPr>
      <w:r>
        <w:rPr>
          <w:rFonts w:ascii="Arial" w:hAnsi="Arial" w:eastAsia="黑体"/>
          <w:b/>
          <w:i w:val="0"/>
          <w:sz w:val="24"/>
        </w:rPr>
        <w:t>设计五：群体状态的可测量化</w:t>
      </w:r>
    </w:p>
    <w:p>
      <w:pPr>
        <w:spacing w:line="336" w:lineRule="auto" w:before="0" w:after="80"/>
        <w:ind w:firstLine="420"/>
        <w:jc w:val="both"/>
      </w:pPr>
      <w:r>
        <w:rPr>
          <w:rFonts w:ascii="Times New Roman" w:hAnsi="Times New Roman" w:eastAsia="宋体"/>
          <w:b w:val="0"/>
          <w:i w:val="0"/>
          <w:sz w:val="21"/>
        </w:rPr>
        <w:t>试着给“工作群体/基本假设群体”造一套可观测指标，比如用换手率、买卖价差、叙事集中度（单一叙事占讨论量的比例）的联合变化来刻画切换。</w:t>
      </w:r>
      <w:r>
        <w:rPr>
          <w:rFonts w:ascii="Times New Roman" w:hAnsi="Times New Roman" w:eastAsia="宋体"/>
          <w:b/>
          <w:i w:val="0"/>
          <w:sz w:val="21"/>
        </w:rPr>
        <w:t>假设</w:t>
      </w:r>
      <w:r>
        <w:rPr>
          <w:rFonts w:ascii="Times New Roman" w:hAnsi="Times New Roman" w:eastAsia="宋体"/>
          <w:b w:val="0"/>
          <w:i w:val="0"/>
          <w:sz w:val="21"/>
        </w:rPr>
        <w:t>：进入基本假设群体状态后，叙事集中度与波动率的相关性明显上升。</w:t>
      </w:r>
      <w:r>
        <w:rPr>
          <w:rFonts w:ascii="Times New Roman" w:hAnsi="Times New Roman" w:eastAsia="宋体"/>
          <w:b/>
          <w:i w:val="0"/>
          <w:sz w:val="21"/>
        </w:rPr>
        <w:t>证伪条件</w:t>
      </w:r>
      <w:r>
        <w:rPr>
          <w:rFonts w:ascii="Times New Roman" w:hAnsi="Times New Roman" w:eastAsia="宋体"/>
          <w:b w:val="0"/>
          <w:i w:val="0"/>
          <w:sz w:val="21"/>
        </w:rPr>
        <w:t>：若相关性没变化，这种切换就缺行为层面的对应。</w:t>
      </w:r>
    </w:p>
    <w:p>
      <w:pPr>
        <w:keepNext/>
        <w:spacing w:before="200" w:after="90" w:line="300" w:lineRule="auto"/>
      </w:pPr>
      <w:r>
        <w:rPr>
          <w:rFonts w:ascii="Arial" w:hAnsi="Arial" w:eastAsia="黑体"/>
          <w:b/>
          <w:i w:val="0"/>
          <w:sz w:val="27"/>
        </w:rPr>
        <w:t>11.2 数据与方法的整合</w:t>
      </w:r>
    </w:p>
    <w:p>
      <w:pPr>
        <w:spacing w:line="336" w:lineRule="auto" w:before="0" w:after="80"/>
        <w:ind w:firstLine="420"/>
        <w:jc w:val="both"/>
      </w:pPr>
      <w:r>
        <w:rPr>
          <w:rFonts w:ascii="Times New Roman" w:hAnsi="Times New Roman" w:eastAsia="宋体"/>
          <w:b w:val="0"/>
          <w:i w:val="0"/>
          <w:sz w:val="21"/>
        </w:rPr>
        <w:t>技术上，可以把情绪因子（EMO、情绪指标[38][39]）、文本与叙事指标、以及个体层面的心理生理数据塞进同一个研究，让精神分析出假设，让计量方法出检验，省得两边各说各话。近期关于社交媒体情绪与市场行为的预印本[60][61][59][63]，在数据管道上已经攒了不少，缺的主要是把“情绪”换成更细的“心理结构”变量。</w:t>
      </w:r>
    </w:p>
    <w:p>
      <w:pPr>
        <w:keepNext/>
        <w:spacing w:before="200" w:after="90" w:line="300" w:lineRule="auto"/>
      </w:pPr>
      <w:r>
        <w:rPr>
          <w:rFonts w:ascii="Arial" w:hAnsi="Arial" w:eastAsia="黑体"/>
          <w:b/>
          <w:i w:val="0"/>
          <w:sz w:val="27"/>
        </w:rPr>
        <w:t>11.3 伦理与监管含义</w:t>
      </w:r>
    </w:p>
    <w:p>
      <w:pPr>
        <w:spacing w:line="336" w:lineRule="auto" w:before="0" w:after="80"/>
        <w:ind w:firstLine="420"/>
        <w:jc w:val="both"/>
      </w:pPr>
      <w:r>
        <w:rPr>
          <w:rFonts w:ascii="Times New Roman" w:hAnsi="Times New Roman" w:eastAsia="宋体"/>
          <w:b w:val="0"/>
          <w:i w:val="0"/>
          <w:sz w:val="21"/>
        </w:rPr>
        <w:t>交易成瘾这块证据，已经够支撑监管动作了。既然过度交易与赌博障碍共享机制，那券商的产品设计——高频推送、简易杠杆、游戏化界面——就该进消费者保护的视野，不能只当“用户偏好”[36][37]。这一步的意义不只保护个体。它反过来还给研究送了天然的实验场：政策一变，行为就跟着变，都能观测。</w:t>
      </w:r>
    </w:p>
    <w:p>
      <w:pPr>
        <w:keepNext/>
        <w:spacing w:before="200" w:after="90" w:line="300" w:lineRule="auto"/>
      </w:pPr>
      <w:r>
        <w:rPr>
          <w:rFonts w:ascii="Arial" w:hAnsi="Arial" w:eastAsia="黑体"/>
          <w:b/>
          <w:i w:val="0"/>
          <w:sz w:val="27"/>
        </w:rPr>
        <w:t>11.4 教育与实践含义</w:t>
      </w:r>
    </w:p>
    <w:p>
      <w:pPr>
        <w:spacing w:line="336" w:lineRule="auto" w:before="0" w:after="80"/>
        <w:ind w:firstLine="420"/>
        <w:jc w:val="both"/>
      </w:pPr>
      <w:r>
        <w:rPr>
          <w:rFonts w:ascii="Times New Roman" w:hAnsi="Times New Roman" w:eastAsia="宋体"/>
          <w:b w:val="0"/>
          <w:i w:val="0"/>
          <w:sz w:val="21"/>
        </w:rPr>
        <w:t>对个体实践者，本文的结论指向一个不太讨喜的方向。如果问题出在无意识的幻想与重复上，那“多学知识、多守纪律”这类自我要求就是不够的。更管用的可能是外部约束：把决策规则外置成一个不能临时改的系统，或者把心理问题交给心理专业人员，而不是交易课程。这不是否定学习，是把它放回它能起作用的位置上。</w:t>
      </w:r>
    </w:p>
    <w:p>
      <w:pPr>
        <w:keepNext/>
        <w:spacing w:before="200" w:after="90" w:line="300" w:lineRule="auto"/>
      </w:pPr>
      <w:r>
        <w:rPr>
          <w:rFonts w:ascii="Arial" w:hAnsi="Arial" w:eastAsia="黑体"/>
          <w:b/>
          <w:i w:val="0"/>
          <w:sz w:val="27"/>
        </w:rPr>
        <w:t>11.5 小结</w:t>
      </w:r>
    </w:p>
    <w:p>
      <w:pPr>
        <w:spacing w:line="336" w:lineRule="auto" w:before="0" w:after="80"/>
        <w:ind w:firstLine="420"/>
        <w:jc w:val="both"/>
      </w:pPr>
      <w:r>
        <w:rPr>
          <w:rFonts w:ascii="Times New Roman" w:hAnsi="Times New Roman" w:eastAsia="宋体"/>
          <w:b w:val="0"/>
          <w:i w:val="0"/>
          <w:sz w:val="21"/>
        </w:rPr>
        <w:t>这个领域的下一步，不是做出更漂亮的理论，是把已有的理论拆成能证伪的碎片，一块一块验。</w:t>
      </w:r>
    </w:p>
    <w:p>
      <w:pPr>
        <w:keepNext/>
        <w:spacing w:line="336" w:lineRule="auto" w:before="0" w:after="80"/>
        <w:jc w:val="both"/>
      </w:pPr>
      <w:r>
        <w:rPr>
          <w:rFonts w:ascii="Times New Roman" w:hAnsi="Times New Roman" w:eastAsia="宋体"/>
          <w:b w:val="0"/>
          <w:i w:val="0"/>
          <w:color w:val="5A5A5A"/>
          <w:sz w:val="19"/>
        </w:rPr>
        <w:t>这一章所有设计，都指向同一件事。</w:t>
      </w:r>
    </w:p>
    <w:p>
      <w:pPr>
        <w:spacing w:line="336" w:lineRule="auto" w:before="0" w:after="80"/>
        <w:jc w:val="both"/>
      </w:pPr>
      <w:r>
        <w:rPr>
          <w:rFonts w:ascii="Times New Roman" w:hAnsi="Times New Roman" w:eastAsia="宋体"/>
          <w:b w:val="0"/>
          <w:i/>
          <w:sz w:val="21"/>
        </w:rPr>
        <w:t>让概念变得可测量，是这个领域唯一真正往前走的办法。</w:t>
      </w:r>
    </w:p>
    <w:p>
      <w:pPr>
        <w:keepNext/>
        <w:spacing w:before="400" w:after="140" w:line="300" w:lineRule="auto"/>
      </w:pPr>
      <w:r>
        <w:rPr>
          <w:rFonts w:ascii="Arial" w:hAnsi="Arial" w:eastAsia="黑体"/>
          <w:b/>
          <w:i w:val="0"/>
          <w:sz w:val="32"/>
        </w:rPr>
        <w:t>十二、结论</w:t>
      </w:r>
    </w:p>
    <w:p>
      <w:pPr>
        <w:spacing w:line="336" w:lineRule="auto" w:before="0" w:after="80"/>
        <w:ind w:firstLine="420"/>
        <w:jc w:val="both"/>
      </w:pPr>
      <w:r>
        <w:rPr>
          <w:rFonts w:ascii="Times New Roman" w:hAnsi="Times New Roman" w:eastAsia="宋体"/>
          <w:b w:val="0"/>
          <w:i w:val="0"/>
          <w:sz w:val="21"/>
        </w:rPr>
        <w:t>本文用一个不讨巧的问题开局：既然知道，为什么照犯。为它梳理了五条路线、四十余年的中英文文献，和一批互相打架的证据。最后拿回来的不是一套更漂亮的解释，是一条更清楚的边界。</w:t>
      </w:r>
    </w:p>
    <w:p>
      <w:pPr>
        <w:spacing w:line="336" w:lineRule="auto" w:before="0" w:after="80"/>
        <w:ind w:firstLine="420"/>
        <w:jc w:val="both"/>
      </w:pPr>
      <w:r>
        <w:rPr>
          <w:rFonts w:ascii="Times New Roman" w:hAnsi="Times New Roman" w:eastAsia="宋体"/>
          <w:b w:val="0"/>
          <w:i w:val="0"/>
          <w:sz w:val="21"/>
        </w:rPr>
        <w:t>精神分析进金融交易研究，给的不是新的预测公式。它给的是几个绕不开的问题。它逼着研究者和实践者承认：交易者不是一台会学习的计算器，市场也不总是一群独立个体的加总；在“知道”和“做到”之间，横着整套无意识的欲望、防御与重复。</w:t>
      </w:r>
    </w:p>
    <w:p>
      <w:pPr>
        <w:spacing w:line="336" w:lineRule="auto" w:before="0" w:after="80"/>
        <w:ind w:firstLine="420"/>
        <w:jc w:val="both"/>
      </w:pPr>
      <w:r>
        <w:rPr>
          <w:rFonts w:ascii="Times New Roman" w:hAnsi="Times New Roman" w:eastAsia="宋体"/>
          <w:b w:val="0"/>
          <w:i w:val="0"/>
          <w:sz w:val="21"/>
        </w:rPr>
        <w:t>这条路的成败，不看术语多精致，看它肯不肯把自己交出去检验。情绪金融已经迈了这一步，交易成瘾研究给出了硬证据，拉康取向还停在思辨的门槛里。我的立场是：让精神分析出机制假说，让行为金融和神经金融当检验工具，用前者的问题意识去压后者的方法纪律，反之亦然。</w:t>
      </w:r>
    </w:p>
    <w:p>
      <w:pPr>
        <w:spacing w:line="336" w:lineRule="auto" w:before="0" w:after="80"/>
        <w:ind w:firstLine="420"/>
        <w:jc w:val="both"/>
      </w:pPr>
      <w:r>
        <w:rPr>
          <w:rFonts w:ascii="Times New Roman" w:hAnsi="Times New Roman" w:eastAsia="宋体"/>
          <w:b w:val="0"/>
          <w:i w:val="0"/>
          <w:sz w:val="21"/>
        </w:rPr>
        <w:t>最后回到开头那个问题。它的答案大概既不在精神分析里，也不在行为金融里，而在两者之间：理性解释我们能做什么，无意识解释我们为什么做不到。把这两件事分开谈，比硬拿其中一件去解释全部，更接近实情。</w:t>
      </w:r>
    </w:p>
    <w:p>
      <w:pPr>
        <w:keepNext/>
        <w:spacing w:line="336" w:lineRule="auto" w:before="0" w:after="80"/>
        <w:jc w:val="both"/>
      </w:pPr>
      <w:r>
        <w:rPr>
          <w:rFonts w:ascii="Times New Roman" w:hAnsi="Times New Roman" w:eastAsia="宋体"/>
          <w:b w:val="0"/>
          <w:i w:val="0"/>
          <w:color w:val="5A5A5A"/>
          <w:sz w:val="19"/>
        </w:rPr>
        <w:t>全文收在一句上。</w:t>
      </w:r>
    </w:p>
    <w:p>
      <w:pPr>
        <w:spacing w:line="336" w:lineRule="auto" w:before="0" w:after="80"/>
        <w:jc w:val="both"/>
      </w:pPr>
      <w:r>
        <w:rPr>
          <w:rFonts w:ascii="Times New Roman" w:hAnsi="Times New Roman" w:eastAsia="宋体"/>
          <w:b w:val="0"/>
          <w:i/>
          <w:sz w:val="21"/>
        </w:rPr>
        <w:t>一万份偏差清单也答不了“既然知道，为什么照犯”。这就是精神分析值得被认真对待的理由。</w:t>
      </w:r>
    </w:p>
    <w:p>
      <w:pPr>
        <w:keepNext/>
        <w:spacing w:before="400" w:after="140" w:line="300" w:lineRule="auto"/>
      </w:pPr>
      <w:r>
        <w:rPr>
          <w:rFonts w:ascii="Arial" w:hAnsi="Arial" w:eastAsia="黑体"/>
          <w:b/>
          <w:i w:val="0"/>
          <w:sz w:val="32"/>
        </w:rPr>
        <w:t>附录 A　证据表（核心条目）</w:t>
      </w:r>
    </w:p>
    <w:p>
      <w:pPr>
        <w:spacing w:line="336" w:lineRule="auto" w:before="0" w:after="80"/>
        <w:jc w:val="both"/>
      </w:pPr>
      <w:r>
        <w:rPr>
          <w:rFonts w:ascii="Times New Roman" w:hAnsi="Times New Roman" w:eastAsia="宋体"/>
          <w:b w:val="0"/>
          <w:i w:val="0"/>
          <w:sz w:val="21"/>
        </w:rPr>
        <w:t>下表列出本文依赖的核心条目，标注证据类型与核验状态。“已核验”指题名、作者、年份与 DOI/来源页能互相对应；“部分核验”指元数据可见但缺全文或缺 DOI。本表覆盖正文引用较多的条目，完整来源见附录 E。</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928"/>
          </w:tcPr>
          <w:p>
            <w:pPr>
              <w:spacing w:line="252" w:lineRule="auto" w:after="30" w:before="30"/>
              <w:jc w:val="center"/>
            </w:pPr>
            <w:r/>
            <w:r>
              <w:rPr>
                <w:rFonts w:ascii="Times New Roman" w:hAnsi="Times New Roman" w:eastAsia="宋体"/>
                <w:b/>
                <w:i w:val="0"/>
                <w:sz w:val="18"/>
              </w:rPr>
              <w:t>条目</w:t>
            </w:r>
          </w:p>
        </w:tc>
        <w:tc>
          <w:tcPr>
            <w:tcW w:type="dxa" w:w="1814"/>
          </w:tcPr>
          <w:p>
            <w:pPr>
              <w:spacing w:line="252" w:lineRule="auto" w:after="30" w:before="30"/>
              <w:jc w:val="center"/>
            </w:pPr>
            <w:r/>
            <w:r>
              <w:rPr>
                <w:rFonts w:ascii="Times New Roman" w:hAnsi="Times New Roman" w:eastAsia="宋体"/>
                <w:b/>
                <w:i w:val="0"/>
                <w:sz w:val="18"/>
              </w:rPr>
              <w:t>主题</w:t>
            </w:r>
          </w:p>
        </w:tc>
        <w:tc>
          <w:tcPr>
            <w:tcW w:type="dxa" w:w="1474"/>
          </w:tcPr>
          <w:p>
            <w:pPr>
              <w:spacing w:line="252" w:lineRule="auto" w:after="30" w:before="30"/>
              <w:jc w:val="center"/>
            </w:pPr>
            <w:r/>
            <w:r>
              <w:rPr>
                <w:rFonts w:ascii="Times New Roman" w:hAnsi="Times New Roman" w:eastAsia="宋体"/>
                <w:b/>
                <w:i w:val="0"/>
                <w:sz w:val="18"/>
              </w:rPr>
              <w:t>证据类型</w:t>
            </w:r>
          </w:p>
        </w:tc>
        <w:tc>
          <w:tcPr>
            <w:tcW w:type="dxa" w:w="1928"/>
          </w:tcPr>
          <w:p>
            <w:pPr>
              <w:spacing w:line="252" w:lineRule="auto" w:after="30" w:before="30"/>
              <w:jc w:val="center"/>
            </w:pPr>
            <w:r/>
            <w:r>
              <w:rPr>
                <w:rFonts w:ascii="Times New Roman" w:hAnsi="Times New Roman" w:eastAsia="宋体"/>
                <w:b/>
                <w:i w:val="0"/>
                <w:sz w:val="18"/>
              </w:rPr>
              <w:t>来源</w:t>
            </w:r>
          </w:p>
        </w:tc>
        <w:tc>
          <w:tcPr>
            <w:tcW w:type="dxa" w:w="2041"/>
          </w:tcPr>
          <w:p>
            <w:pPr>
              <w:spacing w:line="252" w:lineRule="auto" w:after="30" w:before="30"/>
              <w:jc w:val="center"/>
            </w:pPr>
            <w:r/>
            <w:r>
              <w:rPr>
                <w:rFonts w:ascii="Times New Roman" w:hAnsi="Times New Roman" w:eastAsia="宋体"/>
                <w:b/>
                <w:i w:val="0"/>
                <w:sz w:val="18"/>
              </w:rPr>
              <w:t>标识</w:t>
            </w:r>
          </w:p>
        </w:tc>
        <w:tc>
          <w:tcPr>
            <w:tcW w:type="dxa" w:w="1020"/>
          </w:tcPr>
          <w:p>
            <w:pPr>
              <w:spacing w:line="252" w:lineRule="auto" w:after="30" w:before="30"/>
              <w:jc w:val="center"/>
            </w:pPr>
            <w:r/>
            <w:r>
              <w:rPr>
                <w:rFonts w:ascii="Times New Roman" w:hAnsi="Times New Roman" w:eastAsia="宋体"/>
                <w:b/>
                <w:i w:val="0"/>
                <w:sz w:val="18"/>
              </w:rPr>
              <w:t>核验状态</w:t>
            </w:r>
          </w:p>
        </w:tc>
      </w:tr>
      <w:tr>
        <w:tc>
          <w:tcPr>
            <w:tcW w:type="dxa" w:w="1928"/>
          </w:tcPr>
          <w:p>
            <w:pPr>
              <w:spacing w:line="252" w:lineRule="auto" w:after="30" w:before="30"/>
            </w:pPr>
            <w:r/>
            <w:r>
              <w:rPr>
                <w:rFonts w:ascii="Times New Roman" w:hAnsi="Times New Roman" w:eastAsia="宋体"/>
                <w:b w:val="0"/>
                <w:i w:val="0"/>
                <w:sz w:val="17"/>
              </w:rPr>
              <w:t>Tuckett &amp; Taffler (2008)</w:t>
            </w:r>
          </w:p>
        </w:tc>
        <w:tc>
          <w:tcPr>
            <w:tcW w:type="dxa" w:w="1814"/>
          </w:tcPr>
          <w:p>
            <w:pPr>
              <w:spacing w:line="252" w:lineRule="auto" w:after="30" w:before="30"/>
            </w:pPr>
            <w:r/>
            <w:r>
              <w:rPr>
                <w:rFonts w:ascii="Times New Roman" w:hAnsi="Times New Roman" w:eastAsia="宋体"/>
                <w:b w:val="0"/>
                <w:i w:val="0"/>
                <w:sz w:val="17"/>
              </w:rPr>
              <w:t>幻觉客体与市场现实感</w:t>
            </w:r>
          </w:p>
        </w:tc>
        <w:tc>
          <w:tcPr>
            <w:tcW w:type="dxa" w:w="1474"/>
          </w:tcPr>
          <w:p>
            <w:pPr>
              <w:spacing w:line="252" w:lineRule="auto" w:after="30" w:before="30"/>
            </w:pPr>
            <w:r/>
            <w:r>
              <w:rPr>
                <w:rFonts w:ascii="Times New Roman" w:hAnsi="Times New Roman" w:eastAsia="宋体"/>
                <w:b w:val="0"/>
                <w:i w:val="0"/>
                <w:sz w:val="17"/>
              </w:rPr>
              <w:t>理论+案例</w:t>
            </w:r>
          </w:p>
        </w:tc>
        <w:tc>
          <w:tcPr>
            <w:tcW w:type="dxa" w:w="1928"/>
          </w:tcPr>
          <w:p>
            <w:pPr>
              <w:spacing w:line="252" w:lineRule="auto" w:after="30" w:before="30"/>
            </w:pPr>
            <w:r/>
            <w:r>
              <w:rPr>
                <w:rFonts w:ascii="Times New Roman" w:hAnsi="Times New Roman" w:eastAsia="宋体"/>
                <w:b w:val="0"/>
                <w:i w:val="0"/>
                <w:sz w:val="17"/>
              </w:rPr>
              <w:t>IJP 89(2):389-412</w:t>
            </w:r>
          </w:p>
        </w:tc>
        <w:tc>
          <w:tcPr>
            <w:tcW w:type="dxa" w:w="2041"/>
          </w:tcPr>
          <w:p>
            <w:pPr>
              <w:spacing w:line="252" w:lineRule="auto" w:after="30" w:before="30"/>
            </w:pPr>
            <w:r/>
            <w:r>
              <w:rPr>
                <w:rFonts w:ascii="Times New Roman" w:hAnsi="Times New Roman" w:eastAsia="宋体"/>
                <w:b w:val="0"/>
                <w:i w:val="0"/>
                <w:sz w:val="17"/>
              </w:rPr>
              <w:t>DOI 10.1111/j.1745-8315.2008.00040.x</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Taffler (2017/2018)</w:t>
            </w:r>
          </w:p>
        </w:tc>
        <w:tc>
          <w:tcPr>
            <w:tcW w:type="dxa" w:w="1814"/>
          </w:tcPr>
          <w:p>
            <w:pPr>
              <w:spacing w:line="252" w:lineRule="auto" w:after="30" w:before="30"/>
            </w:pPr>
            <w:r/>
            <w:r>
              <w:rPr>
                <w:rFonts w:ascii="Times New Roman" w:hAnsi="Times New Roman" w:eastAsia="宋体"/>
                <w:b w:val="0"/>
                <w:i w:val="0"/>
                <w:sz w:val="17"/>
              </w:rPr>
              <w:t>情绪金融：投资与无意识</w:t>
            </w:r>
          </w:p>
        </w:tc>
        <w:tc>
          <w:tcPr>
            <w:tcW w:type="dxa" w:w="1474"/>
          </w:tcPr>
          <w:p>
            <w:pPr>
              <w:spacing w:line="252" w:lineRule="auto" w:after="30" w:before="30"/>
            </w:pPr>
            <w:r/>
            <w:r>
              <w:rPr>
                <w:rFonts w:ascii="Times New Roman" w:hAnsi="Times New Roman" w:eastAsia="宋体"/>
                <w:b w:val="0"/>
                <w:i w:val="0"/>
                <w:sz w:val="17"/>
              </w:rPr>
              <w:t>理论综述</w:t>
            </w:r>
          </w:p>
        </w:tc>
        <w:tc>
          <w:tcPr>
            <w:tcW w:type="dxa" w:w="1928"/>
          </w:tcPr>
          <w:p>
            <w:pPr>
              <w:spacing w:line="252" w:lineRule="auto" w:after="30" w:before="30"/>
            </w:pPr>
            <w:r/>
            <w:r>
              <w:rPr>
                <w:rFonts w:ascii="Times New Roman" w:hAnsi="Times New Roman" w:eastAsia="宋体"/>
                <w:b w:val="0"/>
                <w:i w:val="0"/>
                <w:sz w:val="17"/>
              </w:rPr>
              <w:t>European Journal of Finance</w:t>
            </w:r>
          </w:p>
        </w:tc>
        <w:tc>
          <w:tcPr>
            <w:tcW w:type="dxa" w:w="2041"/>
          </w:tcPr>
          <w:p>
            <w:pPr>
              <w:spacing w:line="252" w:lineRule="auto" w:after="30" w:before="30"/>
            </w:pPr>
            <w:r/>
            <w:r>
              <w:rPr>
                <w:rFonts w:ascii="Times New Roman" w:hAnsi="Times New Roman" w:eastAsia="宋体"/>
                <w:b w:val="0"/>
                <w:i w:val="0"/>
                <w:sz w:val="17"/>
              </w:rPr>
              <w:t>DOI 10.1080/1351847X.2017.1369445</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Tuckett (2011)</w:t>
            </w:r>
          </w:p>
        </w:tc>
        <w:tc>
          <w:tcPr>
            <w:tcW w:type="dxa" w:w="1814"/>
          </w:tcPr>
          <w:p>
            <w:pPr>
              <w:spacing w:line="252" w:lineRule="auto" w:after="30" w:before="30"/>
            </w:pPr>
            <w:r/>
            <w:r>
              <w:rPr>
                <w:rFonts w:ascii="Times New Roman" w:hAnsi="Times New Roman" w:eastAsia="宋体"/>
                <w:b w:val="0"/>
                <w:i w:val="0"/>
                <w:sz w:val="17"/>
              </w:rPr>
              <w:t>《读懂市场》专著</w:t>
            </w:r>
          </w:p>
        </w:tc>
        <w:tc>
          <w:tcPr>
            <w:tcW w:type="dxa" w:w="1474"/>
          </w:tcPr>
          <w:p>
            <w:pPr>
              <w:spacing w:line="252" w:lineRule="auto" w:after="30" w:before="30"/>
            </w:pPr>
            <w:r/>
            <w:r>
              <w:rPr>
                <w:rFonts w:ascii="Times New Roman" w:hAnsi="Times New Roman" w:eastAsia="宋体"/>
                <w:b w:val="0"/>
                <w:i w:val="0"/>
                <w:sz w:val="17"/>
              </w:rPr>
              <w:t>专著</w:t>
            </w:r>
          </w:p>
        </w:tc>
        <w:tc>
          <w:tcPr>
            <w:tcW w:type="dxa" w:w="1928"/>
          </w:tcPr>
          <w:p>
            <w:pPr>
              <w:spacing w:line="252" w:lineRule="auto" w:after="30" w:before="30"/>
            </w:pPr>
            <w:r/>
            <w:r>
              <w:rPr>
                <w:rFonts w:ascii="Times New Roman" w:hAnsi="Times New Roman" w:eastAsia="宋体"/>
                <w:b w:val="0"/>
                <w:i w:val="0"/>
                <w:sz w:val="17"/>
              </w:rPr>
              <w:t>Palgrave Macmillan</w:t>
            </w:r>
          </w:p>
        </w:tc>
        <w:tc>
          <w:tcPr>
            <w:tcW w:type="dxa" w:w="2041"/>
          </w:tcPr>
          <w:p>
            <w:pPr>
              <w:spacing w:line="252" w:lineRule="auto" w:after="30" w:before="30"/>
            </w:pPr>
            <w:r/>
            <w:r>
              <w:rPr>
                <w:rFonts w:ascii="Times New Roman" w:hAnsi="Times New Roman" w:eastAsia="宋体"/>
                <w:b w:val="0"/>
                <w:i w:val="0"/>
                <w:sz w:val="17"/>
              </w:rPr>
              <w:t>见 Warwick 政策简报引用[15]</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Taffler &amp; Tuckett (2010)</w:t>
            </w:r>
          </w:p>
        </w:tc>
        <w:tc>
          <w:tcPr>
            <w:tcW w:type="dxa" w:w="1814"/>
          </w:tcPr>
          <w:p>
            <w:pPr>
              <w:spacing w:line="252" w:lineRule="auto" w:after="30" w:before="30"/>
            </w:pPr>
            <w:r/>
            <w:r>
              <w:rPr>
                <w:rFonts w:ascii="Times New Roman" w:hAnsi="Times New Roman" w:eastAsia="宋体"/>
                <w:b w:val="0"/>
                <w:i w:val="0"/>
                <w:sz w:val="17"/>
              </w:rPr>
              <w:t>无意识在金融决策中的作用</w:t>
            </w:r>
          </w:p>
        </w:tc>
        <w:tc>
          <w:tcPr>
            <w:tcW w:type="dxa" w:w="1474"/>
          </w:tcPr>
          <w:p>
            <w:pPr>
              <w:spacing w:line="252" w:lineRule="auto" w:after="30" w:before="30"/>
            </w:pPr>
            <w:r/>
            <w:r>
              <w:rPr>
                <w:rFonts w:ascii="Times New Roman" w:hAnsi="Times New Roman" w:eastAsia="宋体"/>
                <w:b w:val="0"/>
                <w:i w:val="0"/>
                <w:sz w:val="17"/>
              </w:rPr>
              <w:t>手册章节</w:t>
            </w:r>
          </w:p>
        </w:tc>
        <w:tc>
          <w:tcPr>
            <w:tcW w:type="dxa" w:w="1928"/>
          </w:tcPr>
          <w:p>
            <w:pPr>
              <w:spacing w:line="252" w:lineRule="auto" w:after="30" w:before="30"/>
            </w:pPr>
            <w:r/>
            <w:r>
              <w:rPr>
                <w:rFonts w:ascii="Times New Roman" w:hAnsi="Times New Roman" w:eastAsia="宋体"/>
                <w:b w:val="0"/>
                <w:i w:val="0"/>
                <w:sz w:val="17"/>
              </w:rPr>
              <w:t>Behavioral Finance (Wiley)</w:t>
            </w:r>
          </w:p>
        </w:tc>
        <w:tc>
          <w:tcPr>
            <w:tcW w:type="dxa" w:w="2041"/>
          </w:tcPr>
          <w:p>
            <w:pPr>
              <w:spacing w:line="252" w:lineRule="auto" w:after="30" w:before="30"/>
            </w:pPr>
            <w:r/>
            <w:r>
              <w:rPr>
                <w:rFonts w:ascii="Times New Roman" w:hAnsi="Times New Roman" w:eastAsia="宋体"/>
                <w:b w:val="0"/>
                <w:i w:val="0"/>
                <w:sz w:val="17"/>
              </w:rPr>
              <w:t>DOI 10.1002/9781118258415.ch6</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Eshraghi &amp; Taffler (2012)</w:t>
            </w:r>
          </w:p>
        </w:tc>
        <w:tc>
          <w:tcPr>
            <w:tcW w:type="dxa" w:w="1814"/>
          </w:tcPr>
          <w:p>
            <w:pPr>
              <w:spacing w:line="252" w:lineRule="auto" w:after="30" w:before="30"/>
            </w:pPr>
            <w:r/>
            <w:r>
              <w:rPr>
                <w:rFonts w:ascii="Times New Roman" w:hAnsi="Times New Roman" w:eastAsia="宋体"/>
                <w:b w:val="0"/>
                <w:i w:val="0"/>
                <w:sz w:val="17"/>
              </w:rPr>
              <w:t>对冲基金与无意识幻想</w:t>
            </w:r>
          </w:p>
        </w:tc>
        <w:tc>
          <w:tcPr>
            <w:tcW w:type="dxa" w:w="1474"/>
          </w:tcPr>
          <w:p>
            <w:pPr>
              <w:spacing w:line="252" w:lineRule="auto" w:after="30" w:before="30"/>
            </w:pPr>
            <w:r/>
            <w:r>
              <w:rPr>
                <w:rFonts w:ascii="Times New Roman" w:hAnsi="Times New Roman" w:eastAsia="宋体"/>
                <w:b w:val="0"/>
                <w:i w:val="0"/>
                <w:sz w:val="17"/>
              </w:rPr>
              <w:t>质性研究</w:t>
            </w:r>
          </w:p>
        </w:tc>
        <w:tc>
          <w:tcPr>
            <w:tcW w:type="dxa" w:w="1928"/>
          </w:tcPr>
          <w:p>
            <w:pPr>
              <w:spacing w:line="252" w:lineRule="auto" w:after="30" w:before="30"/>
            </w:pPr>
            <w:r/>
            <w:r>
              <w:rPr>
                <w:rFonts w:ascii="Times New Roman" w:hAnsi="Times New Roman" w:eastAsia="宋体"/>
                <w:b w:val="0"/>
                <w:i w:val="0"/>
                <w:sz w:val="17"/>
              </w:rPr>
              <w:t>AAAJ 25(8)</w:t>
            </w:r>
          </w:p>
        </w:tc>
        <w:tc>
          <w:tcPr>
            <w:tcW w:type="dxa" w:w="2041"/>
          </w:tcPr>
          <w:p>
            <w:pPr>
              <w:spacing w:line="252" w:lineRule="auto" w:after="30" w:before="30"/>
            </w:pPr>
            <w:r/>
            <w:r>
              <w:rPr>
                <w:rFonts w:ascii="Times New Roman" w:hAnsi="Times New Roman" w:eastAsia="宋体"/>
                <w:b w:val="0"/>
                <w:i w:val="0"/>
                <w:sz w:val="17"/>
              </w:rPr>
              <w:t>DOI 10.1108/09513571211275461</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Ryan, Taffler &amp; Branigan (2023)</w:t>
            </w:r>
          </w:p>
        </w:tc>
        <w:tc>
          <w:tcPr>
            <w:tcW w:type="dxa" w:w="1814"/>
          </w:tcPr>
          <w:p>
            <w:pPr>
              <w:spacing w:line="252" w:lineRule="auto" w:after="30" w:before="30"/>
            </w:pPr>
            <w:r/>
            <w:r>
              <w:rPr>
                <w:rFonts w:ascii="Times New Roman" w:hAnsi="Times New Roman" w:eastAsia="宋体"/>
                <w:b w:val="0"/>
                <w:i w:val="0"/>
                <w:sz w:val="17"/>
              </w:rPr>
              <w:t>爱尔兰房地产泡沫的精神分析</w:t>
            </w:r>
          </w:p>
        </w:tc>
        <w:tc>
          <w:tcPr>
            <w:tcW w:type="dxa" w:w="1474"/>
          </w:tcPr>
          <w:p>
            <w:pPr>
              <w:spacing w:line="252" w:lineRule="auto" w:after="30" w:before="30"/>
            </w:pPr>
            <w:r/>
            <w:r>
              <w:rPr>
                <w:rFonts w:ascii="Times New Roman" w:hAnsi="Times New Roman" w:eastAsia="宋体"/>
                <w:b w:val="0"/>
                <w:i w:val="0"/>
                <w:sz w:val="17"/>
              </w:rPr>
              <w:t>案例研究</w:t>
            </w:r>
          </w:p>
        </w:tc>
        <w:tc>
          <w:tcPr>
            <w:tcW w:type="dxa" w:w="1928"/>
          </w:tcPr>
          <w:p>
            <w:pPr>
              <w:spacing w:line="252" w:lineRule="auto" w:after="30" w:before="30"/>
            </w:pPr>
            <w:r/>
            <w:r>
              <w:rPr>
                <w:rFonts w:ascii="Times New Roman" w:hAnsi="Times New Roman" w:eastAsia="宋体"/>
                <w:b w:val="0"/>
                <w:i w:val="0"/>
                <w:sz w:val="17"/>
              </w:rPr>
              <w:t>IJAPS 20(4):666-681</w:t>
            </w:r>
          </w:p>
        </w:tc>
        <w:tc>
          <w:tcPr>
            <w:tcW w:type="dxa" w:w="2041"/>
          </w:tcPr>
          <w:p>
            <w:pPr>
              <w:spacing w:line="252" w:lineRule="auto" w:after="30" w:before="30"/>
            </w:pPr>
            <w:r/>
            <w:r>
              <w:rPr>
                <w:rFonts w:ascii="Times New Roman" w:hAnsi="Times New Roman" w:eastAsia="宋体"/>
                <w:b w:val="0"/>
                <w:i w:val="0"/>
                <w:sz w:val="17"/>
              </w:rPr>
              <w:t>DOI 10.1002/aps.1804</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Pignot (2015)</w:t>
            </w:r>
          </w:p>
        </w:tc>
        <w:tc>
          <w:tcPr>
            <w:tcW w:type="dxa" w:w="1814"/>
          </w:tcPr>
          <w:p>
            <w:pPr>
              <w:spacing w:line="252" w:lineRule="auto" w:after="30" w:before="30"/>
            </w:pPr>
            <w:r/>
            <w:r>
              <w:rPr>
                <w:rFonts w:ascii="Times New Roman" w:hAnsi="Times New Roman" w:eastAsia="宋体"/>
                <w:b w:val="0"/>
                <w:i w:val="0"/>
                <w:sz w:val="17"/>
              </w:rPr>
              <w:t>用拉康分析高盛腐败交易</w:t>
            </w:r>
          </w:p>
        </w:tc>
        <w:tc>
          <w:tcPr>
            <w:tcW w:type="dxa" w:w="1474"/>
          </w:tcPr>
          <w:p>
            <w:pPr>
              <w:spacing w:line="252" w:lineRule="auto" w:after="30" w:before="30"/>
            </w:pPr>
            <w:r/>
            <w:r>
              <w:rPr>
                <w:rFonts w:ascii="Times New Roman" w:hAnsi="Times New Roman" w:eastAsia="宋体"/>
                <w:b w:val="0"/>
                <w:i w:val="0"/>
                <w:sz w:val="17"/>
              </w:rPr>
              <w:t>质性+邮件证据</w:t>
            </w:r>
          </w:p>
        </w:tc>
        <w:tc>
          <w:tcPr>
            <w:tcW w:type="dxa" w:w="1928"/>
          </w:tcPr>
          <w:p>
            <w:pPr>
              <w:spacing w:line="252" w:lineRule="auto" w:after="30" w:before="30"/>
            </w:pPr>
            <w:r/>
            <w:r>
              <w:rPr>
                <w:rFonts w:ascii="Times New Roman" w:hAnsi="Times New Roman" w:eastAsia="宋体"/>
                <w:b w:val="0"/>
                <w:i w:val="0"/>
                <w:sz w:val="17"/>
              </w:rPr>
              <w:t>ephemera 15(2)</w:t>
            </w:r>
          </w:p>
        </w:tc>
        <w:tc>
          <w:tcPr>
            <w:tcW w:type="dxa" w:w="2041"/>
          </w:tcPr>
          <w:p>
            <w:pPr>
              <w:spacing w:line="252" w:lineRule="auto" w:after="30" w:before="30"/>
            </w:pPr>
            <w:r/>
            <w:r>
              <w:rPr>
                <w:rFonts w:ascii="Times New Roman" w:hAnsi="Times New Roman" w:eastAsia="宋体"/>
                <w:b w:val="0"/>
                <w:i w:val="0"/>
                <w:sz w:val="17"/>
              </w:rPr>
              <w:t>期刊页可查</w:t>
            </w:r>
          </w:p>
        </w:tc>
        <w:tc>
          <w:tcPr>
            <w:tcW w:type="dxa" w:w="1020"/>
          </w:tcPr>
          <w:p>
            <w:pPr>
              <w:spacing w:line="252" w:lineRule="auto" w:after="30" w:before="30"/>
            </w:pPr>
            <w:r/>
            <w:r>
              <w:rPr>
                <w:rFonts w:ascii="Times New Roman" w:hAnsi="Times New Roman" w:eastAsia="宋体"/>
                <w:b w:val="0"/>
                <w:i w:val="0"/>
                <w:sz w:val="17"/>
              </w:rPr>
              <w:t>部分核验</w:t>
            </w:r>
          </w:p>
        </w:tc>
      </w:tr>
      <w:tr>
        <w:tc>
          <w:tcPr>
            <w:tcW w:type="dxa" w:w="1928"/>
          </w:tcPr>
          <w:p>
            <w:pPr>
              <w:spacing w:line="252" w:lineRule="auto" w:after="30" w:before="30"/>
            </w:pPr>
            <w:r/>
            <w:r>
              <w:rPr>
                <w:rFonts w:ascii="Times New Roman" w:hAnsi="Times New Roman" w:eastAsia="宋体"/>
                <w:b w:val="0"/>
                <w:i w:val="0"/>
                <w:sz w:val="17"/>
              </w:rPr>
              <w:t>McDonnell (2021)</w:t>
            </w:r>
          </w:p>
        </w:tc>
        <w:tc>
          <w:tcPr>
            <w:tcW w:type="dxa" w:w="1814"/>
          </w:tcPr>
          <w:p>
            <w:pPr>
              <w:spacing w:line="252" w:lineRule="auto" w:after="30" w:before="30"/>
            </w:pPr>
            <w:r/>
            <w:r>
              <w:rPr>
                <w:rFonts w:ascii="Times New Roman" w:hAnsi="Times New Roman" w:eastAsia="宋体"/>
                <w:b w:val="0"/>
                <w:i w:val="0"/>
                <w:sz w:val="17"/>
              </w:rPr>
              <w:t>前景理论的动力驱动因素</w:t>
            </w:r>
          </w:p>
        </w:tc>
        <w:tc>
          <w:tcPr>
            <w:tcW w:type="dxa" w:w="1474"/>
          </w:tcPr>
          <w:p>
            <w:pPr>
              <w:spacing w:line="252" w:lineRule="auto" w:after="30" w:before="30"/>
            </w:pPr>
            <w:r/>
            <w:r>
              <w:rPr>
                <w:rFonts w:ascii="Times New Roman" w:hAnsi="Times New Roman" w:eastAsia="宋体"/>
                <w:b w:val="0"/>
                <w:i w:val="0"/>
                <w:sz w:val="17"/>
              </w:rPr>
              <w:t>21 人访谈</w:t>
            </w:r>
          </w:p>
        </w:tc>
        <w:tc>
          <w:tcPr>
            <w:tcW w:type="dxa" w:w="1928"/>
          </w:tcPr>
          <w:p>
            <w:pPr>
              <w:spacing w:line="252" w:lineRule="auto" w:after="30" w:before="30"/>
            </w:pPr>
            <w:r/>
            <w:r>
              <w:rPr>
                <w:rFonts w:ascii="Times New Roman" w:hAnsi="Times New Roman" w:eastAsia="宋体"/>
                <w:b w:val="0"/>
                <w:i w:val="0"/>
                <w:sz w:val="17"/>
              </w:rPr>
              <w:t>INSEAD EMC 论文</w:t>
            </w:r>
          </w:p>
        </w:tc>
        <w:tc>
          <w:tcPr>
            <w:tcW w:type="dxa" w:w="2041"/>
          </w:tcPr>
          <w:p>
            <w:pPr>
              <w:spacing w:line="252" w:lineRule="auto" w:after="30" w:before="30"/>
            </w:pPr>
            <w:r/>
            <w:r>
              <w:rPr>
                <w:rFonts w:ascii="Times New Roman" w:hAnsi="Times New Roman" w:eastAsia="宋体"/>
                <w:b w:val="0"/>
                <w:i w:val="0"/>
                <w:sz w:val="17"/>
              </w:rPr>
              <w:t>公开 PDF</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Kets de Vries (2016)</w:t>
            </w:r>
          </w:p>
        </w:tc>
        <w:tc>
          <w:tcPr>
            <w:tcW w:type="dxa" w:w="1814"/>
          </w:tcPr>
          <w:p>
            <w:pPr>
              <w:spacing w:line="252" w:lineRule="auto" w:after="30" w:before="30"/>
            </w:pPr>
            <w:r/>
            <w:r>
              <w:rPr>
                <w:rFonts w:ascii="Times New Roman" w:hAnsi="Times New Roman" w:eastAsia="宋体"/>
                <w:b w:val="0"/>
                <w:i w:val="0"/>
                <w:sz w:val="17"/>
              </w:rPr>
              <w:t>贪婪综合征</w:t>
            </w:r>
          </w:p>
        </w:tc>
        <w:tc>
          <w:tcPr>
            <w:tcW w:type="dxa" w:w="1474"/>
          </w:tcPr>
          <w:p>
            <w:pPr>
              <w:spacing w:line="252" w:lineRule="auto" w:after="30" w:before="30"/>
            </w:pPr>
            <w:r/>
            <w:r>
              <w:rPr>
                <w:rFonts w:ascii="Times New Roman" w:hAnsi="Times New Roman" w:eastAsia="宋体"/>
                <w:b w:val="0"/>
                <w:i w:val="0"/>
                <w:sz w:val="17"/>
              </w:rPr>
              <w:t>工作论文+案例</w:t>
            </w:r>
          </w:p>
        </w:tc>
        <w:tc>
          <w:tcPr>
            <w:tcW w:type="dxa" w:w="1928"/>
          </w:tcPr>
          <w:p>
            <w:pPr>
              <w:spacing w:line="252" w:lineRule="auto" w:after="30" w:before="30"/>
            </w:pPr>
            <w:r/>
            <w:r>
              <w:rPr>
                <w:rFonts w:ascii="Times New Roman" w:hAnsi="Times New Roman" w:eastAsia="宋体"/>
                <w:b w:val="0"/>
                <w:i w:val="0"/>
                <w:sz w:val="17"/>
              </w:rPr>
              <w:t>INSEAD WP 2016/26/EFE</w:t>
            </w:r>
          </w:p>
        </w:tc>
        <w:tc>
          <w:tcPr>
            <w:tcW w:type="dxa" w:w="2041"/>
          </w:tcPr>
          <w:p>
            <w:pPr>
              <w:spacing w:line="252" w:lineRule="auto" w:after="30" w:before="30"/>
            </w:pPr>
            <w:r/>
            <w:r>
              <w:rPr>
                <w:rFonts w:ascii="Times New Roman" w:hAnsi="Times New Roman" w:eastAsia="宋体"/>
                <w:b w:val="0"/>
                <w:i w:val="0"/>
                <w:sz w:val="17"/>
              </w:rPr>
              <w:t>SSRN 2766233</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Kingma (2017)</w:t>
            </w:r>
          </w:p>
        </w:tc>
        <w:tc>
          <w:tcPr>
            <w:tcW w:type="dxa" w:w="1814"/>
          </w:tcPr>
          <w:p>
            <w:pPr>
              <w:spacing w:line="252" w:lineRule="auto" w:after="30" w:before="30"/>
            </w:pPr>
            <w:r/>
            <w:r>
              <w:rPr>
                <w:rFonts w:ascii="Times New Roman" w:hAnsi="Times New Roman" w:eastAsia="宋体"/>
                <w:b w:val="0"/>
                <w:i w:val="0"/>
                <w:sz w:val="17"/>
              </w:rPr>
              <w:t>陀思妥耶夫斯基与弗洛伊德：赌博成瘾</w:t>
            </w:r>
          </w:p>
        </w:tc>
        <w:tc>
          <w:tcPr>
            <w:tcW w:type="dxa" w:w="1474"/>
          </w:tcPr>
          <w:p>
            <w:pPr>
              <w:spacing w:line="252" w:lineRule="auto" w:after="30" w:before="30"/>
            </w:pPr>
            <w:r/>
            <w:r>
              <w:rPr>
                <w:rFonts w:ascii="Times New Roman" w:hAnsi="Times New Roman" w:eastAsia="宋体"/>
                <w:b w:val="0"/>
                <w:i w:val="0"/>
                <w:sz w:val="17"/>
              </w:rPr>
              <w:t>历史社会学</w:t>
            </w:r>
          </w:p>
        </w:tc>
        <w:tc>
          <w:tcPr>
            <w:tcW w:type="dxa" w:w="1928"/>
          </w:tcPr>
          <w:p>
            <w:pPr>
              <w:spacing w:line="252" w:lineRule="auto" w:after="30" w:before="30"/>
            </w:pPr>
            <w:r/>
            <w:r>
              <w:rPr>
                <w:rFonts w:ascii="Times New Roman" w:hAnsi="Times New Roman" w:eastAsia="宋体"/>
                <w:b w:val="0"/>
                <w:i w:val="0"/>
                <w:sz w:val="17"/>
              </w:rPr>
              <w:t>J. Historical Sociology 30(4)</w:t>
            </w:r>
          </w:p>
        </w:tc>
        <w:tc>
          <w:tcPr>
            <w:tcW w:type="dxa" w:w="2041"/>
          </w:tcPr>
          <w:p>
            <w:pPr>
              <w:spacing w:line="252" w:lineRule="auto" w:after="30" w:before="30"/>
            </w:pPr>
            <w:r/>
            <w:r>
              <w:rPr>
                <w:rFonts w:ascii="Times New Roman" w:hAnsi="Times New Roman" w:eastAsia="宋体"/>
                <w:b w:val="0"/>
                <w:i w:val="0"/>
                <w:sz w:val="17"/>
              </w:rPr>
              <w:t>DOI 10.1111/johs.12086</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Dias 等 (2008)</w:t>
            </w:r>
          </w:p>
        </w:tc>
        <w:tc>
          <w:tcPr>
            <w:tcW w:type="dxa" w:w="1814"/>
          </w:tcPr>
          <w:p>
            <w:pPr>
              <w:spacing w:line="252" w:lineRule="auto" w:after="30" w:before="30"/>
            </w:pPr>
            <w:r/>
            <w:r>
              <w:rPr>
                <w:rFonts w:ascii="Times New Roman" w:hAnsi="Times New Roman" w:eastAsia="宋体"/>
                <w:b w:val="0"/>
                <w:i w:val="0"/>
                <w:sz w:val="17"/>
              </w:rPr>
              <w:t>《赌徒》中的病理性赌博</w:t>
            </w:r>
          </w:p>
        </w:tc>
        <w:tc>
          <w:tcPr>
            <w:tcW w:type="dxa" w:w="1474"/>
          </w:tcPr>
          <w:p>
            <w:pPr>
              <w:spacing w:line="252" w:lineRule="auto" w:after="30" w:before="30"/>
            </w:pPr>
            <w:r/>
            <w:r>
              <w:rPr>
                <w:rFonts w:ascii="Times New Roman" w:hAnsi="Times New Roman" w:eastAsia="宋体"/>
                <w:b w:val="0"/>
                <w:i w:val="0"/>
                <w:sz w:val="17"/>
              </w:rPr>
              <w:t>临床文本分析</w:t>
            </w:r>
          </w:p>
        </w:tc>
        <w:tc>
          <w:tcPr>
            <w:tcW w:type="dxa" w:w="1928"/>
          </w:tcPr>
          <w:p>
            <w:pPr>
              <w:spacing w:line="252" w:lineRule="auto" w:after="30" w:before="30"/>
            </w:pPr>
            <w:r/>
            <w:r>
              <w:rPr>
                <w:rFonts w:ascii="Times New Roman" w:hAnsi="Times New Roman" w:eastAsia="宋体"/>
                <w:b w:val="0"/>
                <w:i w:val="0"/>
                <w:sz w:val="17"/>
              </w:rPr>
              <w:t>Rev Psiquiatr RS 30(3)</w:t>
            </w:r>
          </w:p>
        </w:tc>
        <w:tc>
          <w:tcPr>
            <w:tcW w:type="dxa" w:w="2041"/>
          </w:tcPr>
          <w:p>
            <w:pPr>
              <w:spacing w:line="252" w:lineRule="auto" w:after="30" w:before="30"/>
            </w:pPr>
            <w:r/>
            <w:r>
              <w:rPr>
                <w:rFonts w:ascii="Times New Roman" w:hAnsi="Times New Roman" w:eastAsia="宋体"/>
                <w:b w:val="0"/>
                <w:i w:val="0"/>
                <w:sz w:val="17"/>
              </w:rPr>
              <w:t>期刊页可查</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Roza 等 (2024)</w:t>
            </w:r>
          </w:p>
        </w:tc>
        <w:tc>
          <w:tcPr>
            <w:tcW w:type="dxa" w:w="1814"/>
          </w:tcPr>
          <w:p>
            <w:pPr>
              <w:spacing w:line="252" w:lineRule="auto" w:after="30" w:before="30"/>
            </w:pPr>
            <w:r/>
            <w:r>
              <w:rPr>
                <w:rFonts w:ascii="Times New Roman" w:hAnsi="Times New Roman" w:eastAsia="宋体"/>
                <w:b w:val="0"/>
                <w:i w:val="0"/>
                <w:sz w:val="17"/>
              </w:rPr>
              <w:t>问题交易：日交易与加密投资</w:t>
            </w:r>
          </w:p>
        </w:tc>
        <w:tc>
          <w:tcPr>
            <w:tcW w:type="dxa" w:w="1474"/>
          </w:tcPr>
          <w:p>
            <w:pPr>
              <w:spacing w:line="252" w:lineRule="auto" w:after="30" w:before="30"/>
            </w:pPr>
            <w:r/>
            <w:r>
              <w:rPr>
                <w:rFonts w:ascii="Times New Roman" w:hAnsi="Times New Roman" w:eastAsia="宋体"/>
                <w:b w:val="0"/>
                <w:i w:val="0"/>
                <w:sz w:val="17"/>
              </w:rPr>
              <w:t>社论+综述</w:t>
            </w:r>
          </w:p>
        </w:tc>
        <w:tc>
          <w:tcPr>
            <w:tcW w:type="dxa" w:w="1928"/>
          </w:tcPr>
          <w:p>
            <w:pPr>
              <w:spacing w:line="252" w:lineRule="auto" w:after="30" w:before="30"/>
            </w:pPr>
            <w:r/>
            <w:r>
              <w:rPr>
                <w:rFonts w:ascii="Times New Roman" w:hAnsi="Times New Roman" w:eastAsia="宋体"/>
                <w:b w:val="0"/>
                <w:i w:val="0"/>
                <w:sz w:val="17"/>
              </w:rPr>
              <w:t>Trends Psychiatry Psychother 46</w:t>
            </w:r>
          </w:p>
        </w:tc>
        <w:tc>
          <w:tcPr>
            <w:tcW w:type="dxa" w:w="2041"/>
          </w:tcPr>
          <w:p>
            <w:pPr>
              <w:spacing w:line="252" w:lineRule="auto" w:after="30" w:before="30"/>
            </w:pPr>
            <w:r/>
            <w:r>
              <w:rPr>
                <w:rFonts w:ascii="Times New Roman" w:hAnsi="Times New Roman" w:eastAsia="宋体"/>
                <w:b w:val="0"/>
                <w:i w:val="0"/>
                <w:sz w:val="17"/>
              </w:rPr>
              <w:t>DOI 10.47626/2237-6089-2023-0623</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Leong Wei Lyn 等 (2025)</w:t>
            </w:r>
          </w:p>
        </w:tc>
        <w:tc>
          <w:tcPr>
            <w:tcW w:type="dxa" w:w="1814"/>
          </w:tcPr>
          <w:p>
            <w:pPr>
              <w:spacing w:line="252" w:lineRule="auto" w:after="30" w:before="30"/>
            </w:pPr>
            <w:r/>
            <w:r>
              <w:rPr>
                <w:rFonts w:ascii="Times New Roman" w:hAnsi="Times New Roman" w:eastAsia="宋体"/>
                <w:b w:val="0"/>
                <w:i w:val="0"/>
                <w:sz w:val="17"/>
              </w:rPr>
              <w:t>股票/加密交易与问题赌博</w:t>
            </w:r>
          </w:p>
        </w:tc>
        <w:tc>
          <w:tcPr>
            <w:tcW w:type="dxa" w:w="1474"/>
          </w:tcPr>
          <w:p>
            <w:pPr>
              <w:spacing w:line="252" w:lineRule="auto" w:after="30" w:before="30"/>
            </w:pPr>
            <w:r/>
            <w:r>
              <w:rPr>
                <w:rFonts w:ascii="Times New Roman" w:hAnsi="Times New Roman" w:eastAsia="宋体"/>
                <w:b w:val="0"/>
                <w:i w:val="0"/>
                <w:sz w:val="17"/>
              </w:rPr>
              <w:t>叙述性综述</w:t>
            </w:r>
          </w:p>
        </w:tc>
        <w:tc>
          <w:tcPr>
            <w:tcW w:type="dxa" w:w="1928"/>
          </w:tcPr>
          <w:p>
            <w:pPr>
              <w:spacing w:line="252" w:lineRule="auto" w:after="30" w:before="30"/>
            </w:pPr>
            <w:r/>
            <w:r>
              <w:rPr>
                <w:rFonts w:ascii="Times New Roman" w:hAnsi="Times New Roman" w:eastAsia="宋体"/>
                <w:b w:val="0"/>
                <w:i w:val="0"/>
                <w:sz w:val="17"/>
              </w:rPr>
              <w:t>Front. Psychol. 16:1585094</w:t>
            </w:r>
          </w:p>
        </w:tc>
        <w:tc>
          <w:tcPr>
            <w:tcW w:type="dxa" w:w="2041"/>
          </w:tcPr>
          <w:p>
            <w:pPr>
              <w:spacing w:line="252" w:lineRule="auto" w:after="30" w:before="30"/>
            </w:pPr>
            <w:r/>
            <w:r>
              <w:rPr>
                <w:rFonts w:ascii="Times New Roman" w:hAnsi="Times New Roman" w:eastAsia="宋体"/>
                <w:b w:val="0"/>
                <w:i w:val="0"/>
                <w:sz w:val="17"/>
              </w:rPr>
              <w:t>DOI 10.3389/fpsyg.2025.1585094</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Hinvest 等 (2021)</w:t>
            </w:r>
          </w:p>
        </w:tc>
        <w:tc>
          <w:tcPr>
            <w:tcW w:type="dxa" w:w="1814"/>
          </w:tcPr>
          <w:p>
            <w:pPr>
              <w:spacing w:line="252" w:lineRule="auto" w:after="30" w:before="30"/>
            </w:pPr>
            <w:r/>
            <w:r>
              <w:rPr>
                <w:rFonts w:ascii="Times New Roman" w:hAnsi="Times New Roman" w:eastAsia="宋体"/>
                <w:b w:val="0"/>
                <w:i w:val="0"/>
                <w:sz w:val="17"/>
              </w:rPr>
              <w:t>预期性情绪与投资决策</w:t>
            </w:r>
          </w:p>
        </w:tc>
        <w:tc>
          <w:tcPr>
            <w:tcW w:type="dxa" w:w="1474"/>
          </w:tcPr>
          <w:p>
            <w:pPr>
              <w:spacing w:line="252" w:lineRule="auto" w:after="30" w:before="30"/>
            </w:pPr>
            <w:r/>
            <w:r>
              <w:rPr>
                <w:rFonts w:ascii="Times New Roman" w:hAnsi="Times New Roman" w:eastAsia="宋体"/>
                <w:b w:val="0"/>
                <w:i w:val="0"/>
                <w:sz w:val="17"/>
              </w:rPr>
              <w:t>实验（30 人，皮肤电）</w:t>
            </w:r>
          </w:p>
        </w:tc>
        <w:tc>
          <w:tcPr>
            <w:tcW w:type="dxa" w:w="1928"/>
          </w:tcPr>
          <w:p>
            <w:pPr>
              <w:spacing w:line="252" w:lineRule="auto" w:after="30" w:before="30"/>
            </w:pPr>
            <w:r/>
            <w:r>
              <w:rPr>
                <w:rFonts w:ascii="Times New Roman" w:hAnsi="Times New Roman" w:eastAsia="宋体"/>
                <w:b w:val="0"/>
                <w:i w:val="0"/>
                <w:sz w:val="17"/>
              </w:rPr>
              <w:t>Front. Psychol. 12:705476</w:t>
            </w:r>
          </w:p>
        </w:tc>
        <w:tc>
          <w:tcPr>
            <w:tcW w:type="dxa" w:w="2041"/>
          </w:tcPr>
          <w:p>
            <w:pPr>
              <w:spacing w:line="252" w:lineRule="auto" w:after="30" w:before="30"/>
            </w:pPr>
            <w:r/>
            <w:r>
              <w:rPr>
                <w:rFonts w:ascii="Times New Roman" w:hAnsi="Times New Roman" w:eastAsia="宋体"/>
                <w:b w:val="0"/>
                <w:i w:val="0"/>
                <w:sz w:val="17"/>
              </w:rPr>
              <w:t>DOI 10.3389/fpsyg.2021.705476</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Dunn, Dalgleish &amp; Lawrence (2006)</w:t>
            </w:r>
          </w:p>
        </w:tc>
        <w:tc>
          <w:tcPr>
            <w:tcW w:type="dxa" w:w="1814"/>
          </w:tcPr>
          <w:p>
            <w:pPr>
              <w:spacing w:line="252" w:lineRule="auto" w:after="30" w:before="30"/>
            </w:pPr>
            <w:r/>
            <w:r>
              <w:rPr>
                <w:rFonts w:ascii="Times New Roman" w:hAnsi="Times New Roman" w:eastAsia="宋体"/>
                <w:b w:val="0"/>
                <w:i w:val="0"/>
                <w:sz w:val="17"/>
              </w:rPr>
              <w:t>躯体标记假说的批判评估</w:t>
            </w:r>
          </w:p>
        </w:tc>
        <w:tc>
          <w:tcPr>
            <w:tcW w:type="dxa" w:w="1474"/>
          </w:tcPr>
          <w:p>
            <w:pPr>
              <w:spacing w:line="252" w:lineRule="auto" w:after="30" w:before="30"/>
            </w:pPr>
            <w:r/>
            <w:r>
              <w:rPr>
                <w:rFonts w:ascii="Times New Roman" w:hAnsi="Times New Roman" w:eastAsia="宋体"/>
                <w:b w:val="0"/>
                <w:i w:val="0"/>
                <w:sz w:val="17"/>
              </w:rPr>
              <w:t>方法学综述</w:t>
            </w:r>
          </w:p>
        </w:tc>
        <w:tc>
          <w:tcPr>
            <w:tcW w:type="dxa" w:w="1928"/>
          </w:tcPr>
          <w:p>
            <w:pPr>
              <w:spacing w:line="252" w:lineRule="auto" w:after="30" w:before="30"/>
            </w:pPr>
            <w:r/>
            <w:r>
              <w:rPr>
                <w:rFonts w:ascii="Times New Roman" w:hAnsi="Times New Roman" w:eastAsia="宋体"/>
                <w:b w:val="0"/>
                <w:i w:val="0"/>
                <w:sz w:val="17"/>
              </w:rPr>
              <w:t>Neurosci. Biobehav. Rev. 30</w:t>
            </w:r>
          </w:p>
        </w:tc>
        <w:tc>
          <w:tcPr>
            <w:tcW w:type="dxa" w:w="2041"/>
          </w:tcPr>
          <w:p>
            <w:pPr>
              <w:spacing w:line="252" w:lineRule="auto" w:after="30" w:before="30"/>
            </w:pPr>
            <w:r/>
            <w:r>
              <w:rPr>
                <w:rFonts w:ascii="Times New Roman" w:hAnsi="Times New Roman" w:eastAsia="宋体"/>
                <w:b w:val="0"/>
                <w:i w:val="0"/>
                <w:sz w:val="17"/>
              </w:rPr>
              <w:t>期刊页可查</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Maurer (2002)</w:t>
            </w:r>
          </w:p>
        </w:tc>
        <w:tc>
          <w:tcPr>
            <w:tcW w:type="dxa" w:w="1814"/>
          </w:tcPr>
          <w:p>
            <w:pPr>
              <w:spacing w:line="252" w:lineRule="auto" w:after="30" w:before="30"/>
            </w:pPr>
            <w:r/>
            <w:r>
              <w:rPr>
                <w:rFonts w:ascii="Times New Roman" w:hAnsi="Times New Roman" w:eastAsia="宋体"/>
                <w:b w:val="0"/>
                <w:i w:val="0"/>
                <w:sz w:val="17"/>
              </w:rPr>
              <w:t>衍生品的神学无意识</w:t>
            </w:r>
          </w:p>
        </w:tc>
        <w:tc>
          <w:tcPr>
            <w:tcW w:type="dxa" w:w="1474"/>
          </w:tcPr>
          <w:p>
            <w:pPr>
              <w:spacing w:line="252" w:lineRule="auto" w:after="30" w:before="30"/>
            </w:pPr>
            <w:r/>
            <w:r>
              <w:rPr>
                <w:rFonts w:ascii="Times New Roman" w:hAnsi="Times New Roman" w:eastAsia="宋体"/>
                <w:b w:val="0"/>
                <w:i w:val="0"/>
                <w:sz w:val="17"/>
              </w:rPr>
              <w:t>理论</w:t>
            </w:r>
          </w:p>
        </w:tc>
        <w:tc>
          <w:tcPr>
            <w:tcW w:type="dxa" w:w="1928"/>
          </w:tcPr>
          <w:p>
            <w:pPr>
              <w:spacing w:line="252" w:lineRule="auto" w:after="30" w:before="30"/>
            </w:pPr>
            <w:r/>
            <w:r>
              <w:rPr>
                <w:rFonts w:ascii="Times New Roman" w:hAnsi="Times New Roman" w:eastAsia="宋体"/>
                <w:b w:val="0"/>
                <w:i w:val="0"/>
                <w:sz w:val="17"/>
              </w:rPr>
              <w:t>Economy and Society 31(1)</w:t>
            </w:r>
          </w:p>
        </w:tc>
        <w:tc>
          <w:tcPr>
            <w:tcW w:type="dxa" w:w="2041"/>
          </w:tcPr>
          <w:p>
            <w:pPr>
              <w:spacing w:line="252" w:lineRule="auto" w:after="30" w:before="30"/>
            </w:pPr>
            <w:r/>
            <w:r>
              <w:rPr>
                <w:rFonts w:ascii="Times New Roman" w:hAnsi="Times New Roman" w:eastAsia="宋体"/>
                <w:b w:val="0"/>
                <w:i w:val="0"/>
                <w:sz w:val="17"/>
              </w:rPr>
              <w:t>DOI 10.1080/03085140120109231</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Prechter (2001)</w:t>
            </w:r>
          </w:p>
        </w:tc>
        <w:tc>
          <w:tcPr>
            <w:tcW w:type="dxa" w:w="1814"/>
          </w:tcPr>
          <w:p>
            <w:pPr>
              <w:spacing w:line="252" w:lineRule="auto" w:after="30" w:before="30"/>
            </w:pPr>
            <w:r/>
            <w:r>
              <w:rPr>
                <w:rFonts w:ascii="Times New Roman" w:hAnsi="Times New Roman" w:eastAsia="宋体"/>
                <w:b w:val="0"/>
                <w:i w:val="0"/>
                <w:sz w:val="17"/>
              </w:rPr>
              <w:t>无意识羊群行为</w:t>
            </w:r>
          </w:p>
        </w:tc>
        <w:tc>
          <w:tcPr>
            <w:tcW w:type="dxa" w:w="1474"/>
          </w:tcPr>
          <w:p>
            <w:pPr>
              <w:spacing w:line="252" w:lineRule="auto" w:after="30" w:before="30"/>
            </w:pPr>
            <w:r/>
            <w:r>
              <w:rPr>
                <w:rFonts w:ascii="Times New Roman" w:hAnsi="Times New Roman" w:eastAsia="宋体"/>
                <w:b w:val="0"/>
                <w:i w:val="0"/>
                <w:sz w:val="17"/>
              </w:rPr>
              <w:t>理论</w:t>
            </w:r>
          </w:p>
        </w:tc>
        <w:tc>
          <w:tcPr>
            <w:tcW w:type="dxa" w:w="1928"/>
          </w:tcPr>
          <w:p>
            <w:pPr>
              <w:spacing w:line="252" w:lineRule="auto" w:after="30" w:before="30"/>
            </w:pPr>
            <w:r/>
            <w:r>
              <w:rPr>
                <w:rFonts w:ascii="Times New Roman" w:hAnsi="Times New Roman" w:eastAsia="宋体"/>
                <w:b w:val="0"/>
                <w:i w:val="0"/>
                <w:sz w:val="17"/>
              </w:rPr>
              <w:t>Journal of Behavioral Finance 2(3)</w:t>
            </w:r>
          </w:p>
        </w:tc>
        <w:tc>
          <w:tcPr>
            <w:tcW w:type="dxa" w:w="2041"/>
          </w:tcPr>
          <w:p>
            <w:pPr>
              <w:spacing w:line="252" w:lineRule="auto" w:after="30" w:before="30"/>
            </w:pPr>
            <w:r/>
            <w:r>
              <w:rPr>
                <w:rFonts w:ascii="Times New Roman" w:hAnsi="Times New Roman" w:eastAsia="宋体"/>
                <w:b w:val="0"/>
                <w:i w:val="0"/>
                <w:sz w:val="17"/>
              </w:rPr>
              <w:t>DOI 10.1207/s15327760jpfm0203_1</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Vanheule (2016)</w:t>
            </w:r>
          </w:p>
        </w:tc>
        <w:tc>
          <w:tcPr>
            <w:tcW w:type="dxa" w:w="1814"/>
          </w:tcPr>
          <w:p>
            <w:pPr>
              <w:spacing w:line="252" w:lineRule="auto" w:after="30" w:before="30"/>
            </w:pPr>
            <w:r/>
            <w:r>
              <w:rPr>
                <w:rFonts w:ascii="Times New Roman" w:hAnsi="Times New Roman" w:eastAsia="宋体"/>
                <w:b w:val="0"/>
                <w:i w:val="0"/>
                <w:sz w:val="17"/>
              </w:rPr>
              <w:t>资本主义话语与拉康</w:t>
            </w:r>
          </w:p>
        </w:tc>
        <w:tc>
          <w:tcPr>
            <w:tcW w:type="dxa" w:w="1474"/>
          </w:tcPr>
          <w:p>
            <w:pPr>
              <w:spacing w:line="252" w:lineRule="auto" w:after="30" w:before="30"/>
            </w:pPr>
            <w:r/>
            <w:r>
              <w:rPr>
                <w:rFonts w:ascii="Times New Roman" w:hAnsi="Times New Roman" w:eastAsia="宋体"/>
                <w:b w:val="0"/>
                <w:i w:val="0"/>
                <w:sz w:val="17"/>
              </w:rPr>
              <w:t>理论</w:t>
            </w:r>
          </w:p>
        </w:tc>
        <w:tc>
          <w:tcPr>
            <w:tcW w:type="dxa" w:w="1928"/>
          </w:tcPr>
          <w:p>
            <w:pPr>
              <w:spacing w:line="252" w:lineRule="auto" w:after="30" w:before="30"/>
            </w:pPr>
            <w:r/>
            <w:r>
              <w:rPr>
                <w:rFonts w:ascii="Times New Roman" w:hAnsi="Times New Roman" w:eastAsia="宋体"/>
                <w:b w:val="0"/>
                <w:i w:val="0"/>
                <w:sz w:val="17"/>
              </w:rPr>
              <w:t>Front. Psychol. 7:1948</w:t>
            </w:r>
          </w:p>
        </w:tc>
        <w:tc>
          <w:tcPr>
            <w:tcW w:type="dxa" w:w="2041"/>
          </w:tcPr>
          <w:p>
            <w:pPr>
              <w:spacing w:line="252" w:lineRule="auto" w:after="30" w:before="30"/>
            </w:pPr>
            <w:r/>
            <w:r>
              <w:rPr>
                <w:rFonts w:ascii="Times New Roman" w:hAnsi="Times New Roman" w:eastAsia="宋体"/>
                <w:b w:val="0"/>
                <w:i w:val="0"/>
                <w:sz w:val="17"/>
              </w:rPr>
              <w:t>DOI 10.3389/fpsyg.2016.01948</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Maher (2023)</w:t>
            </w:r>
          </w:p>
        </w:tc>
        <w:tc>
          <w:tcPr>
            <w:tcW w:type="dxa" w:w="1814"/>
          </w:tcPr>
          <w:p>
            <w:pPr>
              <w:spacing w:line="252" w:lineRule="auto" w:after="30" w:before="30"/>
            </w:pPr>
            <w:r/>
            <w:r>
              <w:rPr>
                <w:rFonts w:ascii="Times New Roman" w:hAnsi="Times New Roman" w:eastAsia="宋体"/>
                <w:b w:val="0"/>
                <w:i w:val="0"/>
                <w:sz w:val="17"/>
              </w:rPr>
              <w:t>自由市场作为幻想</w:t>
            </w:r>
          </w:p>
        </w:tc>
        <w:tc>
          <w:tcPr>
            <w:tcW w:type="dxa" w:w="1474"/>
          </w:tcPr>
          <w:p>
            <w:pPr>
              <w:spacing w:line="252" w:lineRule="auto" w:after="30" w:before="30"/>
            </w:pPr>
            <w:r/>
            <w:r>
              <w:rPr>
                <w:rFonts w:ascii="Times New Roman" w:hAnsi="Times New Roman" w:eastAsia="宋体"/>
                <w:b w:val="0"/>
                <w:i w:val="0"/>
                <w:sz w:val="17"/>
              </w:rPr>
              <w:t>理论</w:t>
            </w:r>
          </w:p>
        </w:tc>
        <w:tc>
          <w:tcPr>
            <w:tcW w:type="dxa" w:w="1928"/>
          </w:tcPr>
          <w:p>
            <w:pPr>
              <w:spacing w:line="252" w:lineRule="auto" w:after="30" w:before="30"/>
            </w:pPr>
            <w:r/>
            <w:r>
              <w:rPr>
                <w:rFonts w:ascii="Times New Roman" w:hAnsi="Times New Roman" w:eastAsia="宋体"/>
                <w:b w:val="0"/>
                <w:i w:val="0"/>
                <w:sz w:val="17"/>
              </w:rPr>
              <w:t>Int. Studies Quarterly 67(3)</w:t>
            </w:r>
          </w:p>
        </w:tc>
        <w:tc>
          <w:tcPr>
            <w:tcW w:type="dxa" w:w="2041"/>
          </w:tcPr>
          <w:p>
            <w:pPr>
              <w:spacing w:line="252" w:lineRule="auto" w:after="30" w:before="30"/>
            </w:pPr>
            <w:r/>
            <w:r>
              <w:rPr>
                <w:rFonts w:ascii="Times New Roman" w:hAnsi="Times New Roman" w:eastAsia="宋体"/>
                <w:b w:val="0"/>
                <w:i w:val="0"/>
                <w:sz w:val="17"/>
              </w:rPr>
              <w:t>DOI 10.1093/isq/sqad050</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Forbes (2023)</w:t>
            </w:r>
          </w:p>
        </w:tc>
        <w:tc>
          <w:tcPr>
            <w:tcW w:type="dxa" w:w="1814"/>
          </w:tcPr>
          <w:p>
            <w:pPr>
              <w:spacing w:line="252" w:lineRule="auto" w:after="30" w:before="30"/>
            </w:pPr>
            <w:r/>
            <w:r>
              <w:rPr>
                <w:rFonts w:ascii="Times New Roman" w:hAnsi="Times New Roman" w:eastAsia="宋体"/>
                <w:b w:val="0"/>
                <w:i w:val="0"/>
                <w:sz w:val="17"/>
              </w:rPr>
              <w:t>无意识与财务决策</w:t>
            </w:r>
          </w:p>
        </w:tc>
        <w:tc>
          <w:tcPr>
            <w:tcW w:type="dxa" w:w="1474"/>
          </w:tcPr>
          <w:p>
            <w:pPr>
              <w:spacing w:line="252" w:lineRule="auto" w:after="30" w:before="30"/>
            </w:pPr>
            <w:r/>
            <w:r>
              <w:rPr>
                <w:rFonts w:ascii="Times New Roman" w:hAnsi="Times New Roman" w:eastAsia="宋体"/>
                <w:b w:val="0"/>
                <w:i w:val="0"/>
                <w:sz w:val="17"/>
              </w:rPr>
              <w:t>理论综述</w:t>
            </w:r>
          </w:p>
        </w:tc>
        <w:tc>
          <w:tcPr>
            <w:tcW w:type="dxa" w:w="1928"/>
          </w:tcPr>
          <w:p>
            <w:pPr>
              <w:spacing w:line="252" w:lineRule="auto" w:after="30" w:before="30"/>
            </w:pPr>
            <w:r/>
            <w:r>
              <w:rPr>
                <w:rFonts w:ascii="Times New Roman" w:hAnsi="Times New Roman" w:eastAsia="宋体"/>
                <w:b w:val="0"/>
                <w:i w:val="0"/>
                <w:sz w:val="17"/>
              </w:rPr>
              <w:t>Int. Rev. Financial Analysis 88</w:t>
            </w:r>
          </w:p>
        </w:tc>
        <w:tc>
          <w:tcPr>
            <w:tcW w:type="dxa" w:w="2041"/>
          </w:tcPr>
          <w:p>
            <w:pPr>
              <w:spacing w:line="252" w:lineRule="auto" w:after="30" w:before="30"/>
            </w:pPr>
            <w:r/>
            <w:r>
              <w:rPr>
                <w:rFonts w:ascii="Times New Roman" w:hAnsi="Times New Roman" w:eastAsia="宋体"/>
                <w:b w:val="0"/>
                <w:i w:val="0"/>
                <w:sz w:val="17"/>
              </w:rPr>
              <w:t>DOI 10.1016/j.irfa.2023.103012</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Barraud (2025)</w:t>
            </w:r>
          </w:p>
        </w:tc>
        <w:tc>
          <w:tcPr>
            <w:tcW w:type="dxa" w:w="1814"/>
          </w:tcPr>
          <w:p>
            <w:pPr>
              <w:spacing w:line="252" w:lineRule="auto" w:after="30" w:before="30"/>
            </w:pPr>
            <w:r/>
            <w:r>
              <w:rPr>
                <w:rFonts w:ascii="Times New Roman" w:hAnsi="Times New Roman" w:eastAsia="宋体"/>
                <w:b w:val="0"/>
                <w:i w:val="0"/>
                <w:sz w:val="17"/>
              </w:rPr>
              <w:t>市场作为勒庞式群体</w:t>
            </w:r>
          </w:p>
        </w:tc>
        <w:tc>
          <w:tcPr>
            <w:tcW w:type="dxa" w:w="1474"/>
          </w:tcPr>
          <w:p>
            <w:pPr>
              <w:spacing w:line="252" w:lineRule="auto" w:after="30" w:before="30"/>
            </w:pPr>
            <w:r/>
            <w:r>
              <w:rPr>
                <w:rFonts w:ascii="Times New Roman" w:hAnsi="Times New Roman" w:eastAsia="宋体"/>
                <w:b w:val="0"/>
                <w:i w:val="0"/>
                <w:sz w:val="17"/>
              </w:rPr>
              <w:t>理论框架</w:t>
            </w:r>
          </w:p>
        </w:tc>
        <w:tc>
          <w:tcPr>
            <w:tcW w:type="dxa" w:w="1928"/>
          </w:tcPr>
          <w:p>
            <w:pPr>
              <w:spacing w:line="252" w:lineRule="auto" w:after="30" w:before="30"/>
            </w:pPr>
            <w:r/>
            <w:r>
              <w:rPr>
                <w:rFonts w:ascii="Times New Roman" w:hAnsi="Times New Roman" w:eastAsia="宋体"/>
                <w:b w:val="0"/>
                <w:i w:val="0"/>
                <w:sz w:val="17"/>
              </w:rPr>
              <w:t>arXiv:2510.23175</w:t>
            </w:r>
          </w:p>
        </w:tc>
        <w:tc>
          <w:tcPr>
            <w:tcW w:type="dxa" w:w="2041"/>
          </w:tcPr>
          <w:p>
            <w:pPr>
              <w:spacing w:line="252" w:lineRule="auto" w:after="30" w:before="30"/>
            </w:pPr>
            <w:r/>
            <w:r>
              <w:rPr>
                <w:rFonts w:ascii="Times New Roman" w:hAnsi="Times New Roman" w:eastAsia="宋体"/>
                <w:b w:val="0"/>
                <w:i w:val="0"/>
                <w:sz w:val="17"/>
              </w:rPr>
              <w:t>预印本</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Bjerg (2016)</w:t>
            </w:r>
          </w:p>
        </w:tc>
        <w:tc>
          <w:tcPr>
            <w:tcW w:type="dxa" w:w="1814"/>
          </w:tcPr>
          <w:p>
            <w:pPr>
              <w:spacing w:line="252" w:lineRule="auto" w:after="30" w:before="30"/>
            </w:pPr>
            <w:r/>
            <w:r>
              <w:rPr>
                <w:rFonts w:ascii="Times New Roman" w:hAnsi="Times New Roman" w:eastAsia="宋体"/>
                <w:b w:val="0"/>
                <w:i w:val="0"/>
                <w:sz w:val="17"/>
              </w:rPr>
              <w:t>比特币是货币吗</w:t>
            </w:r>
          </w:p>
        </w:tc>
        <w:tc>
          <w:tcPr>
            <w:tcW w:type="dxa" w:w="1474"/>
          </w:tcPr>
          <w:p>
            <w:pPr>
              <w:spacing w:line="252" w:lineRule="auto" w:after="30" w:before="30"/>
            </w:pPr>
            <w:r/>
            <w:r>
              <w:rPr>
                <w:rFonts w:ascii="Times New Roman" w:hAnsi="Times New Roman" w:eastAsia="宋体"/>
                <w:b w:val="0"/>
                <w:i w:val="0"/>
                <w:sz w:val="17"/>
              </w:rPr>
              <w:t>理论分析</w:t>
            </w:r>
          </w:p>
        </w:tc>
        <w:tc>
          <w:tcPr>
            <w:tcW w:type="dxa" w:w="1928"/>
          </w:tcPr>
          <w:p>
            <w:pPr>
              <w:spacing w:line="252" w:lineRule="auto" w:after="30" w:before="30"/>
            </w:pPr>
            <w:r/>
            <w:r>
              <w:rPr>
                <w:rFonts w:ascii="Times New Roman" w:hAnsi="Times New Roman" w:eastAsia="宋体"/>
                <w:b w:val="0"/>
                <w:i w:val="0"/>
                <w:sz w:val="17"/>
              </w:rPr>
              <w:t>Theory, Culture &amp; Society 33(1)</w:t>
            </w:r>
          </w:p>
        </w:tc>
        <w:tc>
          <w:tcPr>
            <w:tcW w:type="dxa" w:w="2041"/>
          </w:tcPr>
          <w:p>
            <w:pPr>
              <w:spacing w:line="252" w:lineRule="auto" w:after="30" w:before="30"/>
            </w:pPr>
            <w:r/>
            <w:r>
              <w:rPr>
                <w:rFonts w:ascii="Times New Roman" w:hAnsi="Times New Roman" w:eastAsia="宋体"/>
                <w:b w:val="0"/>
                <w:i w:val="0"/>
                <w:sz w:val="17"/>
              </w:rPr>
              <w:t>DOI 10.1177/0263276415619015</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Vamossy (2020/2024)</w:t>
            </w:r>
          </w:p>
        </w:tc>
        <w:tc>
          <w:tcPr>
            <w:tcW w:type="dxa" w:w="1814"/>
          </w:tcPr>
          <w:p>
            <w:pPr>
              <w:spacing w:line="252" w:lineRule="auto" w:after="30" w:before="30"/>
            </w:pPr>
            <w:r/>
            <w:r>
              <w:rPr>
                <w:rFonts w:ascii="Times New Roman" w:hAnsi="Times New Roman" w:eastAsia="宋体"/>
                <w:b w:val="0"/>
                <w:i w:val="0"/>
                <w:sz w:val="17"/>
              </w:rPr>
              <w:t>投资者情绪与财报/市场行为</w:t>
            </w:r>
          </w:p>
        </w:tc>
        <w:tc>
          <w:tcPr>
            <w:tcW w:type="dxa" w:w="1474"/>
          </w:tcPr>
          <w:p>
            <w:pPr>
              <w:spacing w:line="252" w:lineRule="auto" w:after="30" w:before="30"/>
            </w:pPr>
            <w:r/>
            <w:r>
              <w:rPr>
                <w:rFonts w:ascii="Times New Roman" w:hAnsi="Times New Roman" w:eastAsia="宋体"/>
                <w:b w:val="0"/>
                <w:i w:val="0"/>
                <w:sz w:val="17"/>
              </w:rPr>
              <w:t>预印本实证</w:t>
            </w:r>
          </w:p>
        </w:tc>
        <w:tc>
          <w:tcPr>
            <w:tcW w:type="dxa" w:w="1928"/>
          </w:tcPr>
          <w:p>
            <w:pPr>
              <w:spacing w:line="252" w:lineRule="auto" w:after="30" w:before="30"/>
            </w:pPr>
            <w:r/>
            <w:r>
              <w:rPr>
                <w:rFonts w:ascii="Times New Roman" w:hAnsi="Times New Roman" w:eastAsia="宋体"/>
                <w:b w:val="0"/>
                <w:i w:val="0"/>
                <w:sz w:val="17"/>
              </w:rPr>
              <w:t>arXiv:2006.13934 / 2404.03792</w:t>
            </w:r>
          </w:p>
        </w:tc>
        <w:tc>
          <w:tcPr>
            <w:tcW w:type="dxa" w:w="2041"/>
          </w:tcPr>
          <w:p>
            <w:pPr>
              <w:spacing w:line="252" w:lineRule="auto" w:after="30" w:before="30"/>
            </w:pPr>
            <w:r/>
            <w:r>
              <w:rPr>
                <w:rFonts w:ascii="Times New Roman" w:hAnsi="Times New Roman" w:eastAsia="宋体"/>
                <w:b w:val="0"/>
                <w:i w:val="0"/>
                <w:sz w:val="17"/>
              </w:rPr>
              <w:t>预印本</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Zhou, Xu &amp; Zhao (2017)</w:t>
            </w:r>
          </w:p>
        </w:tc>
        <w:tc>
          <w:tcPr>
            <w:tcW w:type="dxa" w:w="1814"/>
          </w:tcPr>
          <w:p>
            <w:pPr>
              <w:spacing w:line="252" w:lineRule="auto" w:after="30" w:before="30"/>
            </w:pPr>
            <w:r/>
            <w:r>
              <w:rPr>
                <w:rFonts w:ascii="Times New Roman" w:hAnsi="Times New Roman" w:eastAsia="宋体"/>
                <w:b w:val="0"/>
                <w:i w:val="0"/>
                <w:sz w:val="17"/>
              </w:rPr>
              <w:t>中国股市情绪与波动</w:t>
            </w:r>
          </w:p>
        </w:tc>
        <w:tc>
          <w:tcPr>
            <w:tcW w:type="dxa" w:w="1474"/>
          </w:tcPr>
          <w:p>
            <w:pPr>
              <w:spacing w:line="252" w:lineRule="auto" w:after="30" w:before="30"/>
            </w:pPr>
            <w:r/>
            <w:r>
              <w:rPr>
                <w:rFonts w:ascii="Times New Roman" w:hAnsi="Times New Roman" w:eastAsia="宋体"/>
                <w:b w:val="0"/>
                <w:i w:val="0"/>
                <w:sz w:val="17"/>
              </w:rPr>
              <w:t>预印本实证</w:t>
            </w:r>
          </w:p>
        </w:tc>
        <w:tc>
          <w:tcPr>
            <w:tcW w:type="dxa" w:w="1928"/>
          </w:tcPr>
          <w:p>
            <w:pPr>
              <w:spacing w:line="252" w:lineRule="auto" w:after="30" w:before="30"/>
            </w:pPr>
            <w:r/>
            <w:r>
              <w:rPr>
                <w:rFonts w:ascii="Times New Roman" w:hAnsi="Times New Roman" w:eastAsia="宋体"/>
                <w:b w:val="0"/>
                <w:i w:val="0"/>
                <w:sz w:val="17"/>
              </w:rPr>
              <w:t>arXiv:1705.00294</w:t>
            </w:r>
          </w:p>
        </w:tc>
        <w:tc>
          <w:tcPr>
            <w:tcW w:type="dxa" w:w="2041"/>
          </w:tcPr>
          <w:p>
            <w:pPr>
              <w:spacing w:line="252" w:lineRule="auto" w:after="30" w:before="30"/>
            </w:pPr>
            <w:r/>
            <w:r>
              <w:rPr>
                <w:rFonts w:ascii="Times New Roman" w:hAnsi="Times New Roman" w:eastAsia="宋体"/>
                <w:b w:val="0"/>
                <w:i w:val="0"/>
                <w:sz w:val="17"/>
              </w:rPr>
              <w:t>预印本</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Grünbaum (1984/1986)</w:t>
            </w:r>
          </w:p>
        </w:tc>
        <w:tc>
          <w:tcPr>
            <w:tcW w:type="dxa" w:w="1814"/>
          </w:tcPr>
          <w:p>
            <w:pPr>
              <w:spacing w:line="252" w:lineRule="auto" w:after="30" w:before="30"/>
            </w:pPr>
            <w:r/>
            <w:r>
              <w:rPr>
                <w:rFonts w:ascii="Times New Roman" w:hAnsi="Times New Roman" w:eastAsia="宋体"/>
                <w:b w:val="0"/>
                <w:i w:val="0"/>
                <w:sz w:val="17"/>
              </w:rPr>
              <w:t>精神分析基础：哲学批判</w:t>
            </w:r>
          </w:p>
        </w:tc>
        <w:tc>
          <w:tcPr>
            <w:tcW w:type="dxa" w:w="1474"/>
          </w:tcPr>
          <w:p>
            <w:pPr>
              <w:spacing w:line="252" w:lineRule="auto" w:after="30" w:before="30"/>
            </w:pPr>
            <w:r/>
            <w:r>
              <w:rPr>
                <w:rFonts w:ascii="Times New Roman" w:hAnsi="Times New Roman" w:eastAsia="宋体"/>
                <w:b w:val="0"/>
                <w:i w:val="0"/>
                <w:sz w:val="17"/>
              </w:rPr>
              <w:t>哲学批判</w:t>
            </w:r>
          </w:p>
        </w:tc>
        <w:tc>
          <w:tcPr>
            <w:tcW w:type="dxa" w:w="1928"/>
          </w:tcPr>
          <w:p>
            <w:pPr>
              <w:spacing w:line="252" w:lineRule="auto" w:after="30" w:before="30"/>
            </w:pPr>
            <w:r/>
            <w:r>
              <w:rPr>
                <w:rFonts w:ascii="Times New Roman" w:hAnsi="Times New Roman" w:eastAsia="宋体"/>
                <w:b w:val="0"/>
                <w:i w:val="0"/>
                <w:sz w:val="17"/>
              </w:rPr>
              <w:t>Univ. of California Press</w:t>
            </w:r>
          </w:p>
        </w:tc>
        <w:tc>
          <w:tcPr>
            <w:tcW w:type="dxa" w:w="2041"/>
          </w:tcPr>
          <w:p>
            <w:pPr>
              <w:spacing w:line="252" w:lineRule="auto" w:after="30" w:before="30"/>
            </w:pPr>
            <w:r/>
            <w:r>
              <w:rPr>
                <w:rFonts w:ascii="Times New Roman" w:hAnsi="Times New Roman" w:eastAsia="宋体"/>
                <w:b w:val="0"/>
                <w:i w:val="0"/>
                <w:sz w:val="17"/>
              </w:rPr>
              <w:t>BBS 1986 摘要</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孔明安 (2019)</w:t>
            </w:r>
          </w:p>
        </w:tc>
        <w:tc>
          <w:tcPr>
            <w:tcW w:type="dxa" w:w="1814"/>
          </w:tcPr>
          <w:p>
            <w:pPr>
              <w:spacing w:line="252" w:lineRule="auto" w:after="30" w:before="30"/>
            </w:pPr>
            <w:r/>
            <w:r>
              <w:rPr>
                <w:rFonts w:ascii="Times New Roman" w:hAnsi="Times New Roman" w:eastAsia="宋体"/>
                <w:b w:val="0"/>
                <w:i w:val="0"/>
                <w:sz w:val="17"/>
              </w:rPr>
              <w:t>贪婪与恐惧：金融危机新阐释</w:t>
            </w:r>
          </w:p>
        </w:tc>
        <w:tc>
          <w:tcPr>
            <w:tcW w:type="dxa" w:w="1474"/>
          </w:tcPr>
          <w:p>
            <w:pPr>
              <w:spacing w:line="252" w:lineRule="auto" w:after="30" w:before="30"/>
            </w:pPr>
            <w:r/>
            <w:r>
              <w:rPr>
                <w:rFonts w:ascii="Times New Roman" w:hAnsi="Times New Roman" w:eastAsia="宋体"/>
                <w:b w:val="0"/>
                <w:i w:val="0"/>
                <w:sz w:val="17"/>
              </w:rPr>
              <w:t>中文理论</w:t>
            </w:r>
          </w:p>
        </w:tc>
        <w:tc>
          <w:tcPr>
            <w:tcW w:type="dxa" w:w="1928"/>
          </w:tcPr>
          <w:p>
            <w:pPr>
              <w:spacing w:line="252" w:lineRule="auto" w:after="30" w:before="30"/>
            </w:pPr>
            <w:r/>
            <w:r>
              <w:rPr>
                <w:rFonts w:ascii="Times New Roman" w:hAnsi="Times New Roman" w:eastAsia="宋体"/>
                <w:b w:val="0"/>
                <w:i w:val="0"/>
                <w:sz w:val="17"/>
              </w:rPr>
              <w:t>国外理论动态 2019(6)</w:t>
            </w:r>
          </w:p>
        </w:tc>
        <w:tc>
          <w:tcPr>
            <w:tcW w:type="dxa" w:w="2041"/>
          </w:tcPr>
          <w:p>
            <w:pPr>
              <w:spacing w:line="252" w:lineRule="auto" w:after="30" w:before="30"/>
            </w:pPr>
            <w:r/>
            <w:r>
              <w:rPr>
                <w:rFonts w:ascii="Times New Roman" w:hAnsi="Times New Roman" w:eastAsia="宋体"/>
                <w:b w:val="0"/>
                <w:i w:val="0"/>
                <w:sz w:val="17"/>
              </w:rPr>
              <w:t>中国社会科学网转载</w:t>
            </w:r>
          </w:p>
        </w:tc>
        <w:tc>
          <w:tcPr>
            <w:tcW w:type="dxa" w:w="1020"/>
          </w:tcPr>
          <w:p>
            <w:pPr>
              <w:spacing w:line="252" w:lineRule="auto" w:after="30" w:before="30"/>
            </w:pPr>
            <w:r/>
            <w:r>
              <w:rPr>
                <w:rFonts w:ascii="Times New Roman" w:hAnsi="Times New Roman" w:eastAsia="宋体"/>
                <w:b w:val="0"/>
                <w:i w:val="0"/>
                <w:sz w:val="17"/>
              </w:rPr>
              <w:t>已核验</w:t>
            </w:r>
          </w:p>
        </w:tc>
      </w:tr>
      <w:tr>
        <w:tc>
          <w:tcPr>
            <w:tcW w:type="dxa" w:w="1928"/>
          </w:tcPr>
          <w:p>
            <w:pPr>
              <w:spacing w:line="252" w:lineRule="auto" w:after="30" w:before="30"/>
            </w:pPr>
            <w:r/>
            <w:r>
              <w:rPr>
                <w:rFonts w:ascii="Times New Roman" w:hAnsi="Times New Roman" w:eastAsia="宋体"/>
                <w:b w:val="0"/>
                <w:i w:val="0"/>
                <w:sz w:val="17"/>
              </w:rPr>
              <w:t>陈剑 (2017)</w:t>
            </w:r>
          </w:p>
        </w:tc>
        <w:tc>
          <w:tcPr>
            <w:tcW w:type="dxa" w:w="1814"/>
          </w:tcPr>
          <w:p>
            <w:pPr>
              <w:spacing w:line="252" w:lineRule="auto" w:after="30" w:before="30"/>
            </w:pPr>
            <w:r/>
            <w:r>
              <w:rPr>
                <w:rFonts w:ascii="Times New Roman" w:hAnsi="Times New Roman" w:eastAsia="宋体"/>
                <w:b w:val="0"/>
                <w:i w:val="0"/>
                <w:sz w:val="17"/>
              </w:rPr>
              <w:t>齐泽克笔下的资本主义恋物癖</w:t>
            </w:r>
          </w:p>
        </w:tc>
        <w:tc>
          <w:tcPr>
            <w:tcW w:type="dxa" w:w="1474"/>
          </w:tcPr>
          <w:p>
            <w:pPr>
              <w:spacing w:line="252" w:lineRule="auto" w:after="30" w:before="30"/>
            </w:pPr>
            <w:r/>
            <w:r>
              <w:rPr>
                <w:rFonts w:ascii="Times New Roman" w:hAnsi="Times New Roman" w:eastAsia="宋体"/>
                <w:b w:val="0"/>
                <w:i w:val="0"/>
                <w:sz w:val="17"/>
              </w:rPr>
              <w:t>中文理论</w:t>
            </w:r>
          </w:p>
        </w:tc>
        <w:tc>
          <w:tcPr>
            <w:tcW w:type="dxa" w:w="1928"/>
          </w:tcPr>
          <w:p>
            <w:pPr>
              <w:spacing w:line="252" w:lineRule="auto" w:after="30" w:before="30"/>
            </w:pPr>
            <w:r/>
            <w:r>
              <w:rPr>
                <w:rFonts w:ascii="Times New Roman" w:hAnsi="Times New Roman" w:eastAsia="宋体"/>
                <w:b w:val="0"/>
                <w:i w:val="0"/>
                <w:sz w:val="17"/>
              </w:rPr>
              <w:t>马克思主义研究网</w:t>
            </w:r>
          </w:p>
        </w:tc>
        <w:tc>
          <w:tcPr>
            <w:tcW w:type="dxa" w:w="2041"/>
          </w:tcPr>
          <w:p>
            <w:pPr>
              <w:spacing w:line="252" w:lineRule="auto" w:after="30" w:before="30"/>
            </w:pPr>
            <w:r/>
            <w:r>
              <w:rPr>
                <w:rFonts w:ascii="Times New Roman" w:hAnsi="Times New Roman" w:eastAsia="宋体"/>
                <w:b w:val="0"/>
                <w:i w:val="0"/>
                <w:sz w:val="17"/>
              </w:rPr>
              <w:t>网页可查</w:t>
            </w:r>
          </w:p>
        </w:tc>
        <w:tc>
          <w:tcPr>
            <w:tcW w:type="dxa" w:w="1020"/>
          </w:tcPr>
          <w:p>
            <w:pPr>
              <w:spacing w:line="252" w:lineRule="auto" w:after="30" w:before="30"/>
            </w:pPr>
            <w:r/>
            <w:r>
              <w:rPr>
                <w:rFonts w:ascii="Times New Roman" w:hAnsi="Times New Roman" w:eastAsia="宋体"/>
                <w:b w:val="0"/>
                <w:i w:val="0"/>
                <w:sz w:val="17"/>
              </w:rPr>
              <w:t>部分核验</w:t>
            </w:r>
          </w:p>
        </w:tc>
      </w:tr>
      <w:tr>
        <w:tc>
          <w:tcPr>
            <w:tcW w:type="dxa" w:w="1928"/>
          </w:tcPr>
          <w:p>
            <w:pPr>
              <w:spacing w:line="252" w:lineRule="auto" w:after="30" w:before="30"/>
            </w:pPr>
            <w:r/>
            <w:r>
              <w:rPr>
                <w:rFonts w:ascii="Times New Roman" w:hAnsi="Times New Roman" w:eastAsia="宋体"/>
                <w:b w:val="0"/>
                <w:i w:val="0"/>
                <w:sz w:val="17"/>
              </w:rPr>
              <w:t>区祥江 (2008)</w:t>
            </w:r>
          </w:p>
        </w:tc>
        <w:tc>
          <w:tcPr>
            <w:tcW w:type="dxa" w:w="1814"/>
          </w:tcPr>
          <w:p>
            <w:pPr>
              <w:spacing w:line="252" w:lineRule="auto" w:after="30" w:before="30"/>
            </w:pPr>
            <w:r/>
            <w:r>
              <w:rPr>
                <w:rFonts w:ascii="Times New Roman" w:hAnsi="Times New Roman" w:eastAsia="宋体"/>
                <w:b w:val="0"/>
                <w:i w:val="0"/>
                <w:sz w:val="17"/>
              </w:rPr>
              <w:t>《你有用脑投资吗？》</w:t>
            </w:r>
          </w:p>
        </w:tc>
        <w:tc>
          <w:tcPr>
            <w:tcW w:type="dxa" w:w="1474"/>
          </w:tcPr>
          <w:p>
            <w:pPr>
              <w:spacing w:line="252" w:lineRule="auto" w:after="30" w:before="30"/>
            </w:pPr>
            <w:r/>
            <w:r>
              <w:rPr>
                <w:rFonts w:ascii="Times New Roman" w:hAnsi="Times New Roman" w:eastAsia="宋体"/>
                <w:b w:val="0"/>
                <w:i w:val="0"/>
                <w:sz w:val="17"/>
              </w:rPr>
              <w:t>中文普及著作</w:t>
            </w:r>
          </w:p>
        </w:tc>
        <w:tc>
          <w:tcPr>
            <w:tcW w:type="dxa" w:w="1928"/>
          </w:tcPr>
          <w:p>
            <w:pPr>
              <w:spacing w:line="252" w:lineRule="auto" w:after="30" w:before="30"/>
            </w:pPr>
            <w:r/>
            <w:r>
              <w:rPr>
                <w:rFonts w:ascii="Times New Roman" w:hAnsi="Times New Roman" w:eastAsia="宋体"/>
                <w:b w:val="0"/>
                <w:i w:val="0"/>
                <w:sz w:val="17"/>
              </w:rPr>
              <w:t>香港出版</w:t>
            </w:r>
          </w:p>
        </w:tc>
        <w:tc>
          <w:tcPr>
            <w:tcW w:type="dxa" w:w="2041"/>
          </w:tcPr>
          <w:p>
            <w:pPr>
              <w:spacing w:line="252" w:lineRule="auto" w:after="30" w:before="30"/>
            </w:pPr>
            <w:r/>
            <w:r>
              <w:rPr>
                <w:rFonts w:ascii="Times New Roman" w:hAnsi="Times New Roman" w:eastAsia="宋体"/>
                <w:b w:val="0"/>
                <w:i w:val="0"/>
                <w:sz w:val="17"/>
              </w:rPr>
              <w:t>媒体报道转述</w:t>
            </w:r>
          </w:p>
        </w:tc>
        <w:tc>
          <w:tcPr>
            <w:tcW w:type="dxa" w:w="1020"/>
          </w:tcPr>
          <w:p>
            <w:pPr>
              <w:spacing w:line="252" w:lineRule="auto" w:after="30" w:before="30"/>
            </w:pPr>
            <w:r/>
            <w:r>
              <w:rPr>
                <w:rFonts w:ascii="Times New Roman" w:hAnsi="Times New Roman" w:eastAsia="宋体"/>
                <w:b w:val="0"/>
                <w:i w:val="0"/>
                <w:sz w:val="17"/>
              </w:rPr>
              <w:t>部分核验</w:t>
            </w:r>
          </w:p>
        </w:tc>
      </w:tr>
    </w:tbl>
    <w:p>
      <w:pPr>
        <w:spacing w:line="336" w:lineRule="auto" w:before="0" w:after="40"/>
        <w:jc w:val="both"/>
      </w:pPr>
    </w:p>
    <w:p>
      <w:pPr>
        <w:keepNext/>
        <w:spacing w:before="400" w:after="140" w:line="300" w:lineRule="auto"/>
      </w:pPr>
      <w:r>
        <w:rPr>
          <w:rFonts w:ascii="Arial" w:hAnsi="Arial" w:eastAsia="黑体"/>
          <w:b/>
          <w:i w:val="0"/>
          <w:sz w:val="32"/>
        </w:rPr>
        <w:t>附录 B　五条路线统一比较矩阵</w:t>
      </w:r>
    </w:p>
    <w:p>
      <w:pPr>
        <w:spacing w:line="336" w:lineRule="auto" w:before="0" w:after="80"/>
        <w:jc w:val="both"/>
      </w:pPr>
      <w:r>
        <w:rPr>
          <w:rFonts w:ascii="Times New Roman" w:hAnsi="Times New Roman" w:eastAsia="宋体"/>
          <w:b w:val="0"/>
          <w:i w:val="0"/>
          <w:sz w:val="21"/>
        </w:rPr>
        <w:t>按“核心问题、解释层次、证据类型、主要弱点、证据强度”五个维度把五条路线对齐，方便横向比。</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814"/>
          </w:tcPr>
          <w:p>
            <w:pPr>
              <w:spacing w:line="252" w:lineRule="auto" w:after="30" w:before="30"/>
              <w:jc w:val="center"/>
            </w:pPr>
            <w:r/>
            <w:r>
              <w:rPr>
                <w:rFonts w:ascii="Times New Roman" w:hAnsi="Times New Roman" w:eastAsia="宋体"/>
                <w:b/>
                <w:i w:val="0"/>
                <w:sz w:val="18"/>
              </w:rPr>
              <w:t>路线</w:t>
            </w:r>
          </w:p>
        </w:tc>
        <w:tc>
          <w:tcPr>
            <w:tcW w:type="dxa" w:w="1701"/>
          </w:tcPr>
          <w:p>
            <w:pPr>
              <w:spacing w:line="252" w:lineRule="auto" w:after="30" w:before="30"/>
              <w:jc w:val="center"/>
            </w:pPr>
            <w:r/>
            <w:r>
              <w:rPr>
                <w:rFonts w:ascii="Times New Roman" w:hAnsi="Times New Roman" w:eastAsia="宋体"/>
                <w:b/>
                <w:i w:val="0"/>
                <w:sz w:val="18"/>
              </w:rPr>
              <w:t>核心问题</w:t>
            </w:r>
          </w:p>
        </w:tc>
        <w:tc>
          <w:tcPr>
            <w:tcW w:type="dxa" w:w="1474"/>
          </w:tcPr>
          <w:p>
            <w:pPr>
              <w:spacing w:line="252" w:lineRule="auto" w:after="30" w:before="30"/>
              <w:jc w:val="center"/>
            </w:pPr>
            <w:r/>
            <w:r>
              <w:rPr>
                <w:rFonts w:ascii="Times New Roman" w:hAnsi="Times New Roman" w:eastAsia="宋体"/>
                <w:b/>
                <w:i w:val="0"/>
                <w:sz w:val="18"/>
              </w:rPr>
              <w:t>解释层次</w:t>
            </w:r>
          </w:p>
        </w:tc>
        <w:tc>
          <w:tcPr>
            <w:tcW w:type="dxa" w:w="1701"/>
          </w:tcPr>
          <w:p>
            <w:pPr>
              <w:spacing w:line="252" w:lineRule="auto" w:after="30" w:before="30"/>
              <w:jc w:val="center"/>
            </w:pPr>
            <w:r/>
            <w:r>
              <w:rPr>
                <w:rFonts w:ascii="Times New Roman" w:hAnsi="Times New Roman" w:eastAsia="宋体"/>
                <w:b/>
                <w:i w:val="0"/>
                <w:sz w:val="18"/>
              </w:rPr>
              <w:t>证据类型</w:t>
            </w:r>
          </w:p>
        </w:tc>
        <w:tc>
          <w:tcPr>
            <w:tcW w:type="dxa" w:w="2381"/>
          </w:tcPr>
          <w:p>
            <w:pPr>
              <w:spacing w:line="252" w:lineRule="auto" w:after="30" w:before="30"/>
              <w:jc w:val="center"/>
            </w:pPr>
            <w:r/>
            <w:r>
              <w:rPr>
                <w:rFonts w:ascii="Times New Roman" w:hAnsi="Times New Roman" w:eastAsia="宋体"/>
                <w:b/>
                <w:i w:val="0"/>
                <w:sz w:val="18"/>
              </w:rPr>
              <w:t>主要弱点</w:t>
            </w:r>
          </w:p>
        </w:tc>
        <w:tc>
          <w:tcPr>
            <w:tcW w:type="dxa" w:w="907"/>
          </w:tcPr>
          <w:p>
            <w:pPr>
              <w:spacing w:line="252" w:lineRule="auto" w:after="30" w:before="30"/>
              <w:jc w:val="center"/>
            </w:pPr>
            <w:r/>
            <w:r>
              <w:rPr>
                <w:rFonts w:ascii="Times New Roman" w:hAnsi="Times New Roman" w:eastAsia="宋体"/>
                <w:b/>
                <w:i w:val="0"/>
                <w:sz w:val="18"/>
              </w:rPr>
              <w:t>证据强度</w:t>
            </w:r>
          </w:p>
        </w:tc>
      </w:tr>
      <w:tr>
        <w:tc>
          <w:tcPr>
            <w:tcW w:type="dxa" w:w="1814"/>
          </w:tcPr>
          <w:p>
            <w:pPr>
              <w:spacing w:line="252" w:lineRule="auto" w:after="30" w:before="30"/>
            </w:pPr>
            <w:r/>
            <w:r>
              <w:rPr>
                <w:rFonts w:ascii="Times New Roman" w:hAnsi="Times New Roman" w:eastAsia="宋体"/>
                <w:b w:val="0"/>
                <w:i w:val="0"/>
                <w:sz w:val="17"/>
              </w:rPr>
              <w:t>一、钱的精神分析学</w:t>
            </w:r>
          </w:p>
        </w:tc>
        <w:tc>
          <w:tcPr>
            <w:tcW w:type="dxa" w:w="1701"/>
          </w:tcPr>
          <w:p>
            <w:pPr>
              <w:spacing w:line="252" w:lineRule="auto" w:after="30" w:before="30"/>
            </w:pPr>
            <w:r/>
            <w:r>
              <w:rPr>
                <w:rFonts w:ascii="Times New Roman" w:hAnsi="Times New Roman" w:eastAsia="宋体"/>
                <w:b w:val="0"/>
                <w:i w:val="0"/>
                <w:sz w:val="17"/>
              </w:rPr>
              <w:t>金钱的心理意义</w:t>
            </w:r>
          </w:p>
        </w:tc>
        <w:tc>
          <w:tcPr>
            <w:tcW w:type="dxa" w:w="1474"/>
          </w:tcPr>
          <w:p>
            <w:pPr>
              <w:spacing w:line="252" w:lineRule="auto" w:after="30" w:before="30"/>
            </w:pPr>
            <w:r/>
            <w:r>
              <w:rPr>
                <w:rFonts w:ascii="Times New Roman" w:hAnsi="Times New Roman" w:eastAsia="宋体"/>
                <w:b w:val="0"/>
                <w:i w:val="0"/>
                <w:sz w:val="17"/>
              </w:rPr>
              <w:t>个体—象征</w:t>
            </w:r>
          </w:p>
        </w:tc>
        <w:tc>
          <w:tcPr>
            <w:tcW w:type="dxa" w:w="1701"/>
          </w:tcPr>
          <w:p>
            <w:pPr>
              <w:spacing w:line="252" w:lineRule="auto" w:after="30" w:before="30"/>
            </w:pPr>
            <w:r/>
            <w:r>
              <w:rPr>
                <w:rFonts w:ascii="Times New Roman" w:hAnsi="Times New Roman" w:eastAsia="宋体"/>
                <w:b w:val="0"/>
                <w:i w:val="0"/>
                <w:sz w:val="17"/>
              </w:rPr>
              <w:t>经典文本+临床</w:t>
            </w:r>
          </w:p>
        </w:tc>
        <w:tc>
          <w:tcPr>
            <w:tcW w:type="dxa" w:w="2381"/>
          </w:tcPr>
          <w:p>
            <w:pPr>
              <w:spacing w:line="252" w:lineRule="auto" w:after="30" w:before="30"/>
            </w:pPr>
            <w:r/>
            <w:r>
              <w:rPr>
                <w:rFonts w:ascii="Times New Roman" w:hAnsi="Times New Roman" w:eastAsia="宋体"/>
                <w:b w:val="0"/>
                <w:i w:val="0"/>
                <w:sz w:val="17"/>
              </w:rPr>
              <w:t>缺少金融现场证据、难以实证</w:t>
            </w:r>
          </w:p>
        </w:tc>
        <w:tc>
          <w:tcPr>
            <w:tcW w:type="dxa" w:w="907"/>
          </w:tcPr>
          <w:p>
            <w:pPr>
              <w:spacing w:line="252" w:lineRule="auto" w:after="30" w:before="30"/>
            </w:pPr>
            <w:r/>
            <w:r>
              <w:rPr>
                <w:rFonts w:ascii="Times New Roman" w:hAnsi="Times New Roman" w:eastAsia="宋体"/>
                <w:b w:val="0"/>
                <w:i w:val="0"/>
                <w:sz w:val="17"/>
              </w:rPr>
              <w:t>低</w:t>
            </w:r>
          </w:p>
        </w:tc>
      </w:tr>
      <w:tr>
        <w:tc>
          <w:tcPr>
            <w:tcW w:type="dxa" w:w="1814"/>
          </w:tcPr>
          <w:p>
            <w:pPr>
              <w:spacing w:line="252" w:lineRule="auto" w:after="30" w:before="30"/>
            </w:pPr>
            <w:r/>
            <w:r>
              <w:rPr>
                <w:rFonts w:ascii="Times New Roman" w:hAnsi="Times New Roman" w:eastAsia="宋体"/>
                <w:b w:val="0"/>
                <w:i w:val="0"/>
                <w:sz w:val="17"/>
              </w:rPr>
              <w:t>二、群体心理学与泡沫</w:t>
            </w:r>
          </w:p>
        </w:tc>
        <w:tc>
          <w:tcPr>
            <w:tcW w:type="dxa" w:w="1701"/>
          </w:tcPr>
          <w:p>
            <w:pPr>
              <w:spacing w:line="252" w:lineRule="auto" w:after="30" w:before="30"/>
            </w:pPr>
            <w:r/>
            <w:r>
              <w:rPr>
                <w:rFonts w:ascii="Times New Roman" w:hAnsi="Times New Roman" w:eastAsia="宋体"/>
                <w:b w:val="0"/>
                <w:i w:val="0"/>
                <w:sz w:val="17"/>
              </w:rPr>
              <w:t>同步狂热与恐慌</w:t>
            </w:r>
          </w:p>
        </w:tc>
        <w:tc>
          <w:tcPr>
            <w:tcW w:type="dxa" w:w="1474"/>
          </w:tcPr>
          <w:p>
            <w:pPr>
              <w:spacing w:line="252" w:lineRule="auto" w:after="30" w:before="30"/>
            </w:pPr>
            <w:r/>
            <w:r>
              <w:rPr>
                <w:rFonts w:ascii="Times New Roman" w:hAnsi="Times New Roman" w:eastAsia="宋体"/>
                <w:b w:val="0"/>
                <w:i w:val="0"/>
                <w:sz w:val="17"/>
              </w:rPr>
              <w:t>群体—涌现</w:t>
            </w:r>
          </w:p>
        </w:tc>
        <w:tc>
          <w:tcPr>
            <w:tcW w:type="dxa" w:w="1701"/>
          </w:tcPr>
          <w:p>
            <w:pPr>
              <w:spacing w:line="252" w:lineRule="auto" w:after="30" w:before="30"/>
            </w:pPr>
            <w:r/>
            <w:r>
              <w:rPr>
                <w:rFonts w:ascii="Times New Roman" w:hAnsi="Times New Roman" w:eastAsia="宋体"/>
                <w:b w:val="0"/>
                <w:i w:val="0"/>
                <w:sz w:val="17"/>
              </w:rPr>
              <w:t>理论+案例</w:t>
            </w:r>
          </w:p>
        </w:tc>
        <w:tc>
          <w:tcPr>
            <w:tcW w:type="dxa" w:w="2381"/>
          </w:tcPr>
          <w:p>
            <w:pPr>
              <w:spacing w:line="252" w:lineRule="auto" w:after="30" w:before="30"/>
            </w:pPr>
            <w:r/>
            <w:r>
              <w:rPr>
                <w:rFonts w:ascii="Times New Roman" w:hAnsi="Times New Roman" w:eastAsia="宋体"/>
                <w:b w:val="0"/>
                <w:i w:val="0"/>
                <w:sz w:val="17"/>
              </w:rPr>
              <w:t>可测量性差、易事后解释</w:t>
            </w:r>
          </w:p>
        </w:tc>
        <w:tc>
          <w:tcPr>
            <w:tcW w:type="dxa" w:w="907"/>
          </w:tcPr>
          <w:p>
            <w:pPr>
              <w:spacing w:line="252" w:lineRule="auto" w:after="30" w:before="30"/>
            </w:pPr>
            <w:r/>
            <w:r>
              <w:rPr>
                <w:rFonts w:ascii="Times New Roman" w:hAnsi="Times New Roman" w:eastAsia="宋体"/>
                <w:b w:val="0"/>
                <w:i w:val="0"/>
                <w:sz w:val="17"/>
              </w:rPr>
              <w:t>中</w:t>
            </w:r>
          </w:p>
        </w:tc>
      </w:tr>
      <w:tr>
        <w:tc>
          <w:tcPr>
            <w:tcW w:type="dxa" w:w="1814"/>
          </w:tcPr>
          <w:p>
            <w:pPr>
              <w:spacing w:line="252" w:lineRule="auto" w:after="30" w:before="30"/>
            </w:pPr>
            <w:r/>
            <w:r>
              <w:rPr>
                <w:rFonts w:ascii="Times New Roman" w:hAnsi="Times New Roman" w:eastAsia="宋体"/>
                <w:b w:val="0"/>
                <w:i w:val="0"/>
                <w:sz w:val="17"/>
              </w:rPr>
              <w:t>三、情绪金融</w:t>
            </w:r>
          </w:p>
        </w:tc>
        <w:tc>
          <w:tcPr>
            <w:tcW w:type="dxa" w:w="1701"/>
          </w:tcPr>
          <w:p>
            <w:pPr>
              <w:spacing w:line="252" w:lineRule="auto" w:after="30" w:before="30"/>
            </w:pPr>
            <w:r/>
            <w:r>
              <w:rPr>
                <w:rFonts w:ascii="Times New Roman" w:hAnsi="Times New Roman" w:eastAsia="宋体"/>
                <w:b w:val="0"/>
                <w:i w:val="0"/>
                <w:sz w:val="17"/>
              </w:rPr>
              <w:t>无意识幻想驱动投资</w:t>
            </w:r>
          </w:p>
        </w:tc>
        <w:tc>
          <w:tcPr>
            <w:tcW w:type="dxa" w:w="1474"/>
          </w:tcPr>
          <w:p>
            <w:pPr>
              <w:spacing w:line="252" w:lineRule="auto" w:after="30" w:before="30"/>
            </w:pPr>
            <w:r/>
            <w:r>
              <w:rPr>
                <w:rFonts w:ascii="Times New Roman" w:hAnsi="Times New Roman" w:eastAsia="宋体"/>
                <w:b w:val="0"/>
                <w:i w:val="0"/>
                <w:sz w:val="17"/>
              </w:rPr>
              <w:t>个体—群体</w:t>
            </w:r>
          </w:p>
        </w:tc>
        <w:tc>
          <w:tcPr>
            <w:tcW w:type="dxa" w:w="1701"/>
          </w:tcPr>
          <w:p>
            <w:pPr>
              <w:spacing w:line="252" w:lineRule="auto" w:after="30" w:before="30"/>
            </w:pPr>
            <w:r/>
            <w:r>
              <w:rPr>
                <w:rFonts w:ascii="Times New Roman" w:hAnsi="Times New Roman" w:eastAsia="宋体"/>
                <w:b w:val="0"/>
                <w:i w:val="0"/>
                <w:sz w:val="17"/>
              </w:rPr>
              <w:t>访谈+案例+理论</w:t>
            </w:r>
          </w:p>
        </w:tc>
        <w:tc>
          <w:tcPr>
            <w:tcW w:type="dxa" w:w="2381"/>
          </w:tcPr>
          <w:p>
            <w:pPr>
              <w:spacing w:line="252" w:lineRule="auto" w:after="30" w:before="30"/>
            </w:pPr>
            <w:r/>
            <w:r>
              <w:rPr>
                <w:rFonts w:ascii="Times New Roman" w:hAnsi="Times New Roman" w:eastAsia="宋体"/>
                <w:b w:val="0"/>
                <w:i w:val="0"/>
                <w:sz w:val="17"/>
              </w:rPr>
              <w:t>操作化不足、样本小、难重复</w:t>
            </w:r>
          </w:p>
        </w:tc>
        <w:tc>
          <w:tcPr>
            <w:tcW w:type="dxa" w:w="907"/>
          </w:tcPr>
          <w:p>
            <w:pPr>
              <w:spacing w:line="252" w:lineRule="auto" w:after="30" w:before="30"/>
            </w:pPr>
            <w:r/>
            <w:r>
              <w:rPr>
                <w:rFonts w:ascii="Times New Roman" w:hAnsi="Times New Roman" w:eastAsia="宋体"/>
                <w:b w:val="0"/>
                <w:i w:val="0"/>
                <w:sz w:val="17"/>
              </w:rPr>
              <w:t>中高</w:t>
            </w:r>
          </w:p>
        </w:tc>
      </w:tr>
      <w:tr>
        <w:tc>
          <w:tcPr>
            <w:tcW w:type="dxa" w:w="1814"/>
          </w:tcPr>
          <w:p>
            <w:pPr>
              <w:spacing w:line="252" w:lineRule="auto" w:after="30" w:before="30"/>
            </w:pPr>
            <w:r/>
            <w:r>
              <w:rPr>
                <w:rFonts w:ascii="Times New Roman" w:hAnsi="Times New Roman" w:eastAsia="宋体"/>
                <w:b w:val="0"/>
                <w:i w:val="0"/>
                <w:sz w:val="17"/>
              </w:rPr>
              <w:t>四、交易者病理</w:t>
            </w:r>
          </w:p>
        </w:tc>
        <w:tc>
          <w:tcPr>
            <w:tcW w:type="dxa" w:w="1701"/>
          </w:tcPr>
          <w:p>
            <w:pPr>
              <w:spacing w:line="252" w:lineRule="auto" w:after="30" w:before="30"/>
            </w:pPr>
            <w:r/>
            <w:r>
              <w:rPr>
                <w:rFonts w:ascii="Times New Roman" w:hAnsi="Times New Roman" w:eastAsia="宋体"/>
                <w:b w:val="0"/>
                <w:i w:val="0"/>
                <w:sz w:val="17"/>
              </w:rPr>
              <w:t>贪婪与赌博成瘾</w:t>
            </w:r>
          </w:p>
        </w:tc>
        <w:tc>
          <w:tcPr>
            <w:tcW w:type="dxa" w:w="1474"/>
          </w:tcPr>
          <w:p>
            <w:pPr>
              <w:spacing w:line="252" w:lineRule="auto" w:after="30" w:before="30"/>
            </w:pPr>
            <w:r/>
            <w:r>
              <w:rPr>
                <w:rFonts w:ascii="Times New Roman" w:hAnsi="Times New Roman" w:eastAsia="宋体"/>
                <w:b w:val="0"/>
                <w:i w:val="0"/>
                <w:sz w:val="17"/>
              </w:rPr>
              <w:t>个体—临床</w:t>
            </w:r>
          </w:p>
        </w:tc>
        <w:tc>
          <w:tcPr>
            <w:tcW w:type="dxa" w:w="1701"/>
          </w:tcPr>
          <w:p>
            <w:pPr>
              <w:spacing w:line="252" w:lineRule="auto" w:after="30" w:before="30"/>
            </w:pPr>
            <w:r/>
            <w:r>
              <w:rPr>
                <w:rFonts w:ascii="Times New Roman" w:hAnsi="Times New Roman" w:eastAsia="宋体"/>
                <w:b w:val="0"/>
                <w:i w:val="0"/>
                <w:sz w:val="17"/>
              </w:rPr>
              <w:t>流行病学+量表</w:t>
            </w:r>
          </w:p>
        </w:tc>
        <w:tc>
          <w:tcPr>
            <w:tcW w:type="dxa" w:w="2381"/>
          </w:tcPr>
          <w:p>
            <w:pPr>
              <w:spacing w:line="252" w:lineRule="auto" w:after="30" w:before="30"/>
            </w:pPr>
            <w:r/>
            <w:r>
              <w:rPr>
                <w:rFonts w:ascii="Times New Roman" w:hAnsi="Times New Roman" w:eastAsia="宋体"/>
                <w:b w:val="0"/>
                <w:i w:val="0"/>
                <w:sz w:val="17"/>
              </w:rPr>
              <w:t>更近精神病学、金融机制弱</w:t>
            </w:r>
          </w:p>
        </w:tc>
        <w:tc>
          <w:tcPr>
            <w:tcW w:type="dxa" w:w="907"/>
          </w:tcPr>
          <w:p>
            <w:pPr>
              <w:spacing w:line="252" w:lineRule="auto" w:after="30" w:before="30"/>
            </w:pPr>
            <w:r/>
            <w:r>
              <w:rPr>
                <w:rFonts w:ascii="Times New Roman" w:hAnsi="Times New Roman" w:eastAsia="宋体"/>
                <w:b w:val="0"/>
                <w:i w:val="0"/>
                <w:sz w:val="17"/>
              </w:rPr>
              <w:t>高</w:t>
            </w:r>
          </w:p>
        </w:tc>
      </w:tr>
      <w:tr>
        <w:tc>
          <w:tcPr>
            <w:tcW w:type="dxa" w:w="1814"/>
          </w:tcPr>
          <w:p>
            <w:pPr>
              <w:spacing w:line="252" w:lineRule="auto" w:after="30" w:before="30"/>
            </w:pPr>
            <w:r/>
            <w:r>
              <w:rPr>
                <w:rFonts w:ascii="Times New Roman" w:hAnsi="Times New Roman" w:eastAsia="宋体"/>
                <w:b w:val="0"/>
                <w:i w:val="0"/>
                <w:sz w:val="17"/>
              </w:rPr>
              <w:t>五、拉康式政治经济学</w:t>
            </w:r>
          </w:p>
        </w:tc>
        <w:tc>
          <w:tcPr>
            <w:tcW w:type="dxa" w:w="1701"/>
          </w:tcPr>
          <w:p>
            <w:pPr>
              <w:spacing w:line="252" w:lineRule="auto" w:after="30" w:before="30"/>
            </w:pPr>
            <w:r/>
            <w:r>
              <w:rPr>
                <w:rFonts w:ascii="Times New Roman" w:hAnsi="Times New Roman" w:eastAsia="宋体"/>
                <w:b w:val="0"/>
                <w:i w:val="0"/>
                <w:sz w:val="17"/>
              </w:rPr>
              <w:t>欲望结构与资本动力</w:t>
            </w:r>
          </w:p>
        </w:tc>
        <w:tc>
          <w:tcPr>
            <w:tcW w:type="dxa" w:w="1474"/>
          </w:tcPr>
          <w:p>
            <w:pPr>
              <w:spacing w:line="252" w:lineRule="auto" w:after="30" w:before="30"/>
            </w:pPr>
            <w:r/>
            <w:r>
              <w:rPr>
                <w:rFonts w:ascii="Times New Roman" w:hAnsi="Times New Roman" w:eastAsia="宋体"/>
                <w:b w:val="0"/>
                <w:i w:val="0"/>
                <w:sz w:val="17"/>
              </w:rPr>
              <w:t>结构—系统</w:t>
            </w:r>
          </w:p>
        </w:tc>
        <w:tc>
          <w:tcPr>
            <w:tcW w:type="dxa" w:w="1701"/>
          </w:tcPr>
          <w:p>
            <w:pPr>
              <w:spacing w:line="252" w:lineRule="auto" w:after="30" w:before="30"/>
            </w:pPr>
            <w:r/>
            <w:r>
              <w:rPr>
                <w:rFonts w:ascii="Times New Roman" w:hAnsi="Times New Roman" w:eastAsia="宋体"/>
                <w:b w:val="0"/>
                <w:i w:val="0"/>
                <w:sz w:val="17"/>
              </w:rPr>
              <w:t>理论+文本/邮件</w:t>
            </w:r>
          </w:p>
        </w:tc>
        <w:tc>
          <w:tcPr>
            <w:tcW w:type="dxa" w:w="2381"/>
          </w:tcPr>
          <w:p>
            <w:pPr>
              <w:spacing w:line="252" w:lineRule="auto" w:after="30" w:before="30"/>
            </w:pPr>
            <w:r/>
            <w:r>
              <w:rPr>
                <w:rFonts w:ascii="Times New Roman" w:hAnsi="Times New Roman" w:eastAsia="宋体"/>
                <w:b w:val="0"/>
                <w:i w:val="0"/>
                <w:sz w:val="17"/>
              </w:rPr>
              <w:t>几乎不可证伪</w:t>
            </w:r>
          </w:p>
        </w:tc>
        <w:tc>
          <w:tcPr>
            <w:tcW w:type="dxa" w:w="907"/>
          </w:tcPr>
          <w:p>
            <w:pPr>
              <w:spacing w:line="252" w:lineRule="auto" w:after="30" w:before="30"/>
            </w:pPr>
            <w:r/>
            <w:r>
              <w:rPr>
                <w:rFonts w:ascii="Times New Roman" w:hAnsi="Times New Roman" w:eastAsia="宋体"/>
                <w:b w:val="0"/>
                <w:i w:val="0"/>
                <w:sz w:val="17"/>
              </w:rPr>
              <w:t>低</w:t>
            </w:r>
          </w:p>
        </w:tc>
      </w:tr>
    </w:tbl>
    <w:p>
      <w:pPr>
        <w:spacing w:line="336" w:lineRule="auto" w:before="0" w:after="40"/>
        <w:jc w:val="both"/>
      </w:pPr>
    </w:p>
    <w:p>
      <w:pPr>
        <w:keepNext/>
        <w:spacing w:before="400" w:after="140" w:line="300" w:lineRule="auto"/>
      </w:pPr>
      <w:r>
        <w:rPr>
          <w:rFonts w:ascii="Arial" w:hAnsi="Arial" w:eastAsia="黑体"/>
          <w:b/>
          <w:i w:val="0"/>
          <w:sz w:val="32"/>
        </w:rPr>
        <w:t>附录 C　结论置信度分级</w:t>
      </w:r>
    </w:p>
    <w:p>
      <w:pPr>
        <w:spacing w:line="336" w:lineRule="auto" w:before="0" w:after="80"/>
        <w:jc w:val="both"/>
      </w:pPr>
      <w:r>
        <w:rPr>
          <w:rFonts w:ascii="Times New Roman" w:hAnsi="Times New Roman" w:eastAsia="宋体"/>
          <w:b w:val="0"/>
          <w:i w:val="0"/>
          <w:sz w:val="21"/>
        </w:rPr>
        <w:t>分级依据第八章那四条原则（可重复、可测量、因果、可外推），结合文献一致性给出，不是精确评分。</w:t>
      </w:r>
    </w:p>
    <w:tbl>
      <w:tblPr>
        <w:tblStyle w:val="TableGrid"/>
        <w:tblW w:type="auto" w:w="0"/>
        <w:jc w:val="center"/>
        <w:tblLook w:firstColumn="1" w:firstRow="1" w:lastColumn="0" w:lastRow="0" w:noHBand="0" w:noVBand="1" w:val="04A0"/>
      </w:tblPr>
      <w:tblGrid>
        <w:gridCol w:w="2911"/>
        <w:gridCol w:w="2911"/>
        <w:gridCol w:w="2911"/>
      </w:tblGrid>
      <w:tr>
        <w:tc>
          <w:tcPr>
            <w:tcW w:type="dxa" w:w="3402"/>
          </w:tcPr>
          <w:p>
            <w:pPr>
              <w:spacing w:line="252" w:lineRule="auto" w:after="30" w:before="30"/>
              <w:jc w:val="center"/>
            </w:pPr>
            <w:r/>
            <w:r>
              <w:rPr>
                <w:rFonts w:ascii="Times New Roman" w:hAnsi="Times New Roman" w:eastAsia="宋体"/>
                <w:b/>
                <w:i w:val="0"/>
                <w:sz w:val="18"/>
              </w:rPr>
              <w:t>结论</w:t>
            </w:r>
          </w:p>
        </w:tc>
        <w:tc>
          <w:tcPr>
            <w:tcW w:type="dxa" w:w="1020"/>
          </w:tcPr>
          <w:p>
            <w:pPr>
              <w:spacing w:line="252" w:lineRule="auto" w:after="30" w:before="30"/>
              <w:jc w:val="center"/>
            </w:pPr>
            <w:r/>
            <w:r>
              <w:rPr>
                <w:rFonts w:ascii="Times New Roman" w:hAnsi="Times New Roman" w:eastAsia="宋体"/>
                <w:b/>
                <w:i w:val="0"/>
                <w:sz w:val="18"/>
              </w:rPr>
              <w:t>置信度</w:t>
            </w:r>
          </w:p>
        </w:tc>
        <w:tc>
          <w:tcPr>
            <w:tcW w:type="dxa" w:w="5443"/>
          </w:tcPr>
          <w:p>
            <w:pPr>
              <w:spacing w:line="252" w:lineRule="auto" w:after="30" w:before="30"/>
              <w:jc w:val="center"/>
            </w:pPr>
            <w:r/>
            <w:r>
              <w:rPr>
                <w:rFonts w:ascii="Times New Roman" w:hAnsi="Times New Roman" w:eastAsia="宋体"/>
                <w:b/>
                <w:i w:val="0"/>
                <w:sz w:val="18"/>
              </w:rPr>
              <w:t>依据</w:t>
            </w:r>
          </w:p>
        </w:tc>
      </w:tr>
      <w:tr>
        <w:tc>
          <w:tcPr>
            <w:tcW w:type="dxa" w:w="3402"/>
          </w:tcPr>
          <w:p>
            <w:pPr>
              <w:spacing w:line="252" w:lineRule="auto" w:after="30" w:before="30"/>
            </w:pPr>
            <w:r/>
            <w:r>
              <w:rPr>
                <w:rFonts w:ascii="Times New Roman" w:hAnsi="Times New Roman" w:eastAsia="宋体"/>
                <w:b w:val="0"/>
                <w:i w:val="0"/>
                <w:sz w:val="17"/>
              </w:rPr>
              <w:t>过度交易与赌博障碍在诊断与轨迹上重合</w:t>
            </w:r>
          </w:p>
        </w:tc>
        <w:tc>
          <w:tcPr>
            <w:tcW w:type="dxa" w:w="1020"/>
          </w:tcPr>
          <w:p>
            <w:pPr>
              <w:spacing w:line="252" w:lineRule="auto" w:after="30" w:before="30"/>
            </w:pPr>
            <w:r/>
            <w:r>
              <w:rPr>
                <w:rFonts w:ascii="Times New Roman" w:hAnsi="Times New Roman" w:eastAsia="宋体"/>
                <w:b w:val="0"/>
                <w:i w:val="0"/>
                <w:sz w:val="17"/>
              </w:rPr>
              <w:t>高</w:t>
            </w:r>
          </w:p>
        </w:tc>
        <w:tc>
          <w:tcPr>
            <w:tcW w:type="dxa" w:w="5443"/>
          </w:tcPr>
          <w:p>
            <w:pPr>
              <w:spacing w:line="252" w:lineRule="auto" w:after="30" w:before="30"/>
            </w:pPr>
            <w:r/>
            <w:r>
              <w:rPr>
                <w:rFonts w:ascii="Times New Roman" w:hAnsi="Times New Roman" w:eastAsia="宋体"/>
                <w:b w:val="0"/>
                <w:i w:val="0"/>
                <w:sz w:val="17"/>
              </w:rPr>
              <w:t>多项研究、跨样本、诊断标准可移植[36][37][62]</w:t>
            </w:r>
          </w:p>
        </w:tc>
      </w:tr>
      <w:tr>
        <w:tc>
          <w:tcPr>
            <w:tcW w:type="dxa" w:w="3402"/>
          </w:tcPr>
          <w:p>
            <w:pPr>
              <w:spacing w:line="252" w:lineRule="auto" w:after="30" w:before="30"/>
            </w:pPr>
            <w:r/>
            <w:r>
              <w:rPr>
                <w:rFonts w:ascii="Times New Roman" w:hAnsi="Times New Roman" w:eastAsia="宋体"/>
                <w:b w:val="0"/>
                <w:i w:val="0"/>
                <w:sz w:val="17"/>
              </w:rPr>
              <w:t>情绪影响决策，且方向依情境而变</w:t>
            </w:r>
          </w:p>
        </w:tc>
        <w:tc>
          <w:tcPr>
            <w:tcW w:type="dxa" w:w="1020"/>
          </w:tcPr>
          <w:p>
            <w:pPr>
              <w:spacing w:line="252" w:lineRule="auto" w:after="30" w:before="30"/>
            </w:pPr>
            <w:r/>
            <w:r>
              <w:rPr>
                <w:rFonts w:ascii="Times New Roman" w:hAnsi="Times New Roman" w:eastAsia="宋体"/>
                <w:b w:val="0"/>
                <w:i w:val="0"/>
                <w:sz w:val="17"/>
              </w:rPr>
              <w:t>中高</w:t>
            </w:r>
          </w:p>
        </w:tc>
        <w:tc>
          <w:tcPr>
            <w:tcW w:type="dxa" w:w="5443"/>
          </w:tcPr>
          <w:p>
            <w:pPr>
              <w:spacing w:line="252" w:lineRule="auto" w:after="30" w:before="30"/>
            </w:pPr>
            <w:r/>
            <w:r>
              <w:rPr>
                <w:rFonts w:ascii="Times New Roman" w:hAnsi="Times New Roman" w:eastAsia="宋体"/>
                <w:b w:val="0"/>
                <w:i w:val="0"/>
                <w:sz w:val="17"/>
              </w:rPr>
              <w:t>实验可重复，但效应大小与机制有争议[35][34]</w:t>
            </w:r>
          </w:p>
        </w:tc>
      </w:tr>
      <w:tr>
        <w:tc>
          <w:tcPr>
            <w:tcW w:type="dxa" w:w="3402"/>
          </w:tcPr>
          <w:p>
            <w:pPr>
              <w:spacing w:line="252" w:lineRule="auto" w:after="30" w:before="30"/>
            </w:pPr>
            <w:r/>
            <w:r>
              <w:rPr>
                <w:rFonts w:ascii="Times New Roman" w:hAnsi="Times New Roman" w:eastAsia="宋体"/>
                <w:b w:val="0"/>
                <w:i w:val="0"/>
                <w:sz w:val="17"/>
              </w:rPr>
              <w:t>交易中存在对抗不确定性的控制错觉</w:t>
            </w:r>
          </w:p>
        </w:tc>
        <w:tc>
          <w:tcPr>
            <w:tcW w:type="dxa" w:w="1020"/>
          </w:tcPr>
          <w:p>
            <w:pPr>
              <w:spacing w:line="252" w:lineRule="auto" w:after="30" w:before="30"/>
            </w:pPr>
            <w:r/>
            <w:r>
              <w:rPr>
                <w:rFonts w:ascii="Times New Roman" w:hAnsi="Times New Roman" w:eastAsia="宋体"/>
                <w:b w:val="0"/>
                <w:i w:val="0"/>
                <w:sz w:val="17"/>
              </w:rPr>
              <w:t>中</w:t>
            </w:r>
          </w:p>
        </w:tc>
        <w:tc>
          <w:tcPr>
            <w:tcW w:type="dxa" w:w="5443"/>
          </w:tcPr>
          <w:p>
            <w:pPr>
              <w:spacing w:line="252" w:lineRule="auto" w:after="30" w:before="30"/>
            </w:pPr>
            <w:r/>
            <w:r>
              <w:rPr>
                <w:rFonts w:ascii="Times New Roman" w:hAnsi="Times New Roman" w:eastAsia="宋体"/>
                <w:b w:val="0"/>
                <w:i w:val="0"/>
                <w:sz w:val="17"/>
              </w:rPr>
              <w:t>跨学科一致，但测量口径不一[15][36]</w:t>
            </w:r>
          </w:p>
        </w:tc>
      </w:tr>
      <w:tr>
        <w:tc>
          <w:tcPr>
            <w:tcW w:type="dxa" w:w="3402"/>
          </w:tcPr>
          <w:p>
            <w:pPr>
              <w:spacing w:line="252" w:lineRule="auto" w:after="30" w:before="30"/>
            </w:pPr>
            <w:r/>
            <w:r>
              <w:rPr>
                <w:rFonts w:ascii="Times New Roman" w:hAnsi="Times New Roman" w:eastAsia="宋体"/>
                <w:b w:val="0"/>
                <w:i w:val="0"/>
                <w:sz w:val="17"/>
              </w:rPr>
              <w:t>市场中极端行情呈现群体动力学</w:t>
            </w:r>
          </w:p>
        </w:tc>
        <w:tc>
          <w:tcPr>
            <w:tcW w:type="dxa" w:w="1020"/>
          </w:tcPr>
          <w:p>
            <w:pPr>
              <w:spacing w:line="252" w:lineRule="auto" w:after="30" w:before="30"/>
            </w:pPr>
            <w:r/>
            <w:r>
              <w:rPr>
                <w:rFonts w:ascii="Times New Roman" w:hAnsi="Times New Roman" w:eastAsia="宋体"/>
                <w:b w:val="0"/>
                <w:i w:val="0"/>
                <w:sz w:val="17"/>
              </w:rPr>
              <w:t>中</w:t>
            </w:r>
          </w:p>
        </w:tc>
        <w:tc>
          <w:tcPr>
            <w:tcW w:type="dxa" w:w="5443"/>
          </w:tcPr>
          <w:p>
            <w:pPr>
              <w:spacing w:line="252" w:lineRule="auto" w:after="30" w:before="30"/>
            </w:pPr>
            <w:r/>
            <w:r>
              <w:rPr>
                <w:rFonts w:ascii="Times New Roman" w:hAnsi="Times New Roman" w:eastAsia="宋体"/>
                <w:b w:val="0"/>
                <w:i w:val="0"/>
                <w:sz w:val="17"/>
              </w:rPr>
              <w:t>理论强、案例多，但因果与边界难界定[26][11]</w:t>
            </w:r>
          </w:p>
        </w:tc>
      </w:tr>
      <w:tr>
        <w:tc>
          <w:tcPr>
            <w:tcW w:type="dxa" w:w="3402"/>
          </w:tcPr>
          <w:p>
            <w:pPr>
              <w:spacing w:line="252" w:lineRule="auto" w:after="30" w:before="30"/>
            </w:pPr>
            <w:r/>
            <w:r>
              <w:rPr>
                <w:rFonts w:ascii="Times New Roman" w:hAnsi="Times New Roman" w:eastAsia="宋体"/>
                <w:b w:val="0"/>
                <w:i w:val="0"/>
                <w:sz w:val="17"/>
              </w:rPr>
              <w:t>情绪可从文本/行为中被度量并与收益相关</w:t>
            </w:r>
          </w:p>
        </w:tc>
        <w:tc>
          <w:tcPr>
            <w:tcW w:type="dxa" w:w="1020"/>
          </w:tcPr>
          <w:p>
            <w:pPr>
              <w:spacing w:line="252" w:lineRule="auto" w:after="30" w:before="30"/>
            </w:pPr>
            <w:r/>
            <w:r>
              <w:rPr>
                <w:rFonts w:ascii="Times New Roman" w:hAnsi="Times New Roman" w:eastAsia="宋体"/>
                <w:b w:val="0"/>
                <w:i w:val="0"/>
                <w:sz w:val="17"/>
              </w:rPr>
              <w:t>中</w:t>
            </w:r>
          </w:p>
        </w:tc>
        <w:tc>
          <w:tcPr>
            <w:tcW w:type="dxa" w:w="5443"/>
          </w:tcPr>
          <w:p>
            <w:pPr>
              <w:spacing w:line="252" w:lineRule="auto" w:after="30" w:before="30"/>
            </w:pPr>
            <w:r/>
            <w:r>
              <w:rPr>
                <w:rFonts w:ascii="Times New Roman" w:hAnsi="Times New Roman" w:eastAsia="宋体"/>
                <w:b w:val="0"/>
                <w:i w:val="0"/>
                <w:sz w:val="17"/>
              </w:rPr>
              <w:t>多组实证一致，但偏向度量噪音而非心理结构[38][39][59][60][61]</w:t>
            </w:r>
          </w:p>
        </w:tc>
      </w:tr>
      <w:tr>
        <w:tc>
          <w:tcPr>
            <w:tcW w:type="dxa" w:w="3402"/>
          </w:tcPr>
          <w:p>
            <w:pPr>
              <w:spacing w:line="252" w:lineRule="auto" w:after="30" w:before="30"/>
            </w:pPr>
            <w:r/>
            <w:r>
              <w:rPr>
                <w:rFonts w:ascii="Times New Roman" w:hAnsi="Times New Roman" w:eastAsia="宋体"/>
                <w:b w:val="0"/>
                <w:i w:val="0"/>
                <w:sz w:val="17"/>
              </w:rPr>
              <w:t>幻觉客体与分阶段/未分阶段投资</w:t>
            </w:r>
          </w:p>
        </w:tc>
        <w:tc>
          <w:tcPr>
            <w:tcW w:type="dxa" w:w="1020"/>
          </w:tcPr>
          <w:p>
            <w:pPr>
              <w:spacing w:line="252" w:lineRule="auto" w:after="30" w:before="30"/>
            </w:pPr>
            <w:r/>
            <w:r>
              <w:rPr>
                <w:rFonts w:ascii="Times New Roman" w:hAnsi="Times New Roman" w:eastAsia="宋体"/>
                <w:b w:val="0"/>
                <w:i w:val="0"/>
                <w:sz w:val="17"/>
              </w:rPr>
              <w:t>中</w:t>
            </w:r>
          </w:p>
        </w:tc>
        <w:tc>
          <w:tcPr>
            <w:tcW w:type="dxa" w:w="5443"/>
          </w:tcPr>
          <w:p>
            <w:pPr>
              <w:spacing w:line="252" w:lineRule="auto" w:after="30" w:before="30"/>
            </w:pPr>
            <w:r/>
            <w:r>
              <w:rPr>
                <w:rFonts w:ascii="Times New Roman" w:hAnsi="Times New Roman" w:eastAsia="宋体"/>
                <w:b w:val="0"/>
                <w:i w:val="0"/>
                <w:sz w:val="17"/>
              </w:rPr>
              <w:t>概念有解释力，操作化与独立重复不足[11][23]</w:t>
            </w:r>
          </w:p>
        </w:tc>
      </w:tr>
      <w:tr>
        <w:tc>
          <w:tcPr>
            <w:tcW w:type="dxa" w:w="3402"/>
          </w:tcPr>
          <w:p>
            <w:pPr>
              <w:spacing w:line="252" w:lineRule="auto" w:after="30" w:before="30"/>
            </w:pPr>
            <w:r/>
            <w:r>
              <w:rPr>
                <w:rFonts w:ascii="Times New Roman" w:hAnsi="Times New Roman" w:eastAsia="宋体"/>
                <w:b w:val="0"/>
                <w:i w:val="0"/>
                <w:sz w:val="17"/>
              </w:rPr>
              <w:t>金钱的心理意义超出其经济功能</w:t>
            </w:r>
          </w:p>
        </w:tc>
        <w:tc>
          <w:tcPr>
            <w:tcW w:type="dxa" w:w="1020"/>
          </w:tcPr>
          <w:p>
            <w:pPr>
              <w:spacing w:line="252" w:lineRule="auto" w:after="30" w:before="30"/>
            </w:pPr>
            <w:r/>
            <w:r>
              <w:rPr>
                <w:rFonts w:ascii="Times New Roman" w:hAnsi="Times New Roman" w:eastAsia="宋体"/>
                <w:b w:val="0"/>
                <w:i w:val="0"/>
                <w:sz w:val="17"/>
              </w:rPr>
              <w:t>中</w:t>
            </w:r>
          </w:p>
        </w:tc>
        <w:tc>
          <w:tcPr>
            <w:tcW w:type="dxa" w:w="5443"/>
          </w:tcPr>
          <w:p>
            <w:pPr>
              <w:spacing w:line="252" w:lineRule="auto" w:after="30" w:before="30"/>
            </w:pPr>
            <w:r/>
            <w:r>
              <w:rPr>
                <w:rFonts w:ascii="Times New Roman" w:hAnsi="Times New Roman" w:eastAsia="宋体"/>
                <w:b w:val="0"/>
                <w:i w:val="0"/>
                <w:sz w:val="17"/>
              </w:rPr>
              <w:t>经典文本与临床观察支持，难做干净实证[3][4][5][19]</w:t>
            </w:r>
          </w:p>
        </w:tc>
      </w:tr>
      <w:tr>
        <w:tc>
          <w:tcPr>
            <w:tcW w:type="dxa" w:w="3402"/>
          </w:tcPr>
          <w:p>
            <w:pPr>
              <w:spacing w:line="252" w:lineRule="auto" w:after="30" w:before="30"/>
            </w:pPr>
            <w:r/>
            <w:r>
              <w:rPr>
                <w:rFonts w:ascii="Times New Roman" w:hAnsi="Times New Roman" w:eastAsia="宋体"/>
                <w:b w:val="0"/>
                <w:i w:val="0"/>
                <w:sz w:val="17"/>
              </w:rPr>
              <w:t>对冲基金/基金业中存在幻想式关系</w:t>
            </w:r>
          </w:p>
        </w:tc>
        <w:tc>
          <w:tcPr>
            <w:tcW w:type="dxa" w:w="1020"/>
          </w:tcPr>
          <w:p>
            <w:pPr>
              <w:spacing w:line="252" w:lineRule="auto" w:after="30" w:before="30"/>
            </w:pPr>
            <w:r/>
            <w:r>
              <w:rPr>
                <w:rFonts w:ascii="Times New Roman" w:hAnsi="Times New Roman" w:eastAsia="宋体"/>
                <w:b w:val="0"/>
                <w:i w:val="0"/>
                <w:sz w:val="17"/>
              </w:rPr>
              <w:t>中低</w:t>
            </w:r>
          </w:p>
        </w:tc>
        <w:tc>
          <w:tcPr>
            <w:tcW w:type="dxa" w:w="5443"/>
          </w:tcPr>
          <w:p>
            <w:pPr>
              <w:spacing w:line="252" w:lineRule="auto" w:after="30" w:before="30"/>
            </w:pPr>
            <w:r/>
            <w:r>
              <w:rPr>
                <w:rFonts w:ascii="Times New Roman" w:hAnsi="Times New Roman" w:eastAsia="宋体"/>
                <w:b w:val="0"/>
                <w:i w:val="0"/>
                <w:sz w:val="17"/>
              </w:rPr>
              <w:t>质性研究支持，样本有限[12][52]</w:t>
            </w:r>
          </w:p>
        </w:tc>
      </w:tr>
      <w:tr>
        <w:tc>
          <w:tcPr>
            <w:tcW w:type="dxa" w:w="3402"/>
          </w:tcPr>
          <w:p>
            <w:pPr>
              <w:spacing w:line="252" w:lineRule="auto" w:after="30" w:before="30"/>
            </w:pPr>
            <w:r/>
            <w:r>
              <w:rPr>
                <w:rFonts w:ascii="Times New Roman" w:hAnsi="Times New Roman" w:eastAsia="宋体"/>
                <w:b w:val="0"/>
                <w:i w:val="0"/>
                <w:sz w:val="17"/>
              </w:rPr>
              <w:t>赌徒存在无意识自罚需求</w:t>
            </w:r>
          </w:p>
        </w:tc>
        <w:tc>
          <w:tcPr>
            <w:tcW w:type="dxa" w:w="1020"/>
          </w:tcPr>
          <w:p>
            <w:pPr>
              <w:spacing w:line="252" w:lineRule="auto" w:after="30" w:before="30"/>
            </w:pPr>
            <w:r/>
            <w:r>
              <w:rPr>
                <w:rFonts w:ascii="Times New Roman" w:hAnsi="Times New Roman" w:eastAsia="宋体"/>
                <w:b w:val="0"/>
                <w:i w:val="0"/>
                <w:sz w:val="17"/>
              </w:rPr>
              <w:t>低</w:t>
            </w:r>
          </w:p>
        </w:tc>
        <w:tc>
          <w:tcPr>
            <w:tcW w:type="dxa" w:w="5443"/>
          </w:tcPr>
          <w:p>
            <w:pPr>
              <w:spacing w:line="252" w:lineRule="auto" w:after="30" w:before="30"/>
            </w:pPr>
            <w:r/>
            <w:r>
              <w:rPr>
                <w:rFonts w:ascii="Times New Roman" w:hAnsi="Times New Roman" w:eastAsia="宋体"/>
                <w:b w:val="0"/>
                <w:i w:val="0"/>
                <w:sz w:val="17"/>
              </w:rPr>
              <w:t>经典解释，当代临床已边缘化[2][24]</w:t>
            </w:r>
          </w:p>
        </w:tc>
      </w:tr>
      <w:tr>
        <w:tc>
          <w:tcPr>
            <w:tcW w:type="dxa" w:w="3402"/>
          </w:tcPr>
          <w:p>
            <w:pPr>
              <w:spacing w:line="252" w:lineRule="auto" w:after="30" w:before="30"/>
            </w:pPr>
            <w:r/>
            <w:r>
              <w:rPr>
                <w:rFonts w:ascii="Times New Roman" w:hAnsi="Times New Roman" w:eastAsia="宋体"/>
                <w:b w:val="0"/>
                <w:i w:val="0"/>
                <w:sz w:val="17"/>
              </w:rPr>
              <w:t>市场作为“对象 a”的运作机制</w:t>
            </w:r>
          </w:p>
        </w:tc>
        <w:tc>
          <w:tcPr>
            <w:tcW w:type="dxa" w:w="1020"/>
          </w:tcPr>
          <w:p>
            <w:pPr>
              <w:spacing w:line="252" w:lineRule="auto" w:after="30" w:before="30"/>
            </w:pPr>
            <w:r/>
            <w:r>
              <w:rPr>
                <w:rFonts w:ascii="Times New Roman" w:hAnsi="Times New Roman" w:eastAsia="宋体"/>
                <w:b w:val="0"/>
                <w:i w:val="0"/>
                <w:sz w:val="17"/>
              </w:rPr>
              <w:t>低</w:t>
            </w:r>
          </w:p>
        </w:tc>
        <w:tc>
          <w:tcPr>
            <w:tcW w:type="dxa" w:w="5443"/>
          </w:tcPr>
          <w:p>
            <w:pPr>
              <w:spacing w:line="252" w:lineRule="auto" w:after="30" w:before="30"/>
            </w:pPr>
            <w:r/>
            <w:r>
              <w:rPr>
                <w:rFonts w:ascii="Times New Roman" w:hAnsi="Times New Roman" w:eastAsia="宋体"/>
                <w:b w:val="0"/>
                <w:i w:val="0"/>
                <w:sz w:val="17"/>
              </w:rPr>
              <w:t>思辨性强，缺乏可反驳命题[10][44][20]</w:t>
            </w:r>
          </w:p>
        </w:tc>
      </w:tr>
      <w:tr>
        <w:tc>
          <w:tcPr>
            <w:tcW w:type="dxa" w:w="3402"/>
          </w:tcPr>
          <w:p>
            <w:pPr>
              <w:spacing w:line="252" w:lineRule="auto" w:after="30" w:before="30"/>
            </w:pPr>
            <w:r/>
            <w:r>
              <w:rPr>
                <w:rFonts w:ascii="Times New Roman" w:hAnsi="Times New Roman" w:eastAsia="宋体"/>
                <w:b w:val="0"/>
                <w:i w:val="0"/>
                <w:sz w:val="17"/>
              </w:rPr>
              <w:t>资本主义话语作为主体再生产机制</w:t>
            </w:r>
          </w:p>
        </w:tc>
        <w:tc>
          <w:tcPr>
            <w:tcW w:type="dxa" w:w="1020"/>
          </w:tcPr>
          <w:p>
            <w:pPr>
              <w:spacing w:line="252" w:lineRule="auto" w:after="30" w:before="30"/>
            </w:pPr>
            <w:r/>
            <w:r>
              <w:rPr>
                <w:rFonts w:ascii="Times New Roman" w:hAnsi="Times New Roman" w:eastAsia="宋体"/>
                <w:b w:val="0"/>
                <w:i w:val="0"/>
                <w:sz w:val="17"/>
              </w:rPr>
              <w:t>低</w:t>
            </w:r>
          </w:p>
        </w:tc>
        <w:tc>
          <w:tcPr>
            <w:tcW w:type="dxa" w:w="5443"/>
          </w:tcPr>
          <w:p>
            <w:pPr>
              <w:spacing w:line="252" w:lineRule="auto" w:after="30" w:before="30"/>
            </w:pPr>
            <w:r/>
            <w:r>
              <w:rPr>
                <w:rFonts w:ascii="Times New Roman" w:hAnsi="Times New Roman" w:eastAsia="宋体"/>
                <w:b w:val="0"/>
                <w:i w:val="0"/>
                <w:sz w:val="17"/>
              </w:rPr>
              <w:t>理论深刻但难以经验检验[53][45]</w:t>
            </w:r>
          </w:p>
        </w:tc>
      </w:tr>
    </w:tbl>
    <w:p>
      <w:pPr>
        <w:spacing w:line="336" w:lineRule="auto" w:before="0" w:after="40"/>
        <w:jc w:val="both"/>
      </w:pPr>
    </w:p>
    <w:p>
      <w:pPr>
        <w:keepNext/>
        <w:spacing w:before="400" w:after="140" w:line="300" w:lineRule="auto"/>
      </w:pPr>
      <w:r>
        <w:rPr>
          <w:rFonts w:ascii="Arial" w:hAnsi="Arial" w:eastAsia="黑体"/>
          <w:b/>
          <w:i w:val="0"/>
          <w:sz w:val="32"/>
        </w:rPr>
        <w:t>附录 D　术语到市场现象的映射</w:t>
      </w:r>
    </w:p>
    <w:p>
      <w:pPr>
        <w:spacing w:line="336" w:lineRule="auto" w:before="0" w:after="80"/>
        <w:jc w:val="both"/>
      </w:pPr>
      <w:r>
        <w:rPr>
          <w:rFonts w:ascii="Times New Roman" w:hAnsi="Times New Roman" w:eastAsia="宋体"/>
          <w:b w:val="0"/>
          <w:i w:val="0"/>
          <w:sz w:val="21"/>
        </w:rPr>
        <w:t>把概念和它在交易里的可能对应物并排列出，顺便暴露哪些映射还站不住。</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041"/>
          </w:tcPr>
          <w:p>
            <w:pPr>
              <w:spacing w:line="252" w:lineRule="auto" w:after="30" w:before="30"/>
              <w:jc w:val="center"/>
            </w:pPr>
            <w:r/>
            <w:r>
              <w:rPr>
                <w:rFonts w:ascii="Times New Roman" w:hAnsi="Times New Roman" w:eastAsia="宋体"/>
                <w:b/>
                <w:i w:val="0"/>
                <w:sz w:val="18"/>
              </w:rPr>
              <w:t>概念</w:t>
            </w:r>
          </w:p>
        </w:tc>
        <w:tc>
          <w:tcPr>
            <w:tcW w:type="dxa" w:w="1701"/>
          </w:tcPr>
          <w:p>
            <w:pPr>
              <w:spacing w:line="252" w:lineRule="auto" w:after="30" w:before="30"/>
              <w:jc w:val="center"/>
            </w:pPr>
            <w:r/>
            <w:r>
              <w:rPr>
                <w:rFonts w:ascii="Times New Roman" w:hAnsi="Times New Roman" w:eastAsia="宋体"/>
                <w:b/>
                <w:i w:val="0"/>
                <w:sz w:val="18"/>
              </w:rPr>
              <w:t>来源</w:t>
            </w:r>
          </w:p>
        </w:tc>
        <w:tc>
          <w:tcPr>
            <w:tcW w:type="dxa" w:w="4762"/>
          </w:tcPr>
          <w:p>
            <w:pPr>
              <w:spacing w:line="252" w:lineRule="auto" w:after="30" w:before="30"/>
              <w:jc w:val="center"/>
            </w:pPr>
            <w:r/>
            <w:r>
              <w:rPr>
                <w:rFonts w:ascii="Times New Roman" w:hAnsi="Times New Roman" w:eastAsia="宋体"/>
                <w:b/>
                <w:i w:val="0"/>
                <w:sz w:val="18"/>
              </w:rPr>
              <w:t>对应市场现象</w:t>
            </w:r>
          </w:p>
        </w:tc>
        <w:tc>
          <w:tcPr>
            <w:tcW w:type="dxa" w:w="1134"/>
          </w:tcPr>
          <w:p>
            <w:pPr>
              <w:spacing w:line="252" w:lineRule="auto" w:after="30" w:before="30"/>
              <w:jc w:val="center"/>
            </w:pPr>
            <w:r/>
            <w:r>
              <w:rPr>
                <w:rFonts w:ascii="Times New Roman" w:hAnsi="Times New Roman" w:eastAsia="宋体"/>
                <w:b/>
                <w:i w:val="0"/>
                <w:sz w:val="18"/>
              </w:rPr>
              <w:t>翻译难度</w:t>
            </w:r>
          </w:p>
        </w:tc>
      </w:tr>
      <w:tr>
        <w:tc>
          <w:tcPr>
            <w:tcW w:type="dxa" w:w="2041"/>
          </w:tcPr>
          <w:p>
            <w:pPr>
              <w:spacing w:line="252" w:lineRule="auto" w:after="30" w:before="30"/>
            </w:pPr>
            <w:r/>
            <w:r>
              <w:rPr>
                <w:rFonts w:ascii="Times New Roman" w:hAnsi="Times New Roman" w:eastAsia="宋体"/>
                <w:b w:val="0"/>
                <w:i w:val="0"/>
                <w:sz w:val="17"/>
              </w:rPr>
              <w:t>压抑 / 否认</w:t>
            </w:r>
          </w:p>
        </w:tc>
        <w:tc>
          <w:tcPr>
            <w:tcW w:type="dxa" w:w="1701"/>
          </w:tcPr>
          <w:p>
            <w:pPr>
              <w:spacing w:line="252" w:lineRule="auto" w:after="30" w:before="30"/>
            </w:pPr>
            <w:r/>
            <w:r>
              <w:rPr>
                <w:rFonts w:ascii="Times New Roman" w:hAnsi="Times New Roman" w:eastAsia="宋体"/>
                <w:b w:val="0"/>
                <w:i w:val="0"/>
                <w:sz w:val="17"/>
              </w:rPr>
              <w:t>弗洛伊德</w:t>
            </w:r>
          </w:p>
        </w:tc>
        <w:tc>
          <w:tcPr>
            <w:tcW w:type="dxa" w:w="4762"/>
          </w:tcPr>
          <w:p>
            <w:pPr>
              <w:spacing w:line="252" w:lineRule="auto" w:after="30" w:before="30"/>
            </w:pPr>
            <w:r/>
            <w:r>
              <w:rPr>
                <w:rFonts w:ascii="Times New Roman" w:hAnsi="Times New Roman" w:eastAsia="宋体"/>
                <w:b w:val="0"/>
                <w:i w:val="0"/>
                <w:sz w:val="17"/>
              </w:rPr>
              <w:t>浮亏不认亏，拒绝让认知改变决策[15]</w:t>
            </w:r>
          </w:p>
        </w:tc>
        <w:tc>
          <w:tcPr>
            <w:tcW w:type="dxa" w:w="1134"/>
          </w:tcPr>
          <w:p>
            <w:pPr>
              <w:spacing w:line="252" w:lineRule="auto" w:after="30" w:before="30"/>
            </w:pPr>
            <w:r/>
            <w:r>
              <w:rPr>
                <w:rFonts w:ascii="Times New Roman" w:hAnsi="Times New Roman" w:eastAsia="宋体"/>
                <w:b w:val="0"/>
                <w:i w:val="0"/>
                <w:sz w:val="17"/>
              </w:rPr>
              <w:t>低</w:t>
            </w:r>
          </w:p>
        </w:tc>
      </w:tr>
      <w:tr>
        <w:tc>
          <w:tcPr>
            <w:tcW w:type="dxa" w:w="2041"/>
          </w:tcPr>
          <w:p>
            <w:pPr>
              <w:spacing w:line="252" w:lineRule="auto" w:after="30" w:before="30"/>
            </w:pPr>
            <w:r/>
            <w:r>
              <w:rPr>
                <w:rFonts w:ascii="Times New Roman" w:hAnsi="Times New Roman" w:eastAsia="宋体"/>
                <w:b w:val="0"/>
                <w:i w:val="0"/>
                <w:sz w:val="17"/>
              </w:rPr>
              <w:t>重复强迫</w:t>
            </w:r>
          </w:p>
        </w:tc>
        <w:tc>
          <w:tcPr>
            <w:tcW w:type="dxa" w:w="1701"/>
          </w:tcPr>
          <w:p>
            <w:pPr>
              <w:spacing w:line="252" w:lineRule="auto" w:after="30" w:before="30"/>
            </w:pPr>
            <w:r/>
            <w:r>
              <w:rPr>
                <w:rFonts w:ascii="Times New Roman" w:hAnsi="Times New Roman" w:eastAsia="宋体"/>
                <w:b w:val="0"/>
                <w:i w:val="0"/>
                <w:sz w:val="17"/>
              </w:rPr>
              <w:t>弗洛伊德</w:t>
            </w:r>
          </w:p>
        </w:tc>
        <w:tc>
          <w:tcPr>
            <w:tcW w:type="dxa" w:w="4762"/>
          </w:tcPr>
          <w:p>
            <w:pPr>
              <w:spacing w:line="252" w:lineRule="auto" w:after="30" w:before="30"/>
            </w:pPr>
            <w:r/>
            <w:r>
              <w:rPr>
                <w:rFonts w:ascii="Times New Roman" w:hAnsi="Times New Roman" w:eastAsia="宋体"/>
                <w:b w:val="0"/>
                <w:i w:val="0"/>
                <w:sz w:val="17"/>
              </w:rPr>
              <w:t>反复回到同一亏损模式[2][24]</w:t>
            </w:r>
          </w:p>
        </w:tc>
        <w:tc>
          <w:tcPr>
            <w:tcW w:type="dxa" w:w="1134"/>
          </w:tcPr>
          <w:p>
            <w:pPr>
              <w:spacing w:line="252" w:lineRule="auto" w:after="30" w:before="30"/>
            </w:pPr>
            <w:r/>
            <w:r>
              <w:rPr>
                <w:rFonts w:ascii="Times New Roman" w:hAnsi="Times New Roman" w:eastAsia="宋体"/>
                <w:b w:val="0"/>
                <w:i w:val="0"/>
                <w:sz w:val="17"/>
              </w:rPr>
              <w:t>低</w:t>
            </w:r>
          </w:p>
        </w:tc>
      </w:tr>
      <w:tr>
        <w:tc>
          <w:tcPr>
            <w:tcW w:type="dxa" w:w="2041"/>
          </w:tcPr>
          <w:p>
            <w:pPr>
              <w:spacing w:line="252" w:lineRule="auto" w:after="30" w:before="30"/>
            </w:pPr>
            <w:r/>
            <w:r>
              <w:rPr>
                <w:rFonts w:ascii="Times New Roman" w:hAnsi="Times New Roman" w:eastAsia="宋体"/>
                <w:b w:val="0"/>
                <w:i w:val="0"/>
                <w:sz w:val="17"/>
              </w:rPr>
              <w:t>偏执-分裂位 / 抑郁位</w:t>
            </w:r>
          </w:p>
        </w:tc>
        <w:tc>
          <w:tcPr>
            <w:tcW w:type="dxa" w:w="1701"/>
          </w:tcPr>
          <w:p>
            <w:pPr>
              <w:spacing w:line="252" w:lineRule="auto" w:after="30" w:before="30"/>
            </w:pPr>
            <w:r/>
            <w:r>
              <w:rPr>
                <w:rFonts w:ascii="Times New Roman" w:hAnsi="Times New Roman" w:eastAsia="宋体"/>
                <w:b w:val="0"/>
                <w:i w:val="0"/>
                <w:sz w:val="17"/>
              </w:rPr>
              <w:t>克莱因</w:t>
            </w:r>
          </w:p>
        </w:tc>
        <w:tc>
          <w:tcPr>
            <w:tcW w:type="dxa" w:w="4762"/>
          </w:tcPr>
          <w:p>
            <w:pPr>
              <w:spacing w:line="252" w:lineRule="auto" w:after="30" w:before="30"/>
            </w:pPr>
            <w:r/>
            <w:r>
              <w:rPr>
                <w:rFonts w:ascii="Times New Roman" w:hAnsi="Times New Roman" w:eastAsia="宋体"/>
                <w:b w:val="0"/>
                <w:i w:val="0"/>
                <w:sz w:val="17"/>
              </w:rPr>
              <w:t>资产在“全好/全坏”间摆动；能否承受双面性[8][11]</w:t>
            </w:r>
          </w:p>
        </w:tc>
        <w:tc>
          <w:tcPr>
            <w:tcW w:type="dxa" w:w="1134"/>
          </w:tcPr>
          <w:p>
            <w:pPr>
              <w:spacing w:line="252" w:lineRule="auto" w:after="30" w:before="30"/>
            </w:pPr>
            <w:r/>
            <w:r>
              <w:rPr>
                <w:rFonts w:ascii="Times New Roman" w:hAnsi="Times New Roman" w:eastAsia="宋体"/>
                <w:b w:val="0"/>
                <w:i w:val="0"/>
                <w:sz w:val="17"/>
              </w:rPr>
              <w:t>低</w:t>
            </w:r>
          </w:p>
        </w:tc>
      </w:tr>
      <w:tr>
        <w:tc>
          <w:tcPr>
            <w:tcW w:type="dxa" w:w="2041"/>
          </w:tcPr>
          <w:p>
            <w:pPr>
              <w:spacing w:line="252" w:lineRule="auto" w:after="30" w:before="30"/>
            </w:pPr>
            <w:r/>
            <w:r>
              <w:rPr>
                <w:rFonts w:ascii="Times New Roman" w:hAnsi="Times New Roman" w:eastAsia="宋体"/>
                <w:b w:val="0"/>
                <w:i w:val="0"/>
                <w:sz w:val="17"/>
              </w:rPr>
              <w:t>基本假设（依赖/战斗-逃跑/配对）</w:t>
            </w:r>
          </w:p>
        </w:tc>
        <w:tc>
          <w:tcPr>
            <w:tcW w:type="dxa" w:w="1701"/>
          </w:tcPr>
          <w:p>
            <w:pPr>
              <w:spacing w:line="252" w:lineRule="auto" w:after="30" w:before="30"/>
            </w:pPr>
            <w:r/>
            <w:r>
              <w:rPr>
                <w:rFonts w:ascii="Times New Roman" w:hAnsi="Times New Roman" w:eastAsia="宋体"/>
                <w:b w:val="0"/>
                <w:i w:val="0"/>
                <w:sz w:val="17"/>
              </w:rPr>
              <w:t>比昂</w:t>
            </w:r>
          </w:p>
        </w:tc>
        <w:tc>
          <w:tcPr>
            <w:tcW w:type="dxa" w:w="4762"/>
          </w:tcPr>
          <w:p>
            <w:pPr>
              <w:spacing w:line="252" w:lineRule="auto" w:after="30" w:before="30"/>
            </w:pPr>
            <w:r/>
            <w:r>
              <w:rPr>
                <w:rFonts w:ascii="Times New Roman" w:hAnsi="Times New Roman" w:eastAsia="宋体"/>
                <w:b w:val="0"/>
                <w:i w:val="0"/>
                <w:sz w:val="17"/>
              </w:rPr>
              <w:t>依赖救市、踩踏、对“下一个叙事”的期待[7]</w:t>
            </w:r>
          </w:p>
        </w:tc>
        <w:tc>
          <w:tcPr>
            <w:tcW w:type="dxa" w:w="1134"/>
          </w:tcPr>
          <w:p>
            <w:pPr>
              <w:spacing w:line="252" w:lineRule="auto" w:after="30" w:before="30"/>
            </w:pPr>
            <w:r/>
            <w:r>
              <w:rPr>
                <w:rFonts w:ascii="Times New Roman" w:hAnsi="Times New Roman" w:eastAsia="宋体"/>
                <w:b w:val="0"/>
                <w:i w:val="0"/>
                <w:sz w:val="17"/>
              </w:rPr>
              <w:t>中</w:t>
            </w:r>
          </w:p>
        </w:tc>
      </w:tr>
      <w:tr>
        <w:tc>
          <w:tcPr>
            <w:tcW w:type="dxa" w:w="2041"/>
          </w:tcPr>
          <w:p>
            <w:pPr>
              <w:spacing w:line="252" w:lineRule="auto" w:after="30" w:before="30"/>
            </w:pPr>
            <w:r/>
            <w:r>
              <w:rPr>
                <w:rFonts w:ascii="Times New Roman" w:hAnsi="Times New Roman" w:eastAsia="宋体"/>
                <w:b w:val="0"/>
                <w:i w:val="0"/>
                <w:sz w:val="17"/>
              </w:rPr>
              <w:t>幻觉客体</w:t>
            </w:r>
          </w:p>
        </w:tc>
        <w:tc>
          <w:tcPr>
            <w:tcW w:type="dxa" w:w="1701"/>
          </w:tcPr>
          <w:p>
            <w:pPr>
              <w:spacing w:line="252" w:lineRule="auto" w:after="30" w:before="30"/>
            </w:pPr>
            <w:r/>
            <w:r>
              <w:rPr>
                <w:rFonts w:ascii="Times New Roman" w:hAnsi="Times New Roman" w:eastAsia="宋体"/>
                <w:b w:val="0"/>
                <w:i w:val="0"/>
                <w:sz w:val="17"/>
              </w:rPr>
              <w:t>Tuckett &amp; Taffler</w:t>
            </w:r>
          </w:p>
        </w:tc>
        <w:tc>
          <w:tcPr>
            <w:tcW w:type="dxa" w:w="4762"/>
          </w:tcPr>
          <w:p>
            <w:pPr>
              <w:spacing w:line="252" w:lineRule="auto" w:after="30" w:before="30"/>
            </w:pPr>
            <w:r/>
            <w:r>
              <w:rPr>
                <w:rFonts w:ascii="Times New Roman" w:hAnsi="Times New Roman" w:eastAsia="宋体"/>
                <w:b w:val="0"/>
                <w:i w:val="0"/>
                <w:sz w:val="17"/>
              </w:rPr>
              <w:t>互联网股、加密货币等被爱的对象[11][14]</w:t>
            </w:r>
          </w:p>
        </w:tc>
        <w:tc>
          <w:tcPr>
            <w:tcW w:type="dxa" w:w="1134"/>
          </w:tcPr>
          <w:p>
            <w:pPr>
              <w:spacing w:line="252" w:lineRule="auto" w:after="30" w:before="30"/>
            </w:pPr>
            <w:r/>
            <w:r>
              <w:rPr>
                <w:rFonts w:ascii="Times New Roman" w:hAnsi="Times New Roman" w:eastAsia="宋体"/>
                <w:b w:val="0"/>
                <w:i w:val="0"/>
                <w:sz w:val="17"/>
              </w:rPr>
              <w:t>中</w:t>
            </w:r>
          </w:p>
        </w:tc>
      </w:tr>
      <w:tr>
        <w:tc>
          <w:tcPr>
            <w:tcW w:type="dxa" w:w="2041"/>
          </w:tcPr>
          <w:p>
            <w:pPr>
              <w:spacing w:line="252" w:lineRule="auto" w:after="30" w:before="30"/>
            </w:pPr>
            <w:r/>
            <w:r>
              <w:rPr>
                <w:rFonts w:ascii="Times New Roman" w:hAnsi="Times New Roman" w:eastAsia="宋体"/>
                <w:b w:val="0"/>
                <w:i w:val="0"/>
                <w:sz w:val="17"/>
              </w:rPr>
              <w:t>分阶段 / 未分阶段投资</w:t>
            </w:r>
          </w:p>
        </w:tc>
        <w:tc>
          <w:tcPr>
            <w:tcW w:type="dxa" w:w="1701"/>
          </w:tcPr>
          <w:p>
            <w:pPr>
              <w:spacing w:line="252" w:lineRule="auto" w:after="30" w:before="30"/>
            </w:pPr>
            <w:r/>
            <w:r>
              <w:rPr>
                <w:rFonts w:ascii="Times New Roman" w:hAnsi="Times New Roman" w:eastAsia="宋体"/>
                <w:b w:val="0"/>
                <w:i w:val="0"/>
                <w:sz w:val="17"/>
              </w:rPr>
              <w:t>情绪金融</w:t>
            </w:r>
          </w:p>
        </w:tc>
        <w:tc>
          <w:tcPr>
            <w:tcW w:type="dxa" w:w="4762"/>
          </w:tcPr>
          <w:p>
            <w:pPr>
              <w:spacing w:line="252" w:lineRule="auto" w:after="30" w:before="30"/>
            </w:pPr>
            <w:r/>
            <w:r>
              <w:rPr>
                <w:rFonts w:ascii="Times New Roman" w:hAnsi="Times New Roman" w:eastAsia="宋体"/>
                <w:b w:val="0"/>
                <w:i w:val="0"/>
                <w:sz w:val="17"/>
              </w:rPr>
              <w:t>能容纳盈亏 vs. 分裂处理[11][13]</w:t>
            </w:r>
          </w:p>
        </w:tc>
        <w:tc>
          <w:tcPr>
            <w:tcW w:type="dxa" w:w="1134"/>
          </w:tcPr>
          <w:p>
            <w:pPr>
              <w:spacing w:line="252" w:lineRule="auto" w:after="30" w:before="30"/>
            </w:pPr>
            <w:r/>
            <w:r>
              <w:rPr>
                <w:rFonts w:ascii="Times New Roman" w:hAnsi="Times New Roman" w:eastAsia="宋体"/>
                <w:b w:val="0"/>
                <w:i w:val="0"/>
                <w:sz w:val="17"/>
              </w:rPr>
              <w:t>中</w:t>
            </w:r>
          </w:p>
        </w:tc>
      </w:tr>
      <w:tr>
        <w:tc>
          <w:tcPr>
            <w:tcW w:type="dxa" w:w="2041"/>
          </w:tcPr>
          <w:p>
            <w:pPr>
              <w:spacing w:line="252" w:lineRule="auto" w:after="30" w:before="30"/>
            </w:pPr>
            <w:r/>
            <w:r>
              <w:rPr>
                <w:rFonts w:ascii="Times New Roman" w:hAnsi="Times New Roman" w:eastAsia="宋体"/>
                <w:b w:val="0"/>
                <w:i w:val="0"/>
                <w:sz w:val="17"/>
              </w:rPr>
              <w:t>对象 a / 欲望转喻</w:t>
            </w:r>
          </w:p>
        </w:tc>
        <w:tc>
          <w:tcPr>
            <w:tcW w:type="dxa" w:w="1701"/>
          </w:tcPr>
          <w:p>
            <w:pPr>
              <w:spacing w:line="252" w:lineRule="auto" w:after="30" w:before="30"/>
            </w:pPr>
            <w:r/>
            <w:r>
              <w:rPr>
                <w:rFonts w:ascii="Times New Roman" w:hAnsi="Times New Roman" w:eastAsia="宋体"/>
                <w:b w:val="0"/>
                <w:i w:val="0"/>
                <w:sz w:val="17"/>
              </w:rPr>
              <w:t>拉康</w:t>
            </w:r>
          </w:p>
        </w:tc>
        <w:tc>
          <w:tcPr>
            <w:tcW w:type="dxa" w:w="4762"/>
          </w:tcPr>
          <w:p>
            <w:pPr>
              <w:spacing w:line="252" w:lineRule="auto" w:after="30" w:before="30"/>
            </w:pPr>
            <w:r/>
            <w:r>
              <w:rPr>
                <w:rFonts w:ascii="Times New Roman" w:hAnsi="Times New Roman" w:eastAsia="宋体"/>
                <w:b w:val="0"/>
                <w:i w:val="0"/>
                <w:sz w:val="17"/>
              </w:rPr>
              <w:t>永远差一点的下一个机会[44]</w:t>
            </w:r>
          </w:p>
        </w:tc>
        <w:tc>
          <w:tcPr>
            <w:tcW w:type="dxa" w:w="1134"/>
          </w:tcPr>
          <w:p>
            <w:pPr>
              <w:spacing w:line="252" w:lineRule="auto" w:after="30" w:before="30"/>
            </w:pPr>
            <w:r/>
            <w:r>
              <w:rPr>
                <w:rFonts w:ascii="Times New Roman" w:hAnsi="Times New Roman" w:eastAsia="宋体"/>
                <w:b w:val="0"/>
                <w:i w:val="0"/>
                <w:sz w:val="17"/>
              </w:rPr>
              <w:t>高</w:t>
            </w:r>
          </w:p>
        </w:tc>
      </w:tr>
      <w:tr>
        <w:tc>
          <w:tcPr>
            <w:tcW w:type="dxa" w:w="2041"/>
          </w:tcPr>
          <w:p>
            <w:pPr>
              <w:spacing w:line="252" w:lineRule="auto" w:after="30" w:before="30"/>
            </w:pPr>
            <w:r/>
            <w:r>
              <w:rPr>
                <w:rFonts w:ascii="Times New Roman" w:hAnsi="Times New Roman" w:eastAsia="宋体"/>
                <w:b w:val="0"/>
                <w:i w:val="0"/>
                <w:sz w:val="17"/>
              </w:rPr>
              <w:t>剩余享乐 / 自逾越享乐</w:t>
            </w:r>
          </w:p>
        </w:tc>
        <w:tc>
          <w:tcPr>
            <w:tcW w:type="dxa" w:w="1701"/>
          </w:tcPr>
          <w:p>
            <w:pPr>
              <w:spacing w:line="252" w:lineRule="auto" w:after="30" w:before="30"/>
            </w:pPr>
            <w:r/>
            <w:r>
              <w:rPr>
                <w:rFonts w:ascii="Times New Roman" w:hAnsi="Times New Roman" w:eastAsia="宋体"/>
                <w:b w:val="0"/>
                <w:i w:val="0"/>
                <w:sz w:val="17"/>
              </w:rPr>
              <w:t>拉康 / Žižek</w:t>
            </w:r>
          </w:p>
        </w:tc>
        <w:tc>
          <w:tcPr>
            <w:tcW w:type="dxa" w:w="4762"/>
          </w:tcPr>
          <w:p>
            <w:pPr>
              <w:spacing w:line="252" w:lineRule="auto" w:after="30" w:before="30"/>
            </w:pPr>
            <w:r/>
            <w:r>
              <w:rPr>
                <w:rFonts w:ascii="Times New Roman" w:hAnsi="Times New Roman" w:eastAsia="宋体"/>
                <w:b w:val="0"/>
                <w:i w:val="0"/>
                <w:sz w:val="17"/>
              </w:rPr>
              <w:t>腐败交易的快感与自我破坏[17][45]</w:t>
            </w:r>
          </w:p>
        </w:tc>
        <w:tc>
          <w:tcPr>
            <w:tcW w:type="dxa" w:w="1134"/>
          </w:tcPr>
          <w:p>
            <w:pPr>
              <w:spacing w:line="252" w:lineRule="auto" w:after="30" w:before="30"/>
            </w:pPr>
            <w:r/>
            <w:r>
              <w:rPr>
                <w:rFonts w:ascii="Times New Roman" w:hAnsi="Times New Roman" w:eastAsia="宋体"/>
                <w:b w:val="0"/>
                <w:i w:val="0"/>
                <w:sz w:val="17"/>
              </w:rPr>
              <w:t>高</w:t>
            </w:r>
          </w:p>
        </w:tc>
      </w:tr>
      <w:tr>
        <w:tc>
          <w:tcPr>
            <w:tcW w:type="dxa" w:w="2041"/>
          </w:tcPr>
          <w:p>
            <w:pPr>
              <w:spacing w:line="252" w:lineRule="auto" w:after="30" w:before="30"/>
            </w:pPr>
            <w:r/>
            <w:r>
              <w:rPr>
                <w:rFonts w:ascii="Times New Roman" w:hAnsi="Times New Roman" w:eastAsia="宋体"/>
                <w:b w:val="0"/>
                <w:i w:val="0"/>
                <w:sz w:val="17"/>
              </w:rPr>
              <w:t>意识形态幻想</w:t>
            </w:r>
          </w:p>
        </w:tc>
        <w:tc>
          <w:tcPr>
            <w:tcW w:type="dxa" w:w="1701"/>
          </w:tcPr>
          <w:p>
            <w:pPr>
              <w:spacing w:line="252" w:lineRule="auto" w:after="30" w:before="30"/>
            </w:pPr>
            <w:r/>
            <w:r>
              <w:rPr>
                <w:rFonts w:ascii="Times New Roman" w:hAnsi="Times New Roman" w:eastAsia="宋体"/>
                <w:b w:val="0"/>
                <w:i w:val="0"/>
                <w:sz w:val="17"/>
              </w:rPr>
              <w:t>Žižek</w:t>
            </w:r>
          </w:p>
        </w:tc>
        <w:tc>
          <w:tcPr>
            <w:tcW w:type="dxa" w:w="4762"/>
          </w:tcPr>
          <w:p>
            <w:pPr>
              <w:spacing w:line="252" w:lineRule="auto" w:after="30" w:before="30"/>
            </w:pPr>
            <w:r/>
            <w:r>
              <w:rPr>
                <w:rFonts w:ascii="Times New Roman" w:hAnsi="Times New Roman" w:eastAsia="宋体"/>
                <w:b w:val="0"/>
                <w:i w:val="0"/>
                <w:sz w:val="17"/>
              </w:rPr>
              <w:t>明知不实却仍照做的自动化[45]</w:t>
            </w:r>
          </w:p>
        </w:tc>
        <w:tc>
          <w:tcPr>
            <w:tcW w:type="dxa" w:w="1134"/>
          </w:tcPr>
          <w:p>
            <w:pPr>
              <w:spacing w:line="252" w:lineRule="auto" w:after="30" w:before="30"/>
            </w:pPr>
            <w:r/>
            <w:r>
              <w:rPr>
                <w:rFonts w:ascii="Times New Roman" w:hAnsi="Times New Roman" w:eastAsia="宋体"/>
                <w:b w:val="0"/>
                <w:i w:val="0"/>
                <w:sz w:val="17"/>
              </w:rPr>
              <w:t>高</w:t>
            </w:r>
          </w:p>
        </w:tc>
      </w:tr>
      <w:tr>
        <w:tc>
          <w:tcPr>
            <w:tcW w:type="dxa" w:w="2041"/>
          </w:tcPr>
          <w:p>
            <w:pPr>
              <w:spacing w:line="252" w:lineRule="auto" w:after="30" w:before="30"/>
            </w:pPr>
            <w:r/>
            <w:r>
              <w:rPr>
                <w:rFonts w:ascii="Times New Roman" w:hAnsi="Times New Roman" w:eastAsia="宋体"/>
                <w:b w:val="0"/>
                <w:i w:val="0"/>
                <w:sz w:val="17"/>
              </w:rPr>
              <w:t>资本主义话语</w:t>
            </w:r>
          </w:p>
        </w:tc>
        <w:tc>
          <w:tcPr>
            <w:tcW w:type="dxa" w:w="1701"/>
          </w:tcPr>
          <w:p>
            <w:pPr>
              <w:spacing w:line="252" w:lineRule="auto" w:after="30" w:before="30"/>
            </w:pPr>
            <w:r/>
            <w:r>
              <w:rPr>
                <w:rFonts w:ascii="Times New Roman" w:hAnsi="Times New Roman" w:eastAsia="宋体"/>
                <w:b w:val="0"/>
                <w:i w:val="0"/>
                <w:sz w:val="17"/>
              </w:rPr>
              <w:t>拉康 / Vanheule</w:t>
            </w:r>
          </w:p>
        </w:tc>
        <w:tc>
          <w:tcPr>
            <w:tcW w:type="dxa" w:w="4762"/>
          </w:tcPr>
          <w:p>
            <w:pPr>
              <w:spacing w:line="252" w:lineRule="auto" w:after="30" w:before="30"/>
            </w:pPr>
            <w:r/>
            <w:r>
              <w:rPr>
                <w:rFonts w:ascii="Times New Roman" w:hAnsi="Times New Roman" w:eastAsia="宋体"/>
                <w:b w:val="0"/>
                <w:i w:val="0"/>
                <w:sz w:val="17"/>
              </w:rPr>
              <w:t>主体被要求无限消费与享受[53]</w:t>
            </w:r>
          </w:p>
        </w:tc>
        <w:tc>
          <w:tcPr>
            <w:tcW w:type="dxa" w:w="1134"/>
          </w:tcPr>
          <w:p>
            <w:pPr>
              <w:spacing w:line="252" w:lineRule="auto" w:after="30" w:before="30"/>
            </w:pPr>
            <w:r/>
            <w:r>
              <w:rPr>
                <w:rFonts w:ascii="Times New Roman" w:hAnsi="Times New Roman" w:eastAsia="宋体"/>
                <w:b w:val="0"/>
                <w:i w:val="0"/>
                <w:sz w:val="17"/>
              </w:rPr>
              <w:t>高</w:t>
            </w:r>
          </w:p>
        </w:tc>
      </w:tr>
      <w:tr>
        <w:tc>
          <w:tcPr>
            <w:tcW w:type="dxa" w:w="2041"/>
          </w:tcPr>
          <w:p>
            <w:pPr>
              <w:spacing w:line="252" w:lineRule="auto" w:after="30" w:before="30"/>
            </w:pPr>
            <w:r/>
            <w:r>
              <w:rPr>
                <w:rFonts w:ascii="Times New Roman" w:hAnsi="Times New Roman" w:eastAsia="宋体"/>
                <w:b w:val="0"/>
                <w:i w:val="0"/>
                <w:sz w:val="17"/>
              </w:rPr>
              <w:t>金钱=粪便象征链</w:t>
            </w:r>
          </w:p>
        </w:tc>
        <w:tc>
          <w:tcPr>
            <w:tcW w:type="dxa" w:w="1701"/>
          </w:tcPr>
          <w:p>
            <w:pPr>
              <w:spacing w:line="252" w:lineRule="auto" w:after="30" w:before="30"/>
            </w:pPr>
            <w:r/>
            <w:r>
              <w:rPr>
                <w:rFonts w:ascii="Times New Roman" w:hAnsi="Times New Roman" w:eastAsia="宋体"/>
                <w:b w:val="0"/>
                <w:i w:val="0"/>
                <w:sz w:val="17"/>
              </w:rPr>
              <w:t>费伦齐</w:t>
            </w:r>
          </w:p>
        </w:tc>
        <w:tc>
          <w:tcPr>
            <w:tcW w:type="dxa" w:w="4762"/>
          </w:tcPr>
          <w:p>
            <w:pPr>
              <w:spacing w:line="252" w:lineRule="auto" w:after="30" w:before="30"/>
            </w:pPr>
            <w:r/>
            <w:r>
              <w:rPr>
                <w:rFonts w:ascii="Times New Roman" w:hAnsi="Times New Roman" w:eastAsia="宋体"/>
                <w:b w:val="0"/>
                <w:i w:val="0"/>
                <w:sz w:val="17"/>
              </w:rPr>
              <w:t>囤积、挥霍、吝啬的非经济解释[4]</w:t>
            </w:r>
          </w:p>
        </w:tc>
        <w:tc>
          <w:tcPr>
            <w:tcW w:type="dxa" w:w="1134"/>
          </w:tcPr>
          <w:p>
            <w:pPr>
              <w:spacing w:line="252" w:lineRule="auto" w:after="30" w:before="30"/>
            </w:pPr>
            <w:r/>
            <w:r>
              <w:rPr>
                <w:rFonts w:ascii="Times New Roman" w:hAnsi="Times New Roman" w:eastAsia="宋体"/>
                <w:b w:val="0"/>
                <w:i w:val="0"/>
                <w:sz w:val="17"/>
              </w:rPr>
              <w:t>高</w:t>
            </w:r>
          </w:p>
        </w:tc>
      </w:tr>
      <w:tr>
        <w:tc>
          <w:tcPr>
            <w:tcW w:type="dxa" w:w="2041"/>
          </w:tcPr>
          <w:p>
            <w:pPr>
              <w:spacing w:line="252" w:lineRule="auto" w:after="30" w:before="30"/>
            </w:pPr>
            <w:r/>
            <w:r>
              <w:rPr>
                <w:rFonts w:ascii="Times New Roman" w:hAnsi="Times New Roman" w:eastAsia="宋体"/>
                <w:b w:val="0"/>
                <w:i w:val="0"/>
                <w:sz w:val="17"/>
              </w:rPr>
              <w:t>M—C—M′ 作为驱动</w:t>
            </w:r>
          </w:p>
        </w:tc>
        <w:tc>
          <w:tcPr>
            <w:tcW w:type="dxa" w:w="1701"/>
          </w:tcPr>
          <w:p>
            <w:pPr>
              <w:spacing w:line="252" w:lineRule="auto" w:after="30" w:before="30"/>
            </w:pPr>
            <w:r/>
            <w:r>
              <w:rPr>
                <w:rFonts w:ascii="Times New Roman" w:hAnsi="Times New Roman" w:eastAsia="宋体"/>
                <w:b w:val="0"/>
                <w:i w:val="0"/>
                <w:sz w:val="17"/>
              </w:rPr>
              <w:t>Johnston</w:t>
            </w:r>
          </w:p>
        </w:tc>
        <w:tc>
          <w:tcPr>
            <w:tcW w:type="dxa" w:w="4762"/>
          </w:tcPr>
          <w:p>
            <w:pPr>
              <w:spacing w:line="252" w:lineRule="auto" w:after="30" w:before="30"/>
            </w:pPr>
            <w:r/>
            <w:r>
              <w:rPr>
                <w:rFonts w:ascii="Times New Roman" w:hAnsi="Times New Roman" w:eastAsia="宋体"/>
                <w:b w:val="0"/>
                <w:i w:val="0"/>
                <w:sz w:val="17"/>
              </w:rPr>
              <w:t>资本要求无限增长、无法停止[20]</w:t>
            </w:r>
          </w:p>
        </w:tc>
        <w:tc>
          <w:tcPr>
            <w:tcW w:type="dxa" w:w="1134"/>
          </w:tcPr>
          <w:p>
            <w:pPr>
              <w:spacing w:line="252" w:lineRule="auto" w:after="30" w:before="30"/>
            </w:pPr>
            <w:r/>
            <w:r>
              <w:rPr>
                <w:rFonts w:ascii="Times New Roman" w:hAnsi="Times New Roman" w:eastAsia="宋体"/>
                <w:b w:val="0"/>
                <w:i w:val="0"/>
                <w:sz w:val="17"/>
              </w:rPr>
              <w:t>中</w:t>
            </w:r>
          </w:p>
        </w:tc>
      </w:tr>
    </w:tbl>
    <w:p>
      <w:pPr>
        <w:spacing w:line="336" w:lineRule="auto" w:before="0" w:after="40"/>
        <w:jc w:val="both"/>
      </w:pPr>
    </w:p>
    <w:p>
      <w:pPr>
        <w:keepNext/>
        <w:spacing w:before="400" w:after="140" w:line="300" w:lineRule="auto"/>
      </w:pPr>
      <w:r>
        <w:rPr>
          <w:rFonts w:ascii="Arial" w:hAnsi="Arial" w:eastAsia="黑体"/>
          <w:b/>
          <w:i w:val="0"/>
          <w:sz w:val="32"/>
        </w:rPr>
        <w:t>附录 E　参考文献</w:t>
      </w:r>
    </w:p>
    <w:p>
      <w:pPr>
        <w:spacing w:line="324" w:lineRule="auto" w:after="60"/>
        <w:ind w:left="480" w:hanging="480"/>
      </w:pPr>
      <w:r>
        <w:rPr>
          <w:rFonts w:ascii="Times New Roman" w:hAnsi="Times New Roman" w:eastAsia="宋体"/>
          <w:b w:val="0"/>
          <w:i w:val="0"/>
          <w:sz w:val="19"/>
        </w:rPr>
        <w:t>[1] 弗洛伊德. 群体心理学与自我的分析[M]. 1921.</w:t>
      </w:r>
    </w:p>
    <w:p>
      <w:pPr>
        <w:spacing w:line="324" w:lineRule="auto" w:after="60"/>
        <w:ind w:left="480" w:hanging="480"/>
      </w:pPr>
      <w:r>
        <w:rPr>
          <w:rFonts w:ascii="Times New Roman" w:hAnsi="Times New Roman" w:eastAsia="宋体"/>
          <w:b w:val="0"/>
          <w:i w:val="0"/>
          <w:sz w:val="19"/>
        </w:rPr>
        <w:t>[2] 弗洛伊德. 陀思妥耶夫斯基与弑父[M]. 1928.</w:t>
      </w:r>
    </w:p>
    <w:p>
      <w:pPr>
        <w:spacing w:line="324" w:lineRule="auto" w:after="60"/>
        <w:ind w:left="480" w:hanging="480"/>
      </w:pPr>
      <w:r>
        <w:rPr>
          <w:rFonts w:ascii="Times New Roman" w:hAnsi="Times New Roman" w:eastAsia="宋体"/>
          <w:b w:val="0"/>
          <w:i w:val="0"/>
          <w:sz w:val="19"/>
        </w:rPr>
        <w:t>[3] 弗洛伊德. 性格与肛门性欲[M]. 1908.</w:t>
      </w:r>
    </w:p>
    <w:p>
      <w:pPr>
        <w:spacing w:line="324" w:lineRule="auto" w:after="60"/>
        <w:ind w:left="480" w:hanging="480"/>
      </w:pPr>
      <w:r>
        <w:rPr>
          <w:rFonts w:ascii="Times New Roman" w:hAnsi="Times New Roman" w:eastAsia="宋体"/>
          <w:b w:val="0"/>
          <w:i w:val="0"/>
          <w:sz w:val="19"/>
        </w:rPr>
        <w:t>[4] 费伦齐. 金钱兴趣的本体发生[M]. 1914.</w:t>
      </w:r>
    </w:p>
    <w:p>
      <w:pPr>
        <w:spacing w:line="324" w:lineRule="auto" w:after="60"/>
        <w:ind w:left="480" w:hanging="480"/>
      </w:pPr>
      <w:r>
        <w:rPr>
          <w:rFonts w:ascii="Times New Roman" w:hAnsi="Times New Roman" w:eastAsia="宋体"/>
          <w:b w:val="0"/>
          <w:i w:val="0"/>
          <w:sz w:val="19"/>
        </w:rPr>
        <w:t>[5] 亚伯拉罕. 对肛门性格理论的贡献[M]. 1921.</w:t>
      </w:r>
    </w:p>
    <w:p>
      <w:pPr>
        <w:spacing w:line="324" w:lineRule="auto" w:after="60"/>
        <w:ind w:left="480" w:hanging="480"/>
      </w:pPr>
      <w:r>
        <w:rPr>
          <w:rFonts w:ascii="Times New Roman" w:hAnsi="Times New Roman" w:eastAsia="宋体"/>
          <w:b w:val="0"/>
          <w:i w:val="0"/>
          <w:sz w:val="19"/>
        </w:rPr>
        <w:t>[6] 勒庞. 乌合之众：大众心理研究[M]. 1895.</w:t>
      </w:r>
    </w:p>
    <w:p>
      <w:pPr>
        <w:spacing w:line="324" w:lineRule="auto" w:after="60"/>
        <w:ind w:left="480" w:hanging="480"/>
      </w:pPr>
      <w:r>
        <w:rPr>
          <w:rFonts w:ascii="Times New Roman" w:hAnsi="Times New Roman" w:eastAsia="宋体"/>
          <w:b w:val="0"/>
          <w:i w:val="0"/>
          <w:sz w:val="19"/>
        </w:rPr>
        <w:t>[7] BION W R. Group dynamics: a re-view[J]. International Journal of Psycho-Analysis, 1952, 33: 235-247.</w:t>
      </w:r>
    </w:p>
    <w:p>
      <w:pPr>
        <w:spacing w:line="324" w:lineRule="auto" w:after="60"/>
        <w:ind w:left="480" w:hanging="480"/>
      </w:pPr>
      <w:r>
        <w:rPr>
          <w:rFonts w:ascii="Times New Roman" w:hAnsi="Times New Roman" w:eastAsia="宋体"/>
          <w:b w:val="0"/>
          <w:i w:val="0"/>
          <w:sz w:val="19"/>
        </w:rPr>
        <w:t>[8] KLEIN M. Notes on some schizoid mechanisms[J]. International Journal of Psycho-Analysis, 1946, 27: 99-110.</w:t>
      </w:r>
    </w:p>
    <w:p>
      <w:pPr>
        <w:spacing w:line="324" w:lineRule="auto" w:after="60"/>
        <w:ind w:left="480" w:hanging="480"/>
      </w:pPr>
      <w:r>
        <w:rPr>
          <w:rFonts w:ascii="Times New Roman" w:hAnsi="Times New Roman" w:eastAsia="宋体"/>
          <w:b w:val="0"/>
          <w:i w:val="0"/>
          <w:sz w:val="19"/>
        </w:rPr>
        <w:t>[9] 拉康. 精神分析的四基本概念[M]. 1973/1978.</w:t>
      </w:r>
    </w:p>
    <w:p>
      <w:pPr>
        <w:spacing w:line="324" w:lineRule="auto" w:after="60"/>
        <w:ind w:left="480" w:hanging="480"/>
      </w:pPr>
      <w:r>
        <w:rPr>
          <w:rFonts w:ascii="Times New Roman" w:hAnsi="Times New Roman" w:eastAsia="宋体"/>
          <w:b w:val="0"/>
          <w:i w:val="0"/>
          <w:sz w:val="19"/>
        </w:rPr>
        <w:t>[10] 齐泽克. 意识形态的崇高客体[M]. 1989.</w:t>
      </w:r>
    </w:p>
    <w:p>
      <w:pPr>
        <w:spacing w:line="324" w:lineRule="auto" w:after="60"/>
        <w:ind w:left="480" w:hanging="480"/>
      </w:pPr>
      <w:r>
        <w:rPr>
          <w:rFonts w:ascii="Times New Roman" w:hAnsi="Times New Roman" w:eastAsia="宋体"/>
          <w:b w:val="0"/>
          <w:i w:val="0"/>
          <w:sz w:val="19"/>
        </w:rPr>
        <w:t>[11] TUCKETT D, TAFFLER R J. Phantastic objects and the financial market's sense of reality: a psychoanalytic contribution to the understanding of stock market instability[J]. The International Journal of Psychoanalysis, 2008, 89(2): 389-412. DOI:10.1111/j.1745-8315.2008.00040.x.</w:t>
      </w:r>
    </w:p>
    <w:p>
      <w:pPr>
        <w:spacing w:line="324" w:lineRule="auto" w:after="60"/>
        <w:ind w:left="480" w:hanging="480"/>
      </w:pPr>
      <w:r>
        <w:rPr>
          <w:rFonts w:ascii="Times New Roman" w:hAnsi="Times New Roman" w:eastAsia="宋体"/>
          <w:b w:val="0"/>
          <w:i w:val="0"/>
          <w:sz w:val="19"/>
        </w:rPr>
        <w:t>[12] TAFFLER R J. Emotional finance: investment and the unconscious[J]. The European Journal of Finance, 2018, 24(7-8): 630-649. DOI:10.1080/1351847X.2017.1369445.</w:t>
      </w:r>
    </w:p>
    <w:p>
      <w:pPr>
        <w:spacing w:line="324" w:lineRule="auto" w:after="60"/>
        <w:ind w:left="480" w:hanging="480"/>
      </w:pPr>
      <w:r>
        <w:rPr>
          <w:rFonts w:ascii="Times New Roman" w:hAnsi="Times New Roman" w:eastAsia="宋体"/>
          <w:b w:val="0"/>
          <w:i w:val="0"/>
          <w:sz w:val="19"/>
        </w:rPr>
        <w:t>[13] TUCKETT D. Minding the Markets: An Emotional Finance View of Financial Instability[M]. London: Palgrave Macmillan, 2011.</w:t>
      </w:r>
    </w:p>
    <w:p>
      <w:pPr>
        <w:spacing w:line="324" w:lineRule="auto" w:after="60"/>
        <w:ind w:left="480" w:hanging="480"/>
      </w:pPr>
      <w:r>
        <w:rPr>
          <w:rFonts w:ascii="Times New Roman" w:hAnsi="Times New Roman" w:eastAsia="宋体"/>
          <w:b w:val="0"/>
          <w:i w:val="0"/>
          <w:sz w:val="19"/>
        </w:rPr>
        <w:t>[14] TAFFLER R J, TUCKETT D. A psychoanalytical interpretation of dot.com stock valuations[R]. SSRN Working Paper 676635, 2003.</w:t>
      </w:r>
    </w:p>
    <w:p>
      <w:pPr>
        <w:spacing w:line="324" w:lineRule="auto" w:after="60"/>
        <w:ind w:left="480" w:hanging="480"/>
      </w:pPr>
      <w:r>
        <w:rPr>
          <w:rFonts w:ascii="Times New Roman" w:hAnsi="Times New Roman" w:eastAsia="宋体"/>
          <w:b w:val="0"/>
          <w:i w:val="0"/>
          <w:sz w:val="19"/>
        </w:rPr>
        <w:t>[15] TAFFLER R J. Emotional finance: theory and application[R]. EFMA Annual Meeting Paper, 2014. 及 Warwick Social Sciences Policy Briefing 2/2018.</w:t>
      </w:r>
    </w:p>
    <w:p>
      <w:pPr>
        <w:spacing w:line="324" w:lineRule="auto" w:after="60"/>
        <w:ind w:left="480" w:hanging="480"/>
      </w:pPr>
      <w:r>
        <w:rPr>
          <w:rFonts w:ascii="Times New Roman" w:hAnsi="Times New Roman" w:eastAsia="宋体"/>
          <w:b w:val="0"/>
          <w:i w:val="0"/>
          <w:sz w:val="19"/>
        </w:rPr>
        <w:t>[16] RYAN P, TAFFLER R J, BRANIGAN C. Some psychoanalytic reflections on the Irish real estate bubble[J]. International Journal of Applied Psychoanalytic Studies, 2023, 20(4): 666-681. DOI:10.1002/aps.1804.</w:t>
      </w:r>
    </w:p>
    <w:p>
      <w:pPr>
        <w:spacing w:line="324" w:lineRule="auto" w:after="60"/>
        <w:ind w:left="480" w:hanging="480"/>
      </w:pPr>
      <w:r>
        <w:rPr>
          <w:rFonts w:ascii="Times New Roman" w:hAnsi="Times New Roman" w:eastAsia="宋体"/>
          <w:b w:val="0"/>
          <w:i w:val="0"/>
          <w:sz w:val="19"/>
        </w:rPr>
        <w:t>[17] PIGNOT E. Bringing down the house (of Goldman Sachs): analyzing corrupt forms of trading with Lacan[J]. Ephemera: Theory &amp; Politics in Organization, 2015, 15(2).</w:t>
      </w:r>
    </w:p>
    <w:p>
      <w:pPr>
        <w:spacing w:line="324" w:lineRule="auto" w:after="60"/>
        <w:ind w:left="480" w:hanging="480"/>
      </w:pPr>
      <w:r>
        <w:rPr>
          <w:rFonts w:ascii="Times New Roman" w:hAnsi="Times New Roman" w:eastAsia="宋体"/>
          <w:b w:val="0"/>
          <w:i w:val="0"/>
          <w:sz w:val="19"/>
        </w:rPr>
        <w:t>[18] KETS DE VRIES M F R. The greed syndrome[R]. INSEAD Working Paper 2016/26/EFE, 2016. SSRN:2766233.</w:t>
      </w:r>
    </w:p>
    <w:p>
      <w:pPr>
        <w:spacing w:line="324" w:lineRule="auto" w:after="60"/>
        <w:ind w:left="480" w:hanging="480"/>
      </w:pPr>
      <w:r>
        <w:rPr>
          <w:rFonts w:ascii="Times New Roman" w:hAnsi="Times New Roman" w:eastAsia="宋体"/>
          <w:b w:val="0"/>
          <w:i w:val="0"/>
          <w:sz w:val="19"/>
        </w:rPr>
        <w:t>[19] DIMEN M. Money, love and hate: contradiction and paradox in psychoanalysis[J]. Psychoanalytic Dialogues, 1994, 4(1): 69-100.</w:t>
      </w:r>
    </w:p>
    <w:p>
      <w:pPr>
        <w:spacing w:line="324" w:lineRule="auto" w:after="60"/>
        <w:ind w:left="480" w:hanging="480"/>
      </w:pPr>
      <w:r>
        <w:rPr>
          <w:rFonts w:ascii="Times New Roman" w:hAnsi="Times New Roman" w:eastAsia="宋体"/>
          <w:b w:val="0"/>
          <w:i w:val="0"/>
          <w:sz w:val="19"/>
        </w:rPr>
        <w:t>[20] JOHNSTON A. Infinite Greed: The Inhuman Selfishness of Capital[M]. New York: Columbia University Press, 2024.</w:t>
      </w:r>
    </w:p>
    <w:p>
      <w:pPr>
        <w:spacing w:line="324" w:lineRule="auto" w:after="60"/>
        <w:ind w:left="480" w:hanging="480"/>
      </w:pPr>
      <w:r>
        <w:rPr>
          <w:rFonts w:ascii="Times New Roman" w:hAnsi="Times New Roman" w:eastAsia="宋体"/>
          <w:b w:val="0"/>
          <w:i w:val="0"/>
          <w:sz w:val="19"/>
        </w:rPr>
        <w:t>[21] BJERG O. How is Bitcoin money?[J]. Theory, Culture &amp; Society, 2016, 33(1): 53-72. DOI:10.1177/0263276415619015.</w:t>
      </w:r>
    </w:p>
    <w:p>
      <w:pPr>
        <w:spacing w:line="324" w:lineRule="auto" w:after="60"/>
        <w:ind w:left="480" w:hanging="480"/>
      </w:pPr>
      <w:r>
        <w:rPr>
          <w:rFonts w:ascii="Times New Roman" w:hAnsi="Times New Roman" w:eastAsia="宋体"/>
          <w:b w:val="0"/>
          <w:i w:val="0"/>
          <w:sz w:val="19"/>
        </w:rPr>
        <w:t>[22] CHICCHI F. Phantasmagoria of the Thing: aporias of the new capitalist discourse[J]. Postmodern Culture, 2016, 9(3). DOI:10.3998/pc.12322227.0009.003.</w:t>
      </w:r>
    </w:p>
    <w:p>
      <w:pPr>
        <w:spacing w:line="324" w:lineRule="auto" w:after="60"/>
        <w:ind w:left="480" w:hanging="480"/>
      </w:pPr>
      <w:r>
        <w:rPr>
          <w:rFonts w:ascii="Times New Roman" w:hAnsi="Times New Roman" w:eastAsia="宋体"/>
          <w:b w:val="0"/>
          <w:i w:val="0"/>
          <w:sz w:val="19"/>
        </w:rPr>
        <w:t>[23] MCDONNELL C. Psychodynamic drivers of prospect theory amongst individual investors trading securities in financial markets[D]. INSEAD Executive Masters in Change Thesis, 2021.</w:t>
      </w:r>
    </w:p>
    <w:p>
      <w:pPr>
        <w:spacing w:line="324" w:lineRule="auto" w:after="60"/>
        <w:ind w:left="480" w:hanging="480"/>
      </w:pPr>
      <w:r>
        <w:rPr>
          <w:rFonts w:ascii="Times New Roman" w:hAnsi="Times New Roman" w:eastAsia="宋体"/>
          <w:b w:val="0"/>
          <w:i w:val="0"/>
          <w:sz w:val="19"/>
        </w:rPr>
        <w:t>[24] KINGMA S F. Dostoevsky and Freud: autonomy and addiction in gambling[J]. Journal of Historical Sociology, 2017, 30(4): 891-917. DOI:10.1111/johs.12086.</w:t>
      </w:r>
    </w:p>
    <w:p>
      <w:pPr>
        <w:spacing w:line="324" w:lineRule="auto" w:after="60"/>
        <w:ind w:left="480" w:hanging="480"/>
      </w:pPr>
      <w:r>
        <w:rPr>
          <w:rFonts w:ascii="Times New Roman" w:hAnsi="Times New Roman" w:eastAsia="宋体"/>
          <w:b w:val="0"/>
          <w:i w:val="0"/>
          <w:sz w:val="19"/>
        </w:rPr>
        <w:t>[25] DIAS F M V, CANO-PRAIS H A, KEHDY S, et al. Um jogador patológico por Dostoiévski[J]. Revista de Psiquiatria do Rio Grande do Sul, 2008, 30(3): 236-240.</w:t>
      </w:r>
    </w:p>
    <w:p>
      <w:pPr>
        <w:spacing w:line="324" w:lineRule="auto" w:after="60"/>
        <w:ind w:left="480" w:hanging="480"/>
      </w:pPr>
      <w:r>
        <w:rPr>
          <w:rFonts w:ascii="Times New Roman" w:hAnsi="Times New Roman" w:eastAsia="宋体"/>
          <w:b w:val="0"/>
          <w:i w:val="0"/>
          <w:sz w:val="19"/>
        </w:rPr>
        <w:t>[26] BARRAUD C. Financial markets as a Le Bonian crowd during boom-and-bust episodes: a complementary theoretical framework in behavioural finance[R]. arXiv:2510.23175, 2025.</w:t>
      </w:r>
    </w:p>
    <w:p>
      <w:pPr>
        <w:spacing w:line="324" w:lineRule="auto" w:after="60"/>
        <w:ind w:left="480" w:hanging="480"/>
      </w:pPr>
      <w:r>
        <w:rPr>
          <w:rFonts w:ascii="Times New Roman" w:hAnsi="Times New Roman" w:eastAsia="宋体"/>
          <w:b w:val="0"/>
          <w:i w:val="0"/>
          <w:sz w:val="19"/>
        </w:rPr>
        <w:t>[27] KAHNEMAN D, TVERSKY A. Prospect theory: an analysis of decision under risk[J]. Econometrica, 1979, 47(2): 263-291.</w:t>
      </w:r>
    </w:p>
    <w:p>
      <w:pPr>
        <w:spacing w:line="324" w:lineRule="auto" w:after="60"/>
        <w:ind w:left="480" w:hanging="480"/>
      </w:pPr>
      <w:r>
        <w:rPr>
          <w:rFonts w:ascii="Times New Roman" w:hAnsi="Times New Roman" w:eastAsia="宋体"/>
          <w:b w:val="0"/>
          <w:i w:val="0"/>
          <w:sz w:val="19"/>
        </w:rPr>
        <w:t>[28] SHILLER R J. Narrative Economics: How Stories Go Viral and Drive Major Economic Events[M]. Princeton: Princeton University Press, 2019.</w:t>
      </w:r>
    </w:p>
    <w:p>
      <w:pPr>
        <w:spacing w:line="324" w:lineRule="auto" w:after="60"/>
        <w:ind w:left="480" w:hanging="480"/>
      </w:pPr>
      <w:r>
        <w:rPr>
          <w:rFonts w:ascii="Times New Roman" w:hAnsi="Times New Roman" w:eastAsia="宋体"/>
          <w:b w:val="0"/>
          <w:i w:val="0"/>
          <w:sz w:val="19"/>
        </w:rPr>
        <w:t>[29] SHILLER R J. Irrational Exuberance[M]. Princeton: Princeton University Press, 2000.</w:t>
      </w:r>
    </w:p>
    <w:p>
      <w:pPr>
        <w:spacing w:line="324" w:lineRule="auto" w:after="60"/>
        <w:ind w:left="480" w:hanging="480"/>
      </w:pPr>
      <w:r>
        <w:rPr>
          <w:rFonts w:ascii="Times New Roman" w:hAnsi="Times New Roman" w:eastAsia="宋体"/>
          <w:b w:val="0"/>
          <w:i w:val="0"/>
          <w:sz w:val="19"/>
        </w:rPr>
        <w:t>[30] KEYNES J M. The General Theory of Employment, Interest and Money[M]. London: Macmillan, 1936.</w:t>
      </w:r>
    </w:p>
    <w:p>
      <w:pPr>
        <w:spacing w:line="324" w:lineRule="auto" w:after="60"/>
        <w:ind w:left="480" w:hanging="480"/>
      </w:pPr>
      <w:r>
        <w:rPr>
          <w:rFonts w:ascii="Times New Roman" w:hAnsi="Times New Roman" w:eastAsia="宋体"/>
          <w:b w:val="0"/>
          <w:i w:val="0"/>
          <w:sz w:val="19"/>
        </w:rPr>
        <w:t>[31] FAMA E F. Efficient capital markets: a review of theory and empirical work[J]. Journal of Finance, 1970, 25(2): 383-417.</w:t>
      </w:r>
    </w:p>
    <w:p>
      <w:pPr>
        <w:spacing w:line="324" w:lineRule="auto" w:after="60"/>
        <w:ind w:left="480" w:hanging="480"/>
      </w:pPr>
      <w:r>
        <w:rPr>
          <w:rFonts w:ascii="Times New Roman" w:hAnsi="Times New Roman" w:eastAsia="宋体"/>
          <w:b w:val="0"/>
          <w:i w:val="0"/>
          <w:sz w:val="19"/>
        </w:rPr>
        <w:t>[32] LO A W. Adaptive Markets: Financial Evolution at the Speed of Thought[M]. Princeton: Princeton University Press, 2017.</w:t>
      </w:r>
    </w:p>
    <w:p>
      <w:pPr>
        <w:spacing w:line="324" w:lineRule="auto" w:after="60"/>
        <w:ind w:left="480" w:hanging="480"/>
      </w:pPr>
      <w:r>
        <w:rPr>
          <w:rFonts w:ascii="Times New Roman" w:hAnsi="Times New Roman" w:eastAsia="宋体"/>
          <w:b w:val="0"/>
          <w:i w:val="0"/>
          <w:sz w:val="19"/>
        </w:rPr>
        <w:t>[33] DAMASIO A R. Descartes' Error: Emotion, Reason, and the Human Brain[M]. New York: Putnam, 1994.</w:t>
      </w:r>
    </w:p>
    <w:p>
      <w:pPr>
        <w:spacing w:line="324" w:lineRule="auto" w:after="60"/>
        <w:ind w:left="480" w:hanging="480"/>
      </w:pPr>
      <w:r>
        <w:rPr>
          <w:rFonts w:ascii="Times New Roman" w:hAnsi="Times New Roman" w:eastAsia="宋体"/>
          <w:b w:val="0"/>
          <w:i w:val="0"/>
          <w:sz w:val="19"/>
        </w:rPr>
        <w:t>[34] DUNN B D, DALGLEISH T, LAWRENCE A D. The somatic marker hypothesis: a critical evaluation[J]. Neuroscience &amp; Biobehavioral Reviews, 2006, 30(2): 239-271.</w:t>
      </w:r>
    </w:p>
    <w:p>
      <w:pPr>
        <w:spacing w:line="324" w:lineRule="auto" w:after="60"/>
        <w:ind w:left="480" w:hanging="480"/>
      </w:pPr>
      <w:r>
        <w:rPr>
          <w:rFonts w:ascii="Times New Roman" w:hAnsi="Times New Roman" w:eastAsia="宋体"/>
          <w:b w:val="0"/>
          <w:i w:val="0"/>
          <w:sz w:val="19"/>
        </w:rPr>
        <w:t>[35] HINVEST N S, ALSHARMAN M, ROELL M, et al. Do emotions benefit investment decisions? Anticipatory emotion and investment decisions in non-professional investors[J]. Frontiers in Psychology, 2021, 12: 705476. DOI:10.3389/fpsyg.2021.705476.</w:t>
      </w:r>
    </w:p>
    <w:p>
      <w:pPr>
        <w:spacing w:line="324" w:lineRule="auto" w:after="60"/>
        <w:ind w:left="480" w:hanging="480"/>
      </w:pPr>
      <w:r>
        <w:rPr>
          <w:rFonts w:ascii="Times New Roman" w:hAnsi="Times New Roman" w:eastAsia="宋体"/>
          <w:b w:val="0"/>
          <w:i w:val="0"/>
          <w:sz w:val="19"/>
        </w:rPr>
        <w:t>[36] ROZA T H, TAVARES H, KESSLER F H P, et al. Problematic trading: gambling-like behavior in day trading and cryptocurrency investing[J]. Trends in Psychiatry and Psychotherapy, 2024, 46: e20230623. DOI:10.47626/2237-6089-2023-0623.</w:t>
      </w:r>
    </w:p>
    <w:p>
      <w:pPr>
        <w:spacing w:line="324" w:lineRule="auto" w:after="60"/>
        <w:ind w:left="480" w:hanging="480"/>
      </w:pPr>
      <w:r>
        <w:rPr>
          <w:rFonts w:ascii="Times New Roman" w:hAnsi="Times New Roman" w:eastAsia="宋体"/>
          <w:b w:val="0"/>
          <w:i w:val="0"/>
          <w:sz w:val="19"/>
        </w:rPr>
        <w:t>[37] LEONG WEI LYN N, YEO H Y, STARTUP C C, et al. Stock and cryptocurrency trading and problem gambling behavior during early phases of the COVID-19 pandemic: a narrative literature review[J]. Frontiers in Psychology, 2025, 16: 1585094. DOI:10.3389/fpsyg.2025.1585094.</w:t>
      </w:r>
    </w:p>
    <w:p>
      <w:pPr>
        <w:spacing w:line="324" w:lineRule="auto" w:after="60"/>
        <w:ind w:left="480" w:hanging="480"/>
      </w:pPr>
      <w:r>
        <w:rPr>
          <w:rFonts w:ascii="Times New Roman" w:hAnsi="Times New Roman" w:eastAsia="宋体"/>
          <w:b w:val="0"/>
          <w:i w:val="0"/>
          <w:sz w:val="19"/>
        </w:rPr>
        <w:t>[38] SHEN J, WANG Y, GAO W. The variability of emotions: behavioral risk or mispricing[R]. EFMA Annual Meeting Paper, 2023.</w:t>
      </w:r>
    </w:p>
    <w:p>
      <w:pPr>
        <w:spacing w:line="324" w:lineRule="auto" w:after="60"/>
        <w:ind w:left="480" w:hanging="480"/>
      </w:pPr>
      <w:r>
        <w:rPr>
          <w:rFonts w:ascii="Times New Roman" w:hAnsi="Times New Roman" w:eastAsia="宋体"/>
          <w:b w:val="0"/>
          <w:i w:val="0"/>
          <w:sz w:val="19"/>
        </w:rPr>
        <w:t>[39] LI C, TAN S R, HO N, et al. Behavioral heterogeneity and financial crisis: the role of sentiment[J]. Physica A: Statistical Mechanics and its Applications, 2022, 603: 127767. DOI:10.1016/j.physa.2022.127767.</w:t>
      </w:r>
    </w:p>
    <w:p>
      <w:pPr>
        <w:spacing w:line="324" w:lineRule="auto" w:after="60"/>
        <w:ind w:left="480" w:hanging="480"/>
      </w:pPr>
      <w:r>
        <w:rPr>
          <w:rFonts w:ascii="Times New Roman" w:hAnsi="Times New Roman" w:eastAsia="宋体"/>
          <w:b w:val="0"/>
          <w:i w:val="0"/>
          <w:sz w:val="19"/>
        </w:rPr>
        <w:t>[40] WU Q. Cognitive and emotional dynamics in investment: a review of behavioral finance theories and modern applications[C]. Atlantis Press, 2025.</w:t>
      </w:r>
    </w:p>
    <w:p>
      <w:pPr>
        <w:spacing w:line="324" w:lineRule="auto" w:after="60"/>
        <w:ind w:left="480" w:hanging="480"/>
      </w:pPr>
      <w:r>
        <w:rPr>
          <w:rFonts w:ascii="Times New Roman" w:hAnsi="Times New Roman" w:eastAsia="宋体"/>
          <w:b w:val="0"/>
          <w:i w:val="0"/>
          <w:sz w:val="19"/>
        </w:rPr>
        <w:t>[41] 波普尔. 科学发现的逻辑[M]. 1959. 另见 Stanford Encyclopedia of Philosophy, Karl Popper, 条目 3.</w:t>
      </w:r>
    </w:p>
    <w:p>
      <w:pPr>
        <w:spacing w:line="324" w:lineRule="auto" w:after="60"/>
        <w:ind w:left="480" w:hanging="480"/>
      </w:pPr>
      <w:r>
        <w:rPr>
          <w:rFonts w:ascii="Times New Roman" w:hAnsi="Times New Roman" w:eastAsia="宋体"/>
          <w:b w:val="0"/>
          <w:i w:val="0"/>
          <w:sz w:val="19"/>
        </w:rPr>
        <w:t>[42] GRÜNBAUM A. The Foundations of Psychoanalysis: A Philosophical Critique[M]. Berkeley: University of California Press, 1984.</w:t>
      </w:r>
    </w:p>
    <w:p>
      <w:pPr>
        <w:spacing w:line="324" w:lineRule="auto" w:after="60"/>
        <w:ind w:left="480" w:hanging="480"/>
      </w:pPr>
      <w:r>
        <w:rPr>
          <w:rFonts w:ascii="Times New Roman" w:hAnsi="Times New Roman" w:eastAsia="宋体"/>
          <w:b w:val="0"/>
          <w:i w:val="0"/>
          <w:sz w:val="19"/>
        </w:rPr>
        <w:t>[43] GRÜNBAUM A. Précis of The Foundations of Psychoanalysis: a philosophical critique[J]. Behavioral and Brain Sciences, 1986, 9(2): 217-228.</w:t>
      </w:r>
    </w:p>
    <w:p>
      <w:pPr>
        <w:spacing w:line="324" w:lineRule="auto" w:after="60"/>
        <w:ind w:left="480" w:hanging="480"/>
      </w:pPr>
      <w:r>
        <w:rPr>
          <w:rFonts w:ascii="Times New Roman" w:hAnsi="Times New Roman" w:eastAsia="宋体"/>
          <w:b w:val="0"/>
          <w:i w:val="0"/>
          <w:sz w:val="19"/>
        </w:rPr>
        <w:t>[44] 孔明安. 贪婪与恐惧：当代资本主义金融危机的新阐释[J]. 国外理论动态, 2019(6).</w:t>
      </w:r>
    </w:p>
    <w:p>
      <w:pPr>
        <w:spacing w:line="324" w:lineRule="auto" w:after="60"/>
        <w:ind w:left="480" w:hanging="480"/>
      </w:pPr>
      <w:r>
        <w:rPr>
          <w:rFonts w:ascii="Times New Roman" w:hAnsi="Times New Roman" w:eastAsia="宋体"/>
          <w:b w:val="0"/>
          <w:i w:val="0"/>
          <w:sz w:val="19"/>
        </w:rPr>
        <w:t>[45] 陈剑. 齐泽克笔下的资本主义恋物癖[J/OL]. 马克思主义研究网, 2017.</w:t>
      </w:r>
    </w:p>
    <w:p>
      <w:pPr>
        <w:spacing w:line="324" w:lineRule="auto" w:after="60"/>
        <w:ind w:left="480" w:hanging="480"/>
      </w:pPr>
      <w:r>
        <w:rPr>
          <w:rFonts w:ascii="Times New Roman" w:hAnsi="Times New Roman" w:eastAsia="宋体"/>
          <w:b w:val="0"/>
          <w:i w:val="0"/>
          <w:sz w:val="19"/>
        </w:rPr>
        <w:t>[46] 区祥江. 你有用脑投资吗？[M]. 香港: 出版者不详, 2008.</w:t>
      </w:r>
    </w:p>
    <w:p>
      <w:pPr>
        <w:spacing w:line="324" w:lineRule="auto" w:after="60"/>
        <w:ind w:left="480" w:hanging="480"/>
      </w:pPr>
      <w:r>
        <w:rPr>
          <w:rFonts w:ascii="Times New Roman" w:hAnsi="Times New Roman" w:eastAsia="宋体"/>
          <w:b w:val="0"/>
          <w:i w:val="0"/>
          <w:sz w:val="19"/>
        </w:rPr>
        <w:t>[47] DANIEL K, HIRSHLEIFER D, SUBRAHMANYAM A. Investor psychology and security market under- and overreactions[J]. The Journal of Finance, 1998, 53(6): 1839-1885. DOI:10.1111/0022-1082.00077.</w:t>
      </w:r>
    </w:p>
    <w:p>
      <w:pPr>
        <w:spacing w:line="324" w:lineRule="auto" w:after="60"/>
        <w:ind w:left="480" w:hanging="480"/>
      </w:pPr>
      <w:r>
        <w:rPr>
          <w:rFonts w:ascii="Times New Roman" w:hAnsi="Times New Roman" w:eastAsia="宋体"/>
          <w:b w:val="0"/>
          <w:i w:val="0"/>
          <w:sz w:val="19"/>
        </w:rPr>
        <w:t>[48] HIRSHLEIFER D. Investor psychology and asset pricing[J]. The Journal of Finance, 2001, 56(4): 1533-1597. DOI:10.1111/0022-1082.2001.00361.</w:t>
      </w:r>
    </w:p>
    <w:p>
      <w:pPr>
        <w:spacing w:line="324" w:lineRule="auto" w:after="60"/>
        <w:ind w:left="480" w:hanging="480"/>
      </w:pPr>
      <w:r>
        <w:rPr>
          <w:rFonts w:ascii="Times New Roman" w:hAnsi="Times New Roman" w:eastAsia="宋体"/>
          <w:b w:val="0"/>
          <w:i w:val="0"/>
          <w:sz w:val="19"/>
        </w:rPr>
        <w:t>[49] PRECHTER R R. Unconscious herding behavior as the psychological basis of financial market trends and patterns[J]. Journal of Behavioral Finance, 2001, 2(3): 120-125. DOI:10.1207/s15327760jpfm0203_1.</w:t>
      </w:r>
    </w:p>
    <w:p>
      <w:pPr>
        <w:spacing w:line="324" w:lineRule="auto" w:after="60"/>
        <w:ind w:left="480" w:hanging="480"/>
      </w:pPr>
      <w:r>
        <w:rPr>
          <w:rFonts w:ascii="Times New Roman" w:hAnsi="Times New Roman" w:eastAsia="宋体"/>
          <w:b w:val="0"/>
          <w:i w:val="0"/>
          <w:sz w:val="19"/>
        </w:rPr>
        <w:t>[50] MAURER B. Repressed futures: financial derivatives' theological unconscious[J]. Economy and Society, 2002, 31(1): 15-36. DOI:10.1080/03085140120109231.</w:t>
      </w:r>
    </w:p>
    <w:p>
      <w:pPr>
        <w:spacing w:line="324" w:lineRule="auto" w:after="60"/>
        <w:ind w:left="480" w:hanging="480"/>
      </w:pPr>
      <w:r>
        <w:rPr>
          <w:rFonts w:ascii="Times New Roman" w:hAnsi="Times New Roman" w:eastAsia="宋体"/>
          <w:b w:val="0"/>
          <w:i w:val="0"/>
          <w:sz w:val="19"/>
        </w:rPr>
        <w:t>[51] TAFFLER R, TUCKETT D. Emotional finance: the role of the unconscious in financial decisions[M]//Behavioral Finance: Investors, Corporations, and Markets. Hoboken: Wiley, 2010: 95-112. DOI:10.1002/9781118258415.ch6.</w:t>
      </w:r>
    </w:p>
    <w:p>
      <w:pPr>
        <w:spacing w:line="324" w:lineRule="auto" w:after="60"/>
        <w:ind w:left="480" w:hanging="480"/>
      </w:pPr>
      <w:r>
        <w:rPr>
          <w:rFonts w:ascii="Times New Roman" w:hAnsi="Times New Roman" w:eastAsia="宋体"/>
          <w:b w:val="0"/>
          <w:i w:val="0"/>
          <w:sz w:val="19"/>
        </w:rPr>
        <w:t>[52] ESHRAGHI A, TAFFLER R. Hedge funds and unconscious fantasy[J]. Accounting, Auditing &amp; Accountability Journal, 2012, 25(8): 1244-1265. DOI:10.1108/09513571211275461.</w:t>
      </w:r>
    </w:p>
    <w:p>
      <w:pPr>
        <w:spacing w:line="324" w:lineRule="auto" w:after="60"/>
        <w:ind w:left="480" w:hanging="480"/>
      </w:pPr>
      <w:r>
        <w:rPr>
          <w:rFonts w:ascii="Times New Roman" w:hAnsi="Times New Roman" w:eastAsia="宋体"/>
          <w:b w:val="0"/>
          <w:i w:val="0"/>
          <w:sz w:val="19"/>
        </w:rPr>
        <w:t>[53] VANHEULE S. Capitalist discourse, subjectivity and Lacanian psychoanalysis[J]. Frontiers in Psychology, 2016, 7: 1948. DOI:10.3389/fpsyg.2016.01948.</w:t>
      </w:r>
    </w:p>
    <w:p>
      <w:pPr>
        <w:spacing w:line="324" w:lineRule="auto" w:after="60"/>
        <w:ind w:left="480" w:hanging="480"/>
      </w:pPr>
      <w:r>
        <w:rPr>
          <w:rFonts w:ascii="Times New Roman" w:hAnsi="Times New Roman" w:eastAsia="宋体"/>
          <w:b w:val="0"/>
          <w:i w:val="0"/>
          <w:sz w:val="19"/>
        </w:rPr>
        <w:t>[54] MAHER H. The free market as fantasy: a Lacanian approach to the problem of neoliberal resilience[J]. International Studies Quarterly, 2023, 67(3): sqad050. DOI:10.1093/isq/sqad050.</w:t>
      </w:r>
    </w:p>
    <w:p>
      <w:pPr>
        <w:spacing w:line="324" w:lineRule="auto" w:after="60"/>
        <w:ind w:left="480" w:hanging="480"/>
      </w:pPr>
      <w:r>
        <w:rPr>
          <w:rFonts w:ascii="Times New Roman" w:hAnsi="Times New Roman" w:eastAsia="宋体"/>
          <w:b w:val="0"/>
          <w:i w:val="0"/>
          <w:sz w:val="19"/>
        </w:rPr>
        <w:t>[55] FORBES W P. Unconscious thoughts as a spur and halt on good financial decision making[J]. International Review of Financial Analysis, 2023, 88: 103012. DOI:10.1016/j.irfa.2023.103012.</w:t>
      </w:r>
    </w:p>
    <w:p>
      <w:pPr>
        <w:spacing w:line="324" w:lineRule="auto" w:after="60"/>
        <w:ind w:left="480" w:hanging="480"/>
      </w:pPr>
      <w:r>
        <w:rPr>
          <w:rFonts w:ascii="Times New Roman" w:hAnsi="Times New Roman" w:eastAsia="宋体"/>
          <w:b w:val="0"/>
          <w:i w:val="0"/>
          <w:sz w:val="19"/>
        </w:rPr>
        <w:t>[56] DOW S. The psychology of financial markets: Keynes, Minsky and emotional finance[M]//The Elgar Companion to Hyman Minsky. Cheltenham: Edward Elgar, 2010. DOI:10.4337/9781849807098.00019.</w:t>
      </w:r>
    </w:p>
    <w:p>
      <w:pPr>
        <w:spacing w:line="324" w:lineRule="auto" w:after="60"/>
        <w:ind w:left="480" w:hanging="480"/>
      </w:pPr>
      <w:r>
        <w:rPr>
          <w:rFonts w:ascii="Times New Roman" w:hAnsi="Times New Roman" w:eastAsia="宋体"/>
          <w:b w:val="0"/>
          <w:i w:val="0"/>
          <w:sz w:val="19"/>
        </w:rPr>
        <w:t>[57] AMPUDÍA DE HARO F. Good trader, good trading: the presence and the regulation of emotions in financial markets[J]. Athenea Digital, 2014, 14(1): 3-25. DOI:10.5565/rev/athenead/v14n1.1091.</w:t>
      </w:r>
    </w:p>
    <w:p>
      <w:pPr>
        <w:spacing w:line="324" w:lineRule="auto" w:after="60"/>
        <w:ind w:left="480" w:hanging="480"/>
      </w:pPr>
      <w:r>
        <w:rPr>
          <w:rFonts w:ascii="Times New Roman" w:hAnsi="Times New Roman" w:eastAsia="宋体"/>
          <w:b w:val="0"/>
          <w:i w:val="0"/>
          <w:sz w:val="19"/>
        </w:rPr>
        <w:t>[58] IRFAN M, ADEEL R, MALIK M S. The impact of emotional finance, and market knowledge and investor protection on investment performance in stock and real estate markets[J]. SAGE Open, 2023, 13(4). DOI:10.1177/21582440231206900.</w:t>
      </w:r>
    </w:p>
    <w:p>
      <w:pPr>
        <w:spacing w:line="324" w:lineRule="auto" w:after="60"/>
        <w:ind w:left="480" w:hanging="480"/>
      </w:pPr>
      <w:r>
        <w:rPr>
          <w:rFonts w:ascii="Times New Roman" w:hAnsi="Times New Roman" w:eastAsia="宋体"/>
          <w:b w:val="0"/>
          <w:i w:val="0"/>
          <w:sz w:val="19"/>
        </w:rPr>
        <w:t>[59] ZHOU Z, XU K, ZHAO J. Tales of emotion and stock in China: volatility, causality and prediction[R]. arXiv:1705.00294, 2017.</w:t>
      </w:r>
    </w:p>
    <w:p>
      <w:pPr>
        <w:spacing w:line="324" w:lineRule="auto" w:after="60"/>
        <w:ind w:left="480" w:hanging="480"/>
      </w:pPr>
      <w:r>
        <w:rPr>
          <w:rFonts w:ascii="Times New Roman" w:hAnsi="Times New Roman" w:eastAsia="宋体"/>
          <w:b w:val="0"/>
          <w:i w:val="0"/>
          <w:sz w:val="19"/>
        </w:rPr>
        <w:t>[60] VAMOSSY D F. Investor emotions and earnings announcements[R]. arXiv:2006.13934, 2020.</w:t>
      </w:r>
    </w:p>
    <w:p>
      <w:pPr>
        <w:spacing w:line="324" w:lineRule="auto" w:after="60"/>
        <w:ind w:left="480" w:hanging="480"/>
      </w:pPr>
      <w:r>
        <w:rPr>
          <w:rFonts w:ascii="Times New Roman" w:hAnsi="Times New Roman" w:eastAsia="宋体"/>
          <w:b w:val="0"/>
          <w:i w:val="0"/>
          <w:sz w:val="19"/>
        </w:rPr>
        <w:t>[61] LEE J, YOUN H L, POON J, et al. StockEmotions: discover investor emotions for financial sentiment analysis and multivariate time series[R]. arXiv:2301.09279, 2023.</w:t>
      </w:r>
    </w:p>
    <w:p>
      <w:pPr>
        <w:spacing w:line="324" w:lineRule="auto" w:after="60"/>
        <w:ind w:left="480" w:hanging="480"/>
      </w:pPr>
      <w:r>
        <w:rPr>
          <w:rFonts w:ascii="Times New Roman" w:hAnsi="Times New Roman" w:eastAsia="宋体"/>
          <w:b w:val="0"/>
          <w:i w:val="0"/>
          <w:sz w:val="19"/>
        </w:rPr>
        <w:t>[62] LIU H, DONOVAN C, POPOV V. A comparison between financial and gambling markets[R]. arXiv:2409.13528, 2024.</w:t>
      </w:r>
    </w:p>
    <w:p>
      <w:pPr>
        <w:spacing w:line="324" w:lineRule="auto" w:after="60"/>
        <w:ind w:left="480" w:hanging="480"/>
      </w:pPr>
      <w:r>
        <w:rPr>
          <w:rFonts w:ascii="Times New Roman" w:hAnsi="Times New Roman" w:eastAsia="宋体"/>
          <w:b w:val="0"/>
          <w:i w:val="0"/>
          <w:sz w:val="19"/>
        </w:rPr>
        <w:t>[63] ZHOU Z, ZHAO J, XU K. Can online emotions predict the stock market in China?[R]. arXiv:1604.07529, 2016.</w:t>
      </w:r>
    </w:p>
    <w:p>
      <w:pPr>
        <w:spacing w:line="324" w:lineRule="auto" w:after="60"/>
        <w:ind w:left="480" w:hanging="480"/>
      </w:pPr>
      <w:r>
        <w:rPr>
          <w:rFonts w:ascii="Times New Roman" w:hAnsi="Times New Roman" w:eastAsia="宋体"/>
          <w:b w:val="0"/>
          <w:i w:val="0"/>
          <w:sz w:val="19"/>
        </w:rPr>
        <w:t>[64] HOEDEMAEKERS C. Performance pinned down: a Lacanian analysis of subjectivity at work[D]. Rotterdam: Erasmus University Rotterdam, 2003.</w:t>
      </w:r>
    </w:p>
    <w:p>
      <w:pPr>
        <w:keepNext/>
        <w:spacing w:before="400" w:after="140" w:line="300" w:lineRule="auto"/>
      </w:pPr>
      <w:r>
        <w:rPr>
          <w:rFonts w:ascii="Arial" w:hAnsi="Arial" w:eastAsia="黑体"/>
          <w:b/>
          <w:i w:val="0"/>
          <w:sz w:val="32"/>
        </w:rPr>
        <w:t>附录 F　检索方法与受限说明</w:t>
      </w:r>
    </w:p>
    <w:p>
      <w:pPr>
        <w:spacing w:line="336" w:lineRule="auto" w:before="0" w:after="80"/>
        <w:jc w:val="both"/>
      </w:pPr>
      <w:r>
        <w:rPr>
          <w:rFonts w:ascii="Times New Roman" w:hAnsi="Times New Roman" w:eastAsia="宋体"/>
          <w:b w:val="0"/>
          <w:i w:val="0"/>
          <w:sz w:val="21"/>
        </w:rPr>
        <w:t>本附录把检索的技术细节和全部受限情况交代清楚，读者据此判断证据基础。</w:t>
      </w:r>
    </w:p>
    <w:p>
      <w:pPr>
        <w:keepNext/>
        <w:spacing w:before="200" w:after="90" w:line="300" w:lineRule="auto"/>
      </w:pPr>
      <w:r>
        <w:rPr>
          <w:rFonts w:ascii="Arial" w:hAnsi="Arial" w:eastAsia="黑体"/>
          <w:b/>
          <w:i w:val="0"/>
          <w:sz w:val="27"/>
        </w:rPr>
        <w:t>F.1 检索策略</w:t>
      </w:r>
    </w:p>
    <w:p>
      <w:pPr>
        <w:spacing w:line="336" w:lineRule="auto" w:before="0" w:after="80"/>
        <w:ind w:firstLine="420"/>
        <w:jc w:val="both"/>
      </w:pPr>
      <w:r>
        <w:rPr>
          <w:rFonts w:ascii="Times New Roman" w:hAnsi="Times New Roman" w:eastAsia="宋体"/>
          <w:b w:val="0"/>
          <w:i w:val="0"/>
          <w:sz w:val="21"/>
        </w:rPr>
        <w:t>检索在 2026 年 10 月执行，多源并行。主体是开放源（OpenAlex、Crossref、arXiv），公开网络检索作辅，Giiisp 论文接口备用。英文检索词 18—20 组，中文 6 组，覆盖精神分析、情绪金融、交易心理、赌博与成瘾、拉康与政治经济学五个主题域。命中结果按主题关键词筛选、去重后并入证据库。</w:t>
      </w:r>
    </w:p>
    <w:p>
      <w:pPr>
        <w:keepNext/>
        <w:spacing w:before="200" w:after="90" w:line="300" w:lineRule="auto"/>
      </w:pPr>
      <w:r>
        <w:rPr>
          <w:rFonts w:ascii="Arial" w:hAnsi="Arial" w:eastAsia="黑体"/>
          <w:b/>
          <w:i w:val="0"/>
          <w:sz w:val="27"/>
        </w:rPr>
        <w:t>F.2 各源命中与受限情况</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1814"/>
          </w:tcPr>
          <w:p>
            <w:pPr>
              <w:spacing w:line="252" w:lineRule="auto" w:after="30" w:before="30"/>
              <w:jc w:val="center"/>
            </w:pPr>
            <w:r/>
            <w:r>
              <w:rPr>
                <w:rFonts w:ascii="Times New Roman" w:hAnsi="Times New Roman" w:eastAsia="宋体"/>
                <w:b/>
                <w:i w:val="0"/>
                <w:sz w:val="18"/>
              </w:rPr>
              <w:t>数据源</w:t>
            </w:r>
          </w:p>
        </w:tc>
        <w:tc>
          <w:tcPr>
            <w:tcW w:type="dxa" w:w="2268"/>
          </w:tcPr>
          <w:p>
            <w:pPr>
              <w:spacing w:line="252" w:lineRule="auto" w:after="30" w:before="30"/>
              <w:jc w:val="center"/>
            </w:pPr>
            <w:r/>
            <w:r>
              <w:rPr>
                <w:rFonts w:ascii="Times New Roman" w:hAnsi="Times New Roman" w:eastAsia="宋体"/>
                <w:b/>
                <w:i w:val="0"/>
                <w:sz w:val="18"/>
              </w:rPr>
              <w:t>检索量</w:t>
            </w:r>
          </w:p>
        </w:tc>
        <w:tc>
          <w:tcPr>
            <w:tcW w:type="dxa" w:w="3628"/>
          </w:tcPr>
          <w:p>
            <w:pPr>
              <w:spacing w:line="252" w:lineRule="auto" w:after="30" w:before="30"/>
              <w:jc w:val="center"/>
            </w:pPr>
            <w:r/>
            <w:r>
              <w:rPr>
                <w:rFonts w:ascii="Times New Roman" w:hAnsi="Times New Roman" w:eastAsia="宋体"/>
                <w:b/>
                <w:i w:val="0"/>
                <w:sz w:val="18"/>
              </w:rPr>
              <w:t>结果</w:t>
            </w:r>
          </w:p>
        </w:tc>
        <w:tc>
          <w:tcPr>
            <w:tcW w:type="dxa" w:w="1928"/>
          </w:tcPr>
          <w:p>
            <w:pPr>
              <w:spacing w:line="252" w:lineRule="auto" w:after="30" w:before="30"/>
              <w:jc w:val="center"/>
            </w:pPr>
            <w:r/>
            <w:r>
              <w:rPr>
                <w:rFonts w:ascii="Times New Roman" w:hAnsi="Times New Roman" w:eastAsia="宋体"/>
                <w:b/>
                <w:i w:val="0"/>
                <w:sz w:val="18"/>
              </w:rPr>
              <w:t>状态</w:t>
            </w:r>
          </w:p>
        </w:tc>
      </w:tr>
      <w:tr>
        <w:tc>
          <w:tcPr>
            <w:tcW w:type="dxa" w:w="1814"/>
          </w:tcPr>
          <w:p>
            <w:pPr>
              <w:spacing w:line="252" w:lineRule="auto" w:after="30" w:before="30"/>
            </w:pPr>
            <w:r/>
            <w:r>
              <w:rPr>
                <w:rFonts w:ascii="Times New Roman" w:hAnsi="Times New Roman" w:eastAsia="宋体"/>
                <w:b w:val="0"/>
                <w:i w:val="0"/>
                <w:sz w:val="17"/>
              </w:rPr>
              <w:t>OpenAlex</w:t>
            </w:r>
          </w:p>
        </w:tc>
        <w:tc>
          <w:tcPr>
            <w:tcW w:type="dxa" w:w="2268"/>
          </w:tcPr>
          <w:p>
            <w:pPr>
              <w:spacing w:line="252" w:lineRule="auto" w:after="30" w:before="30"/>
            </w:pPr>
            <w:r/>
            <w:r>
              <w:rPr>
                <w:rFonts w:ascii="Times New Roman" w:hAnsi="Times New Roman" w:eastAsia="宋体"/>
                <w:b w:val="0"/>
                <w:i w:val="0"/>
                <w:sz w:val="17"/>
              </w:rPr>
              <w:t>18 组英文 + 6 组中文</w:t>
            </w:r>
          </w:p>
        </w:tc>
        <w:tc>
          <w:tcPr>
            <w:tcW w:type="dxa" w:w="3628"/>
          </w:tcPr>
          <w:p>
            <w:pPr>
              <w:spacing w:line="252" w:lineRule="auto" w:after="30" w:before="30"/>
            </w:pPr>
            <w:r/>
            <w:r>
              <w:rPr>
                <w:rFonts w:ascii="Times New Roman" w:hAnsi="Times New Roman" w:eastAsia="宋体"/>
                <w:b w:val="0"/>
                <w:i w:val="0"/>
                <w:sz w:val="17"/>
              </w:rPr>
              <w:t>412 条命中，筛选后并入证据库</w:t>
            </w:r>
          </w:p>
        </w:tc>
        <w:tc>
          <w:tcPr>
            <w:tcW w:type="dxa" w:w="1928"/>
          </w:tcPr>
          <w:p>
            <w:pPr>
              <w:spacing w:line="252" w:lineRule="auto" w:after="30" w:before="30"/>
            </w:pPr>
            <w:r/>
            <w:r>
              <w:rPr>
                <w:rFonts w:ascii="Times New Roman" w:hAnsi="Times New Roman" w:eastAsia="宋体"/>
                <w:b w:val="0"/>
                <w:i w:val="0"/>
                <w:sz w:val="17"/>
              </w:rPr>
              <w:t>正常</w:t>
            </w:r>
          </w:p>
        </w:tc>
      </w:tr>
      <w:tr>
        <w:tc>
          <w:tcPr>
            <w:tcW w:type="dxa" w:w="1814"/>
          </w:tcPr>
          <w:p>
            <w:pPr>
              <w:spacing w:line="252" w:lineRule="auto" w:after="30" w:before="30"/>
            </w:pPr>
            <w:r/>
            <w:r>
              <w:rPr>
                <w:rFonts w:ascii="Times New Roman" w:hAnsi="Times New Roman" w:eastAsia="宋体"/>
                <w:b w:val="0"/>
                <w:i w:val="0"/>
                <w:sz w:val="17"/>
              </w:rPr>
              <w:t>Crossref</w:t>
            </w:r>
          </w:p>
        </w:tc>
        <w:tc>
          <w:tcPr>
            <w:tcW w:type="dxa" w:w="2268"/>
          </w:tcPr>
          <w:p>
            <w:pPr>
              <w:spacing w:line="252" w:lineRule="auto" w:after="30" w:before="30"/>
            </w:pPr>
            <w:r/>
            <w:r>
              <w:rPr>
                <w:rFonts w:ascii="Times New Roman" w:hAnsi="Times New Roman" w:eastAsia="宋体"/>
                <w:b w:val="0"/>
                <w:i w:val="0"/>
                <w:sz w:val="17"/>
              </w:rPr>
              <w:t>18 组英文 + 6 组中文</w:t>
            </w:r>
          </w:p>
        </w:tc>
        <w:tc>
          <w:tcPr>
            <w:tcW w:type="dxa" w:w="3628"/>
          </w:tcPr>
          <w:p>
            <w:pPr>
              <w:spacing w:line="252" w:lineRule="auto" w:after="30" w:before="30"/>
            </w:pPr>
            <w:r/>
            <w:r>
              <w:rPr>
                <w:rFonts w:ascii="Times New Roman" w:hAnsi="Times New Roman" w:eastAsia="宋体"/>
                <w:b w:val="0"/>
                <w:i w:val="0"/>
                <w:sz w:val="17"/>
              </w:rPr>
              <w:t>320 条命中，筛选后并入证据库</w:t>
            </w:r>
          </w:p>
        </w:tc>
        <w:tc>
          <w:tcPr>
            <w:tcW w:type="dxa" w:w="1928"/>
          </w:tcPr>
          <w:p>
            <w:pPr>
              <w:spacing w:line="252" w:lineRule="auto" w:after="30" w:before="30"/>
            </w:pPr>
            <w:r/>
            <w:r>
              <w:rPr>
                <w:rFonts w:ascii="Times New Roman" w:hAnsi="Times New Roman" w:eastAsia="宋体"/>
                <w:b w:val="0"/>
                <w:i w:val="0"/>
                <w:sz w:val="17"/>
              </w:rPr>
              <w:t>正常</w:t>
            </w:r>
          </w:p>
        </w:tc>
      </w:tr>
      <w:tr>
        <w:tc>
          <w:tcPr>
            <w:tcW w:type="dxa" w:w="1814"/>
          </w:tcPr>
          <w:p>
            <w:pPr>
              <w:spacing w:line="252" w:lineRule="auto" w:after="30" w:before="30"/>
            </w:pPr>
            <w:r/>
            <w:r>
              <w:rPr>
                <w:rFonts w:ascii="Times New Roman" w:hAnsi="Times New Roman" w:eastAsia="宋体"/>
                <w:b w:val="0"/>
                <w:i w:val="0"/>
                <w:sz w:val="17"/>
              </w:rPr>
              <w:t>arXiv</w:t>
            </w:r>
          </w:p>
        </w:tc>
        <w:tc>
          <w:tcPr>
            <w:tcW w:type="dxa" w:w="2268"/>
          </w:tcPr>
          <w:p>
            <w:pPr>
              <w:spacing w:line="252" w:lineRule="auto" w:after="30" w:before="30"/>
            </w:pPr>
            <w:r/>
            <w:r>
              <w:rPr>
                <w:rFonts w:ascii="Times New Roman" w:hAnsi="Times New Roman" w:eastAsia="宋体"/>
                <w:b w:val="0"/>
                <w:i w:val="0"/>
                <w:sz w:val="17"/>
              </w:rPr>
              <w:t>20 组短词布尔查询</w:t>
            </w:r>
          </w:p>
        </w:tc>
        <w:tc>
          <w:tcPr>
            <w:tcW w:type="dxa" w:w="3628"/>
          </w:tcPr>
          <w:p>
            <w:pPr>
              <w:spacing w:line="252" w:lineRule="auto" w:after="30" w:before="30"/>
            </w:pPr>
            <w:r/>
            <w:r>
              <w:rPr>
                <w:rFonts w:ascii="Times New Roman" w:hAnsi="Times New Roman" w:eastAsia="宋体"/>
                <w:b w:val="0"/>
                <w:i w:val="0"/>
                <w:sz w:val="17"/>
              </w:rPr>
              <w:t>247 条命中，剔除情感计算噪音后取 5 条</w:t>
            </w:r>
          </w:p>
        </w:tc>
        <w:tc>
          <w:tcPr>
            <w:tcW w:type="dxa" w:w="1928"/>
          </w:tcPr>
          <w:p>
            <w:pPr>
              <w:spacing w:line="252" w:lineRule="auto" w:after="30" w:before="30"/>
            </w:pPr>
            <w:r/>
            <w:r>
              <w:rPr>
                <w:rFonts w:ascii="Times New Roman" w:hAnsi="Times New Roman" w:eastAsia="宋体"/>
                <w:b w:val="0"/>
                <w:i w:val="0"/>
                <w:sz w:val="17"/>
              </w:rPr>
              <w:t>首轮受限，已修复</w:t>
            </w:r>
          </w:p>
        </w:tc>
      </w:tr>
      <w:tr>
        <w:tc>
          <w:tcPr>
            <w:tcW w:type="dxa" w:w="1814"/>
          </w:tcPr>
          <w:p>
            <w:pPr>
              <w:spacing w:line="252" w:lineRule="auto" w:after="30" w:before="30"/>
            </w:pPr>
            <w:r/>
            <w:r>
              <w:rPr>
                <w:rFonts w:ascii="Times New Roman" w:hAnsi="Times New Roman" w:eastAsia="宋体"/>
                <w:b w:val="0"/>
                <w:i w:val="0"/>
                <w:sz w:val="17"/>
              </w:rPr>
              <w:t>WebSearch</w:t>
            </w:r>
          </w:p>
        </w:tc>
        <w:tc>
          <w:tcPr>
            <w:tcW w:type="dxa" w:w="2268"/>
          </w:tcPr>
          <w:p>
            <w:pPr>
              <w:spacing w:line="252" w:lineRule="auto" w:after="30" w:before="30"/>
            </w:pPr>
            <w:r/>
            <w:r>
              <w:rPr>
                <w:rFonts w:ascii="Times New Roman" w:hAnsi="Times New Roman" w:eastAsia="宋体"/>
                <w:b w:val="0"/>
                <w:i w:val="0"/>
                <w:sz w:val="17"/>
              </w:rPr>
              <w:t>约 15 轮定向检索</w:t>
            </w:r>
          </w:p>
        </w:tc>
        <w:tc>
          <w:tcPr>
            <w:tcW w:type="dxa" w:w="3628"/>
          </w:tcPr>
          <w:p>
            <w:pPr>
              <w:spacing w:line="252" w:lineRule="auto" w:after="30" w:before="30"/>
            </w:pPr>
            <w:r/>
            <w:r>
              <w:rPr>
                <w:rFonts w:ascii="Times New Roman" w:hAnsi="Times New Roman" w:eastAsia="宋体"/>
                <w:b w:val="0"/>
                <w:i w:val="0"/>
                <w:sz w:val="17"/>
              </w:rPr>
              <w:t>补充经典文献与中文资料</w:t>
            </w:r>
          </w:p>
        </w:tc>
        <w:tc>
          <w:tcPr>
            <w:tcW w:type="dxa" w:w="1928"/>
          </w:tcPr>
          <w:p>
            <w:pPr>
              <w:spacing w:line="252" w:lineRule="auto" w:after="30" w:before="30"/>
            </w:pPr>
            <w:r/>
            <w:r>
              <w:rPr>
                <w:rFonts w:ascii="Times New Roman" w:hAnsi="Times New Roman" w:eastAsia="宋体"/>
                <w:b w:val="0"/>
                <w:i w:val="0"/>
                <w:sz w:val="17"/>
              </w:rPr>
              <w:t>正常</w:t>
            </w:r>
          </w:p>
        </w:tc>
      </w:tr>
      <w:tr>
        <w:tc>
          <w:tcPr>
            <w:tcW w:type="dxa" w:w="1814"/>
          </w:tcPr>
          <w:p>
            <w:pPr>
              <w:spacing w:line="252" w:lineRule="auto" w:after="30" w:before="30"/>
            </w:pPr>
            <w:r/>
            <w:r>
              <w:rPr>
                <w:rFonts w:ascii="Times New Roman" w:hAnsi="Times New Roman" w:eastAsia="宋体"/>
                <w:b w:val="0"/>
                <w:i w:val="0"/>
                <w:sz w:val="17"/>
              </w:rPr>
              <w:t>Giiisp 论文接口</w:t>
            </w:r>
          </w:p>
        </w:tc>
        <w:tc>
          <w:tcPr>
            <w:tcW w:type="dxa" w:w="2268"/>
          </w:tcPr>
          <w:p>
            <w:pPr>
              <w:spacing w:line="252" w:lineRule="auto" w:after="30" w:before="30"/>
            </w:pPr>
            <w:r/>
            <w:r>
              <w:rPr>
                <w:rFonts w:ascii="Times New Roman" w:hAnsi="Times New Roman" w:eastAsia="宋体"/>
                <w:b w:val="0"/>
                <w:i w:val="0"/>
                <w:sz w:val="17"/>
              </w:rPr>
              <w:t>4 组探测</w:t>
            </w:r>
          </w:p>
        </w:tc>
        <w:tc>
          <w:tcPr>
            <w:tcW w:type="dxa" w:w="3628"/>
          </w:tcPr>
          <w:p>
            <w:pPr>
              <w:spacing w:line="252" w:lineRule="auto" w:after="30" w:before="30"/>
            </w:pPr>
            <w:r/>
            <w:r>
              <w:rPr>
                <w:rFonts w:ascii="Times New Roman" w:hAnsi="Times New Roman" w:eastAsia="宋体"/>
                <w:b w:val="0"/>
                <w:i w:val="0"/>
                <w:sz w:val="17"/>
              </w:rPr>
              <w:t>返回 HTTP 200 但 data 为空</w:t>
            </w:r>
          </w:p>
        </w:tc>
        <w:tc>
          <w:tcPr>
            <w:tcW w:type="dxa" w:w="1928"/>
          </w:tcPr>
          <w:p>
            <w:pPr>
              <w:spacing w:line="252" w:lineRule="auto" w:after="30" w:before="30"/>
            </w:pPr>
            <w:r/>
            <w:r>
              <w:rPr>
                <w:rFonts w:ascii="Times New Roman" w:hAnsi="Times New Roman" w:eastAsia="宋体"/>
                <w:b w:val="0"/>
                <w:i w:val="0"/>
                <w:sz w:val="17"/>
              </w:rPr>
              <w:t>接口受限（无鉴权令牌）</w:t>
            </w:r>
          </w:p>
        </w:tc>
      </w:tr>
      <w:tr>
        <w:tc>
          <w:tcPr>
            <w:tcW w:type="dxa" w:w="1814"/>
          </w:tcPr>
          <w:p>
            <w:pPr>
              <w:spacing w:line="252" w:lineRule="auto" w:after="30" w:before="30"/>
            </w:pPr>
            <w:r/>
            <w:r>
              <w:rPr>
                <w:rFonts w:ascii="Times New Roman" w:hAnsi="Times New Roman" w:eastAsia="宋体"/>
                <w:b w:val="0"/>
                <w:i w:val="0"/>
                <w:sz w:val="17"/>
              </w:rPr>
              <w:t>Semantic Scholar</w:t>
            </w:r>
          </w:p>
        </w:tc>
        <w:tc>
          <w:tcPr>
            <w:tcW w:type="dxa" w:w="2268"/>
          </w:tcPr>
          <w:p>
            <w:pPr>
              <w:spacing w:line="252" w:lineRule="auto" w:after="30" w:before="30"/>
            </w:pPr>
            <w:r/>
            <w:r>
              <w:rPr>
                <w:rFonts w:ascii="Times New Roman" w:hAnsi="Times New Roman" w:eastAsia="宋体"/>
                <w:b w:val="0"/>
                <w:i w:val="0"/>
                <w:sz w:val="17"/>
              </w:rPr>
              <w:t>24 组查询</w:t>
            </w:r>
          </w:p>
        </w:tc>
        <w:tc>
          <w:tcPr>
            <w:tcW w:type="dxa" w:w="3628"/>
          </w:tcPr>
          <w:p>
            <w:pPr>
              <w:spacing w:line="252" w:lineRule="auto" w:after="30" w:before="30"/>
            </w:pPr>
            <w:r/>
            <w:r>
              <w:rPr>
                <w:rFonts w:ascii="Times New Roman" w:hAnsi="Times New Roman" w:eastAsia="宋体"/>
                <w:b w:val="0"/>
                <w:i w:val="0"/>
                <w:sz w:val="17"/>
              </w:rPr>
              <w:t>HTTP 429 频率限制</w:t>
            </w:r>
          </w:p>
        </w:tc>
        <w:tc>
          <w:tcPr>
            <w:tcW w:type="dxa" w:w="1928"/>
          </w:tcPr>
          <w:p>
            <w:pPr>
              <w:spacing w:line="252" w:lineRule="auto" w:after="30" w:before="30"/>
            </w:pPr>
            <w:r/>
            <w:r>
              <w:rPr>
                <w:rFonts w:ascii="Times New Roman" w:hAnsi="Times New Roman" w:eastAsia="宋体"/>
                <w:b w:val="0"/>
                <w:i w:val="0"/>
                <w:sz w:val="17"/>
              </w:rPr>
              <w:t>接口受限（限流）</w:t>
            </w:r>
          </w:p>
        </w:tc>
      </w:tr>
    </w:tbl>
    <w:p>
      <w:pPr>
        <w:spacing w:line="336" w:lineRule="auto" w:before="0" w:after="40"/>
        <w:jc w:val="both"/>
      </w:pPr>
    </w:p>
    <w:p>
      <w:pPr>
        <w:keepNext/>
        <w:spacing w:before="200" w:after="90" w:line="300" w:lineRule="auto"/>
      </w:pPr>
      <w:r>
        <w:rPr>
          <w:rFonts w:ascii="Arial" w:hAnsi="Arial" w:eastAsia="黑体"/>
          <w:b/>
          <w:i w:val="0"/>
          <w:sz w:val="27"/>
        </w:rPr>
        <w:t>F.3 受限说明与修复记录</w:t>
      </w:r>
    </w:p>
    <w:p>
      <w:pPr>
        <w:spacing w:line="336" w:lineRule="auto" w:before="0" w:after="80"/>
        <w:ind w:firstLine="420"/>
        <w:jc w:val="both"/>
      </w:pPr>
      <w:r>
        <w:rPr>
          <w:rFonts w:ascii="Times New Roman" w:hAnsi="Times New Roman" w:eastAsia="宋体"/>
          <w:b w:val="0"/>
          <w:i w:val="0"/>
          <w:sz w:val="21"/>
        </w:rPr>
        <w:t>三处受限要如实说。</w:t>
      </w:r>
      <w:r>
        <w:rPr>
          <w:rFonts w:ascii="Times New Roman" w:hAnsi="Times New Roman" w:eastAsia="宋体"/>
          <w:b/>
          <w:i w:val="0"/>
          <w:sz w:val="21"/>
        </w:rPr>
        <w:t>Giiisp 接口</w:t>
      </w:r>
      <w:r>
        <w:rPr>
          <w:rFonts w:ascii="Times New Roman" w:hAnsi="Times New Roman" w:eastAsia="宋体"/>
          <w:b w:val="0"/>
          <w:i w:val="0"/>
          <w:sz w:val="21"/>
        </w:rPr>
        <w:t>：本地没配 GIIISP_AUTH_TOKEN，接口返回 HTTP 200 但结果数组为空，按该技能规范标记为“接口受限”，相关检索改由 OpenAlex 与 Crossref 交叉完成。</w:t>
      </w:r>
      <w:r>
        <w:rPr>
          <w:rFonts w:ascii="Times New Roman" w:hAnsi="Times New Roman" w:eastAsia="宋体"/>
          <w:b/>
          <w:i w:val="0"/>
          <w:sz w:val="21"/>
        </w:rPr>
        <w:t>arXiv 接口</w:t>
      </w:r>
      <w:r>
        <w:rPr>
          <w:rFonts w:ascii="Times New Roman" w:hAnsi="Times New Roman" w:eastAsia="宋体"/>
          <w:b w:val="0"/>
          <w:i w:val="0"/>
          <w:sz w:val="21"/>
        </w:rPr>
        <w:t>：首轮解析器按 JSON 读 Atom XML，结果记了 0 命中；后来改成 XML 解析，并把长精确短语换成短词布尔查询（长短语返回空），重跑后拿到 247 条命中。</w:t>
      </w:r>
      <w:r>
        <w:rPr>
          <w:rFonts w:ascii="Times New Roman" w:hAnsi="Times New Roman" w:eastAsia="宋体"/>
          <w:b/>
          <w:i w:val="0"/>
          <w:sz w:val="21"/>
        </w:rPr>
        <w:t>Semantic Scholar 接口</w:t>
      </w:r>
      <w:r>
        <w:rPr>
          <w:rFonts w:ascii="Times New Roman" w:hAnsi="Times New Roman" w:eastAsia="宋体"/>
          <w:b w:val="0"/>
          <w:i w:val="0"/>
          <w:sz w:val="21"/>
        </w:rPr>
        <w:t>：未鉴权调用触发 HTTP 429，按规范不做并发补打，改用其他源替代。</w:t>
      </w:r>
    </w:p>
    <w:p>
      <w:pPr>
        <w:spacing w:line="336" w:lineRule="auto" w:before="0" w:after="80"/>
        <w:ind w:firstLine="420"/>
        <w:jc w:val="both"/>
      </w:pPr>
      <w:r>
        <w:rPr>
          <w:rFonts w:ascii="Times New Roman" w:hAnsi="Times New Roman" w:eastAsia="宋体"/>
          <w:b w:val="0"/>
          <w:i w:val="0"/>
          <w:sz w:val="21"/>
        </w:rPr>
        <w:t>另两点质量控制。命中只代表标题或摘要含检索短语，标题相关不等于主题相关，纳入条目都过了人工核验；第二轮 arXiv 命中里大量“情感识别/情感计算”类论文与本文无关，整批剔除。检索中还发现一个被垃圾内容劫持的网站（原为拉康研究站点，页面已被博彩内容替换），该来源整体排除。</w:t>
      </w:r>
    </w:p>
    <w:p>
      <w:pPr>
        <w:keepNext/>
        <w:spacing w:before="200" w:after="90" w:line="300" w:lineRule="auto"/>
      </w:pPr>
      <w:r>
        <w:rPr>
          <w:rFonts w:ascii="Arial" w:hAnsi="Arial" w:eastAsia="黑体"/>
          <w:b/>
          <w:i w:val="0"/>
          <w:sz w:val="27"/>
        </w:rPr>
        <w:t>F.4 局限</w:t>
      </w:r>
    </w:p>
    <w:p>
      <w:pPr>
        <w:spacing w:line="336" w:lineRule="auto" w:before="0" w:after="80"/>
        <w:ind w:firstLine="420"/>
        <w:jc w:val="both"/>
      </w:pPr>
      <w:r>
        <w:rPr>
          <w:rFonts w:ascii="Times New Roman" w:hAnsi="Times New Roman" w:eastAsia="宋体"/>
          <w:b w:val="0"/>
          <w:i w:val="0"/>
          <w:sz w:val="21"/>
        </w:rPr>
        <w:t>这轮检索还有四项局限：没覆盖 Web of Science、Scopus 等付费库；Semantic Scholar 的相似论文扩展没生效，主题扩散打了折扣；中文文献以公开网络为主，未系统覆盖 CNKI；纳入判断由人工完成，可能有选择偏差。检索原始命中（OpenAlex 412 条、Crossref 320 条、arXiv 247 条）存于 raw_hits.json，供审计。</w:t>
      </w:r>
    </w:p>
    <w:sectPr w:rsidR="00FC693F" w:rsidRPr="0006063C" w:rsidSect="00034616">
      <w:footerReference w:type="default" r:id="rId9"/>
      <w:pgSz w:w="11906" w:h="16838"/>
      <w:pgMar w:top="1304" w:right="1587" w:bottom="1304"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6E6E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