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  <w:spacing w:before="0" w:after="60"/>
      </w:pPr>
      <w:r>
        <w:rPr>
          <w:b/>
        </w:rPr>
        <w:t xml:space="preserve">So sánh CTIM, CTIM-G và CTIM-GL</w:t>
      </w:r>
    </w:p>
    <w:p>
      <w:pPr>
        <w:spacing w:before="0" w:after="120"/>
      </w:pPr>
      <w:r>
        <w:rPr>
          <w:i/>
          <w:color w:val="5A6673"/>
        </w:rPr>
        <w:t xml:space="preserve">K = 20 hạt giống, h = 0,1, trung bình trên 3 sản phẩm mỗi tập. CTIM-GL là CTIM-G với đường cong lười.</w:t>
      </w:r>
    </w:p>
    <w:p>
      <w:pPr>
        <w:pStyle w:val="Heading1"/>
        <w:keepNext/>
        <w:spacing w:before="200" w:after="140"/>
      </w:pPr>
      <w:r>
        <w:rPr>
          <w:b/>
        </w:rPr>
        <w:t xml:space="preserve">Độ lan truyền ảnh hưởng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1500"/>
        <w:gridCol w:w="1300"/>
        <w:gridCol w:w="1300"/>
        <w:gridCol w:w="1300"/>
        <w:gridCol w:w="1800"/>
        <w:gridCol w:w="1800"/>
      </w:tblGrid>
      <w:tr>
        <w:trPr>
          <w:tblHeader/>
        </w:trPr>
        <w:tc>
          <w:tcPr>
            <w:tcW w:w="15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Tập dữ liệu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CTIM-GL</w:t>
            </w:r>
          </w:p>
        </w:tc>
        <w:tc>
          <w:tcPr>
            <w:tcW w:w="18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 so với CTIM</w:t>
            </w:r>
          </w:p>
        </w:tc>
        <w:tc>
          <w:tcPr>
            <w:tcW w:w="18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CTIM-GL so với CTIM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761.52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764.01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764.01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+0.33%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+0.33%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Epinions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1442.52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1540.37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1540.37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+6.78%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+6.78%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Ciao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120.41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118.20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118.20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-1.84%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-1.84%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Last.fm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78.25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76.56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76.56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-2.16%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-2.16%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Delicious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23.03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23.03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23.03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+0.00%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+0.00%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Độ lan truyền I(S) theo Eq (18) của mô hình MIA tại h = 0,1.</w:t>
      </w:r>
    </w:p>
    <w:p>
      <w:pPr>
        <w:pStyle w:val="Heading1"/>
        <w:keepNext/>
        <w:spacing w:before="200" w:after="140"/>
      </w:pPr>
      <w:r>
        <w:rPr>
          <w:b/>
        </w:rPr>
        <w:t xml:space="preserve">Thời gian chọn hạt giống (giây)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w="24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Tập dữ liệu</w:t>
            </w:r>
          </w:p>
        </w:tc>
        <w:tc>
          <w:tcPr>
            <w:tcW w:w="2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</w:t>
            </w:r>
          </w:p>
        </w:tc>
        <w:tc>
          <w:tcPr>
            <w:tcW w:w="2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</w:t>
            </w:r>
          </w:p>
        </w:tc>
        <w:tc>
          <w:tcPr>
            <w:tcW w:w="2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CTIM-GL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2.32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9.90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4.90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Epinions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18.97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58.00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29.10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Ciao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2.51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1.68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Last.fm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0.39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0.37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0.33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Delicious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0.04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0.05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0.06</w:t>
            </w:r>
          </w:p>
        </w:tc>
      </w:tr>
    </w:tbl>
    <w:p>
      <w:pPr>
        <w:spacing w:before="0" w:after="160"/>
      </w:pPr>
    </w:p>
    <w:sectPr>
      <w:pgSz w:w="11906" w:h="16838"/>
      <w:pgMar w:top="1134" w:right="1021" w:bottom="1134" w:left="1021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defJc m:val="left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vi-VN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40"/>
      <w:szCs w:val="40"/>
      <w:color w:val="1F3864"/>
    </w:rPr>
  </w:style>
  <w:style w:type="paragraph" w:styleId="Heading1">
    <w:name w:val="heading 1"/>
    <w:rPr>
      <w:b/>
      <w:sz w:val="30"/>
      <w:szCs w:val="30"/>
      <w:color w:val="1F3864"/>
    </w:rPr>
  </w:style>
  <w:style w:type="paragraph" w:styleId="Heading2">
    <w:name w:val="heading 2"/>
    <w:rPr>
      <w:b/>
      <w:sz w:val="25"/>
      <w:szCs w:val="25"/>
      <w:color w:val="2E5395"/>
    </w:rPr>
  </w:style>
  <w:style w:type="paragraph" w:styleId="Heading3">
    <w:name w:val="heading 3"/>
    <w:rPr>
      <w:b/>
      <w:sz w:val="22"/>
      <w:szCs w:val="22"/>
      <w:color w:val="2E539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