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Style w:val="Title"/>
        <w:spacing w:before="0" w:after="60"/>
      </w:pPr>
      <w:r>
        <w:rPr>
          <w:b/>
        </w:rPr>
        <w:t xml:space="preserve">So sánh CTIM và CTIM-G</w:t>
      </w:r>
    </w:p>
    <w:p>
      <w:pPr>
        <w:spacing w:before="0" w:after="120"/>
      </w:pPr>
      <w:r>
        <w:rPr>
          <w:i/>
          <w:color w:val="5A6673"/>
        </w:rPr>
        <w:t xml:space="preserve">Tái hiện Huang, Shen, Meng, Chang &amp; He, “Community-based influence maximization for viral marketing”, Applied Intelligence (2019) — kèm một biến thể phân bổ ngân sách toàn cục (CTIM-G) do dự án này thêm vào.</w:t>
      </w:r>
    </w:p>
    <w:p>
      <w:pPr>
        <w:pStyle w:val="Heading1"/>
        <w:keepNext/>
        <w:spacing w:before="200" w:after="140"/>
      </w:pPr>
      <w:r>
        <w:rPr>
          <w:b/>
        </w:rPr>
        <w:t xml:space="preserve">1. Thiết lập thí nghiệm</w:t>
      </w:r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1700"/>
        <w:gridCol w:w="1150"/>
        <w:gridCol w:w="1150"/>
        <w:gridCol w:w="550"/>
        <w:gridCol w:w="500"/>
        <w:gridCol w:w="650"/>
        <w:gridCol w:w="700"/>
        <w:gridCol w:w="2600"/>
      </w:tblGrid>
      <w:tr>
        <w:trPr>
          <w:tblHeader/>
        </w:trPr>
        <w:tc>
          <w:tcPr>
            <w:tcW w:w="1700" w:type="dxa"/>
            <w:shd w:val="clear" w:color="auto" w:fill="E8EEF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Dataset</w:t>
            </w:r>
          </w:p>
        </w:tc>
        <w:tc>
          <w:tcPr>
            <w:tcW w:w="11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n = |V|</w:t>
            </w:r>
          </w:p>
        </w:tc>
        <w:tc>
          <w:tcPr>
            <w:tcW w:w="11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m = |E|</w:t>
            </w:r>
          </w:p>
        </w:tc>
        <w:tc>
          <w:tcPr>
            <w:tcW w:w="5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</w:t>
            </w:r>
          </w:p>
        </w:tc>
        <w:tc>
          <w:tcPr>
            <w:tcW w:w="5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K</w:t>
            </w:r>
          </w:p>
        </w:tc>
        <w:tc>
          <w:tcPr>
            <w:tcW w:w="6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h</w:t>
            </w:r>
          </w:p>
        </w:tc>
        <w:tc>
          <w:tcPr>
            <w:tcW w:w="7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seed</w:t>
            </w:r>
          </w:p>
        </w:tc>
        <w:tc>
          <w:tcPr>
            <w:tcW w:w="2600" w:type="dxa"/>
            <w:shd w:val="clear" w:color="auto" w:fill="E8EEF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test items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yelp_paper_h01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366,427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2,949,285</w:t>
            </w:r>
          </w:p>
        </w:tc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57914, 14239, 29323</w:t>
            </w:r>
          </w:p>
        </w:tc>
      </w:tr>
      <w:tr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digg_items_K20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30,358</w:t>
            </w:r>
          </w:p>
        </w:tc>
        <w:tc>
          <w:tcPr>
            <w:tcW w:w="11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99,846</w:t>
            </w:r>
          </w:p>
        </w:tc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w="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w="26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2369, 1113, 535</w:t>
            </w:r>
          </w:p>
        </w:tc>
      </w:tr>
    </w:tbl>
    <w:p>
      <w:pPr>
        <w:spacing w:before="0" w:after="160"/>
      </w:pPr>
    </w:p>
    <w:p>
      <w:pPr>
        <w:spacing w:before="0" w:after="200"/>
      </w:pPr>
      <w:r>
        <w:rPr>
          <w:i/>
          <w:color w:val="5A6673"/>
          <w:sz w:val="18"/>
          <w:szCs w:val="18"/>
        </w:rPr>
        <w:t xml:space="preserve">Một ngưỡng h = 0.1 duy nhất, đúng như bài báo đặt, dùng cho cả việc chọn hạt giống bên trong MIA lẫn việc báo cáo Eq (18).</w:t>
      </w:r>
    </w:p>
    <w:p>
      <w:pPr>
        <w:pStyle w:val="Heading1"/>
        <w:keepNext/>
        <w:spacing w:before="200" w:after="140"/>
      </w:pPr>
      <w:r>
        <w:rPr>
          <w:b/>
        </w:rPr>
        <w:t xml:space="preserve">2. Mô hình và công thức</w:t>
      </w:r>
    </w:p>
    <w:p>
      <w:pPr>
        <w:pStyle w:val="Heading2"/>
        <w:keepNext/>
        <w:spacing w:before="280" w:after="140"/>
      </w:pPr>
      <w:r>
        <w:rPr>
          <w:b/>
        </w:rPr>
        <w:t xml:space="preserve">2.1. Cường độ ảnh hưởng trên cạnh</w:t>
      </w:r>
    </w:p>
    <w:p>
      <w:pPr>
        <w:spacing w:before="0" w:after="120"/>
      </w:pPr>
      <w:r>
        <w:t xml:space="preserve">Xác suất lan truyền trên cạnh (u, v) đối với sản phẩm i được suy ra từ mô hình chủ đề – cộng đồng. Ở dạng đã gom nhân tử mà bản cài đặt dùng: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pp</m:t>
          </m:r>
          <m:d>
            <m:dPr>
              <m:begChr m:val="("/>
              <m:endChr m:val=")"/>
            </m:dPr>
            <m:e>
              <m:r>
                <m:t xml:space="preserve">u,v</m:t>
              </m:r>
            </m:e>
          </m:d>
          <m:r>
            <m:t xml:space="preserve"> =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c</m:t>
              </m:r>
            </m:sub>
            <m:sup/>
            <m:e>
              <m:sSub>
                <m:e>
                  <m:r>
                    <m:t xml:space="preserve">a</m:t>
                  </m:r>
                </m:e>
                <m:sub>
                  <m:r>
                    <m:t xml:space="preserve">u,c</m:t>
                  </m:r>
                </m:sub>
              </m:sSub>
              <m:r>
                <m:t xml:space="preserve">·</m:t>
              </m:r>
              <m:sSub>
                <m:e>
                  <m:r>
                    <m:t xml:space="preserve">π</m:t>
                  </m:r>
                </m:e>
                <m:sub>
                  <m:r>
                    <m:t xml:space="preserve">v,c</m:t>
                  </m:r>
                </m:sub>
              </m:sSub>
              <m:r>
                <m:t xml:space="preserve">·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t xml:space="preserve">θ</m:t>
                      </m:r>
                    </m:e>
                  </m:bar>
                </m:e>
                <m:sub>
                  <m:r>
                    <m:t xml:space="preserve">i,c</m:t>
                  </m:r>
                </m:sub>
              </m:sSub>
            </m:e>
          </m:nary>
        </m:oMath>
      </m:oMathPara>
    </w:p>
    <w:p>
      <w:pPr>
        <w:spacing w:before="0" w:after="160"/>
        <w:jc w:val="right"/>
      </w:pPr>
      <w:r>
        <w:rPr>
          <w:sz w:val="18"/>
          <w:szCs w:val="18"/>
        </w:rPr>
        <w:t xml:space="preserve">Eq (12)</w:t>
      </w:r>
    </w:p>
    <w:p>
      <w:pPr>
        <w:spacing w:before="0" w:after="120"/>
      </w:pPr>
      <w:r>
        <w:t xml:space="preserve">trong đó </w:t>
      </w:r>
      <w:r>
        <w:rPr>
          <w:i/>
        </w:rPr>
        <w:t xml:space="preserve">θ̄</w:t>
      </w:r>
      <w:r>
        <w:t xml:space="preserve"> là phân phối chủ đề của sản phẩm chiếu lên cộng đồng: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 xml:space="preserve">θ</m:t>
                  </m:r>
                </m:e>
              </m:bar>
            </m:e>
            <m:sub>
              <m:r>
                <m:t xml:space="preserve">i,c</m:t>
              </m:r>
            </m:sub>
          </m:sSub>
          <m:r>
            <m:t xml:space="preserve"> =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z</m:t>
              </m:r>
            </m:sub>
            <m:sup/>
            <m:e>
              <m:r>
                <m:rPr>
                  <m:sty m:val="p"/>
                </m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m:t xml:space="preserve">z∣i</m:t>
                  </m:r>
                </m:e>
              </m:d>
              <m:r>
                <m:t xml:space="preserve">·</m:t>
              </m:r>
              <m:sSub>
                <m:e>
                  <m:r>
                    <m:t xml:space="preserve">θ</m:t>
                  </m:r>
                </m:e>
                <m:sub>
                  <m:r>
                    <m:t xml:space="preserve">c,z</m:t>
                  </m:r>
                </m:sub>
              </m:sSub>
            </m:e>
          </m:nary>
        </m:oMath>
      </m:oMathPara>
    </w:p>
    <w:p>
      <w:pPr>
        <w:spacing w:before="0" w:after="120"/>
      </w:pPr>
      <w:r>
        <w:t xml:space="preserve">Hệ quả quan trọng: nếu </w:t>
      </w:r>
      <w:r>
        <w:rPr>
          <w:i/>
        </w:rPr>
        <w:t xml:space="preserve">θ</w:t>
      </w:r>
      <w:r>
        <w:t xml:space="preserve"> gần đều thì </w:t>
      </w:r>
      <w:r>
        <w:rPr>
          <w:i/>
        </w:rPr>
        <w:t xml:space="preserve">θ̄</w:t>
      </w:r>
      <w:r>
        <w:t xml:space="preserve">[i,c] ≈ 1/Z với mọi cộng đồng và mọi sản phẩm, nên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pp</m:t>
          </m:r>
          <m:d>
            <m:dPr>
              <m:begChr m:val="("/>
              <m:endChr m:val=")"/>
            </m:dPr>
            <m:e>
              <m:r>
                <m:t xml:space="preserve">u,v</m:t>
              </m:r>
            </m:e>
          </m:d>
          <m:r>
            <m:t xml:space="preserve"> ≤ </m:t>
          </m:r>
          <m:limLow>
            <m:e>
              <m:r>
                <m:rPr>
                  <m:sty m:val="p"/>
                </m:rPr>
                <m:t xml:space="preserve">max</m:t>
              </m:r>
            </m:e>
            <m:lim>
              <m:r>
                <m:t xml:space="preserve">c</m:t>
              </m:r>
            </m:lim>
          </m:limLow>
          <m:sSub>
            <m:e>
              <m:bar>
                <m:barPr>
                  <m:pos m:val="top"/>
                </m:barPr>
                <m:e>
                  <m:r>
                    <m:t xml:space="preserve">θ</m:t>
                  </m:r>
                </m:e>
              </m:bar>
            </m:e>
            <m:sub>
              <m:r>
                <m:t xml:space="preserve">i,c</m:t>
              </m:r>
            </m:sub>
          </m:sSub>
          <m:r>
            <m:t xml:space="preserve"> = </m:t>
          </m:r>
          <m:f>
            <m:num>
              <m:r>
                <m:t xml:space="preserve">1</m:t>
              </m:r>
            </m:num>
            <m:den>
              <m:r>
                <m:t xml:space="preserve">Z</m:t>
              </m:r>
            </m:den>
          </m:f>
        </m:oMath>
      </m:oMathPara>
    </w:p>
    <w:p>
      <w:pPr>
        <w:spacing w:before="0" w:after="120"/>
      </w:pPr>
      <w:r>
        <w:t xml:space="preserve">Đo được trên Digg: Z = 8, 1/Z = 0.125, max pp = 0.124227 (đạt 99.38% cận). Vì thế MIA gần như chỉ đi được 1 bước ở ngưỡng h = 0.1.</w:t>
      </w:r>
    </w:p>
    <w:p>
      <w:pPr>
        <w:pStyle w:val="Heading2"/>
        <w:keepNext/>
        <w:spacing w:before="280" w:after="140"/>
      </w:pPr>
      <w:r>
        <w:rPr>
          <w:b/>
        </w:rPr>
        <w:t xml:space="preserve">2.2. MIA – mô hình đánh giá ảnh hưởng</w:t>
      </w:r>
    </w:p>
    <w:p>
      <w:pPr>
        <w:spacing w:before="0" w:after="120"/>
      </w:pPr>
      <w:r>
        <w:t xml:space="preserve">Xác suất của một đường đi là tích xác suất các cạnh: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pp</m:t>
          </m:r>
          <m:d>
            <m:dPr>
              <m:begChr m:val="("/>
              <m:endChr m:val=")"/>
            </m:dPr>
            <m:e>
              <m:r>
                <m:t xml:space="preserve">P</m:t>
              </m:r>
            </m:e>
          </m:d>
          <m:r>
            <m:t xml:space="preserve"> = </m:t>
          </m:r>
          <m:nary>
            <m:naryPr>
              <m:chr m:val="∏"/>
              <m:limLoc m:val="undOvr"/>
              <m:supHide m:val="1"/>
            </m:naryPr>
            <m:sub>
              <m:r>
                <m:t xml:space="preserve">k</m:t>
              </m:r>
            </m:sub>
            <m:sup/>
            <m:e>
              <m:r>
                <m:rPr>
                  <m:sty m:val="p"/>
                </m:rPr>
                <m:t xml:space="preserve">pp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w</m:t>
                      </m:r>
                    </m:e>
                    <m:sub>
                      <m:r>
                        <m:t xml:space="preserve">k</m:t>
                      </m:r>
                    </m:sub>
                  </m:sSub>
                  <m:r>
                    <m:t xml:space="preserve">,</m:t>
                  </m:r>
                  <m:sSub>
                    <m:e>
                      <m:r>
                        <m:t xml:space="preserve">w</m:t>
                      </m:r>
                    </m:e>
                    <m:sub>
                      <m:r>
                        <m:t xml:space="preserve">k+1</m:t>
                      </m:r>
                    </m:sub>
                  </m:sSub>
                </m:e>
              </m:d>
            </m:e>
          </m:nary>
        </m:oMath>
      </m:oMathPara>
    </w:p>
    <w:p>
      <w:pPr>
        <w:spacing w:before="0" w:after="160"/>
        <w:jc w:val="right"/>
      </w:pPr>
      <w:r>
        <w:rPr>
          <w:sz w:val="18"/>
          <w:szCs w:val="18"/>
        </w:rPr>
        <w:t xml:space="preserve">Eq (13)</w:t>
      </w:r>
    </w:p>
    <w:p>
      <w:pPr>
        <w:spacing w:before="0" w:after="120"/>
      </w:pPr>
      <w:r>
        <w:t xml:space="preserve">Đường ảnh hưởng cực đại, tìm bằng Dijkstra trên trọng số cộng tính −ln pp: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MIP</m:t>
          </m:r>
          <m:d>
            <m:dPr>
              <m:begChr m:val="("/>
              <m:endChr m:val=")"/>
            </m:dPr>
            <m:e>
              <m:r>
                <m:t xml:space="preserve">u,v</m:t>
              </m:r>
            </m:e>
          </m:d>
          <m:r>
            <m:t xml:space="preserve"> = </m:t>
          </m:r>
          <m:limLow>
            <m:e>
              <m:r>
                <m:rPr>
                  <m:sty m:val="p"/>
                </m:rPr>
                <m:t xml:space="preserve">arg max</m:t>
              </m:r>
            </m:e>
            <m:lim>
              <m:r>
                <m:t xml:space="preserve">P ∈ 𝒫(u,v)</m:t>
              </m:r>
            </m:lim>
          </m:limLow>
          <m:r>
            <m:rPr>
              <m:sty m:val="p"/>
            </m:rPr>
            <m:t xml:space="preserve">pp</m:t>
          </m:r>
          <m:d>
            <m:dPr>
              <m:begChr m:val="("/>
              <m:endChr m:val=")"/>
            </m:dPr>
            <m:e>
              <m:r>
                <m:t xml:space="preserve">P</m:t>
              </m:r>
            </m:e>
          </m:d>
        </m:oMath>
      </m:oMathPara>
    </w:p>
    <w:p>
      <w:pPr>
        <w:spacing w:before="0" w:after="160"/>
        <w:jc w:val="right"/>
      </w:pPr>
      <w:r>
        <w:rPr>
          <w:sz w:val="18"/>
          <w:szCs w:val="18"/>
        </w:rPr>
        <w:t xml:space="preserve">Eq (14)</w:t>
      </w:r>
    </w:p>
    <w:p>
      <w:pPr>
        <w:spacing w:before="0" w:after="120"/>
      </w:pPr>
      <w:r>
        <w:t xml:space="preserve">Cây ảnh hưởng vào, giữ lại các đường vượt ngưỡng h: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MIIA</m:t>
          </m:r>
          <m:d>
            <m:dPr>
              <m:begChr m:val="("/>
              <m:endChr m:val=")"/>
            </m:dPr>
            <m:e>
              <m:r>
                <m:t xml:space="preserve">v,h</m:t>
              </m:r>
            </m:e>
          </m:d>
          <m:r>
            <m:t xml:space="preserve"> = </m:t>
          </m:r>
          <m:nary>
            <m:naryPr>
              <m:chr m:val="⋃"/>
              <m:limLoc m:val="undOvr"/>
              <m:supHide m:val="1"/>
            </m:naryPr>
            <m:sub>
              <m:r>
                <m:rPr>
                  <m:sty m:val="p"/>
                </m:rPr>
                <m:t xml:space="preserve">pp</m:t>
              </m:r>
              <m:d>
                <m:dPr>
                  <m:begChr m:val="("/>
                  <m:endChr m:val=")"/>
                </m:dPr>
                <m:e>
                  <m:r>
                    <m:rPr>
                      <m:sty m:val="p"/>
                    </m:rPr>
                    <m:t xml:space="preserve">MIP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u,v</m:t>
                      </m:r>
                    </m:e>
                  </m:d>
                </m:e>
              </m:d>
              <m:r>
                <m:t xml:space="preserve"> ≥ h</m:t>
              </m:r>
            </m:sub>
            <m:sup/>
            <m:e>
              <m:r>
                <m:rPr>
                  <m:sty m:val="p"/>
                </m:rPr>
                <m:t xml:space="preserve">MIP</m:t>
              </m:r>
              <m:d>
                <m:dPr>
                  <m:begChr m:val="("/>
                  <m:endChr m:val=")"/>
                </m:dPr>
                <m:e>
                  <m:r>
                    <m:t xml:space="preserve">u,v</m:t>
                  </m:r>
                </m:e>
              </m:d>
            </m:e>
          </m:nary>
        </m:oMath>
      </m:oMathPara>
    </w:p>
    <w:p>
      <w:pPr>
        <w:spacing w:before="0" w:after="160"/>
        <w:jc w:val="right"/>
      </w:pPr>
      <w:r>
        <w:rPr>
          <w:sz w:val="18"/>
          <w:szCs w:val="18"/>
        </w:rPr>
        <w:t xml:space="preserve">Eq (15)</w:t>
      </w:r>
    </w:p>
    <w:p>
      <w:pPr>
        <w:spacing w:before="0" w:after="120"/>
      </w:pPr>
      <w:r>
        <w:t xml:space="preserve">Xác suất kích hoạt lan trên cây, và tổng ảnh hưởng là hàm mục tiêu duy nhất dùng để chấm điểm mọi phương pháp trong báo cáo này: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ap</m:t>
          </m:r>
          <m:d>
            <m:dPr>
              <m:begChr m:val="("/>
              <m:endChr m:val=")"/>
            </m:dPr>
            <m:e>
              <m:r>
                <m:t xml:space="preserve">v∣S</m:t>
              </m:r>
            </m:e>
          </m:d>
          <m:r>
            <m:t xml:space="preserve"> = 1 − </m:t>
          </m:r>
          <m:nary>
            <m:naryPr>
              <m:chr m:val="∏"/>
              <m:limLoc m:val="undOvr"/>
              <m:supHide m:val="1"/>
            </m:naryPr>
            <m:sub>
              <m:r>
                <m:t xml:space="preserve">u ∈ N(v)</m:t>
              </m:r>
            </m:sub>
            <m:sup/>
            <m:e>
              <m:d>
                <m:dPr>
                  <m:begChr m:val="("/>
                  <m:endChr m:val=")"/>
                </m:dPr>
                <m:e>
                  <m:r>
                    <m:t xml:space="preserve">1 − </m:t>
                  </m:r>
                  <m:r>
                    <m:rPr>
                      <m:sty m:val="p"/>
                    </m:rPr>
                    <m:t xml:space="preserve">ap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u∣S</m:t>
                      </m:r>
                    </m:e>
                  </m:d>
                  <m:r>
                    <m:t xml:space="preserve">·</m:t>
                  </m:r>
                  <m:r>
                    <m:rPr>
                      <m:sty m:val="p"/>
                    </m:rPr>
                    <m:t xml:space="preserve">pp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u,v</m:t>
                      </m:r>
                    </m:e>
                  </m:d>
                </m:e>
              </m:d>
            </m:e>
          </m:nary>
        </m:oMath>
      </m:oMathPara>
    </w:p>
    <w:p>
      <w:pPr>
        <w:spacing w:before="0" w:after="160"/>
        <w:jc w:val="right"/>
      </w:pPr>
      <w:r>
        <w:rPr>
          <w:sz w:val="18"/>
          <w:szCs w:val="18"/>
        </w:rPr>
        <w:t xml:space="preserve">Eq (17)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r>
            <m:rPr>
              <m:sty m:val="p"/>
            </m:rPr>
            <m:t xml:space="preserve">I</m:t>
          </m:r>
          <m:d>
            <m:dPr>
              <m:begChr m:val="("/>
              <m:endChr m:val=")"/>
            </m:dPr>
            <m:e>
              <m:r>
                <m:t xml:space="preserve">S</m:t>
              </m:r>
            </m:e>
          </m:d>
          <m:r>
            <m:t xml:space="preserve"> =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v ∈ V</m:t>
              </m:r>
            </m:sub>
            <m:sup/>
            <m:e>
              <m:r>
                <m:rPr>
                  <m:sty m:val="p"/>
                </m:rPr>
                <m:t xml:space="preserve">ap</m:t>
              </m:r>
              <m:d>
                <m:dPr>
                  <m:begChr m:val="("/>
                  <m:endChr m:val=")"/>
                </m:dPr>
                <m:e>
                  <m:r>
                    <m:t xml:space="preserve">v∣S</m:t>
                  </m:r>
                </m:e>
              </m:d>
            </m:e>
          </m:nary>
        </m:oMath>
      </m:oMathPara>
    </w:p>
    <w:p>
      <w:pPr>
        <w:spacing w:before="0" w:after="160"/>
        <w:jc w:val="right"/>
      </w:pPr>
      <w:r>
        <w:rPr>
          <w:sz w:val="18"/>
          <w:szCs w:val="18"/>
        </w:rPr>
        <w:t xml:space="preserve">Eq (18)</w:t>
      </w:r>
    </w:p>
    <w:p>
      <w:pPr>
        <w:pStyle w:val="Heading2"/>
        <w:keepNext/>
        <w:spacing w:before="280" w:after="140"/>
      </w:pPr>
      <w:r>
        <w:rPr>
          <w:b/>
        </w:rPr>
        <w:t xml:space="preserve">2.3. Phân bổ ngân sách theo cộng đồng</w:t>
      </w:r>
    </w:p>
    <w:p>
      <w:pPr>
        <w:spacing w:before="0" w:after="120"/>
      </w:pPr>
      <w:r>
        <w:t xml:space="preserve">Quy hoạch động của bài báo phân K hạt giống cho C cộng đồng: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sSub>
            <m:e>
              <m:r>
                <m:t xml:space="preserve">I</m:t>
              </m:r>
            </m:e>
            <m:sub>
              <m:r>
                <m:t xml:space="preserve">m,k</m:t>
              </m:r>
            </m:sub>
          </m:sSub>
          <m:r>
            <m:t xml:space="preserve"> = </m:t>
          </m:r>
          <m:limLow>
            <m:e>
              <m:r>
                <m:rPr>
                  <m:sty m:val="p"/>
                </m:rPr>
                <m:t xml:space="preserve">max</m:t>
              </m:r>
            </m:e>
            <m:lim>
              <m:r>
                <m:t xml:space="preserve">0 ≤ j ≤ min(k, </m:t>
              </m:r>
              <m:sSub>
                <m:e>
                  <m:r>
                    <m:t xml:space="preserve">cap</m:t>
                  </m:r>
                </m:e>
                <m:sub>
                  <m:r>
                    <m:t xml:space="preserve">m</m:t>
                  </m:r>
                </m:sub>
              </m:sSub>
              <m:r>
                <m:t xml:space="preserve">)</m:t>
              </m:r>
            </m:lim>
          </m:limLow>
          <m:d>
            <m:dPr>
              <m:begChr m:val="{"/>
              <m:endChr m:val="}"/>
            </m:dPr>
            <m:e>
              <m:sSub>
                <m:e>
                  <m:r>
                    <m:t xml:space="preserve">I</m:t>
                  </m:r>
                </m:e>
                <m:sub>
                  <m:r>
                    <m:t xml:space="preserve">m−1,k−j</m:t>
                  </m:r>
                </m:sub>
              </m:sSub>
              <m:r>
                <m:t xml:space="preserve"> + </m:t>
              </m:r>
              <m:sSub>
                <m:e>
                  <m:r>
                    <m:t xml:space="preserve">I</m:t>
                  </m:r>
                </m:e>
                <m:sub>
                  <m:r>
                    <m:t xml:space="preserve">m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 xml:space="preserve">j</m:t>
                  </m:r>
                </m:e>
              </m:d>
            </m:e>
          </m:d>
        </m:oMath>
      </m:oMathPara>
    </w:p>
    <w:p>
      <w:pPr>
        <w:spacing w:before="0" w:after="160"/>
        <w:jc w:val="right"/>
      </w:pPr>
      <w:r>
        <w:rPr>
          <w:sz w:val="18"/>
          <w:szCs w:val="18"/>
        </w:rPr>
        <w:t xml:space="preserve">Algorithm 2</w:t>
      </w:r>
    </w:p>
    <w:p>
      <w:pPr>
        <w:spacing w:before="0" w:after="120"/>
      </w:pPr>
      <w:r>
        <w:t xml:space="preserve">Vì Eq (18) là hàm submodular, đường cong lợi ích của mỗi cộng đồng lõm, nên quy hoạch động này suy biến về đệ quy “mỗi lần thêm một hạt giống”.</w:t>
      </w:r>
    </w:p>
    <w:p>
      <w:pPr>
        <w:spacing w:before="0" w:after="120"/>
      </w:pPr>
      <w:r>
        <w:t xml:space="preserve">Khác biệt giữa hai phương pháp nằm ở chỗ dựng cây: </w:t>
      </w:r>
      <w:r>
        <w:rPr>
          <w:b/>
        </w:rPr>
        <w:t xml:space="preserve">CTIM</w:t>
      </w:r>
      <w:r>
        <w:t xml:space="preserve"> dựng MIA trên đồ thị con cảm sinh của từng cộng đồng, nên mọi cạnh bắc cầu giữa các cộng đồng bị loại; </w:t>
      </w:r>
      <w:r>
        <w:rPr>
          <w:b/>
        </w:rPr>
        <w:t xml:space="preserve">CTIM-G</w:t>
      </w:r>
      <w:r>
        <w:t xml:space="preserve"> dựng MIA trên đồ thị đầy đủ rồi mới chấm điểm theo cộng đồng, nên đường cong lợi ích của các cộng đồng so sánh được với nhau.</w:t>
      </w:r>
    </w:p>
    <w:p>
      <w:pPr>
        <w:pStyle w:val="Heading1"/>
        <w:keepNext/>
        <w:spacing w:before="200" w:after="140"/>
      </w:pPr>
      <w:r>
        <w:rPr>
          <w:b/>
        </w:rPr>
        <w:t xml:space="preserve">3. Giao thức chấm điểm</w:t>
      </w:r>
    </w:p>
    <w:p>
      <w:pPr>
        <w:spacing w:before="0" w:after="120"/>
      </w:pPr>
      <w:r>
        <w:t xml:space="preserve">Mọi tập hạt giống trong báo cáo này được chấm bằng cùng một hàm Eq (18), trên toàn đồ thị, ở ngưỡng h = 0.1 — đúng giao thức bài báo: một h duy nhất cho cả chọn lẫn chấm. Nhờ vậy các dòng trong mọi bảng so sánh được với nhau, và so được với số liệu bài báo công bố.</w:t>
      </w:r>
    </w:p>
    <w:p>
      <w:pPr>
        <w:spacing w:before="0" w:after="120"/>
      </w:pPr>
      <w:r>
        <w:rPr>
          <w:b/>
        </w:rPr>
        <w:t xml:space="preserve">Điều phải nói kèm.</w:t>
      </w:r>
      <w:r>
        <w:t xml:space="preserve"> Giao thức này hợp lệ với tập baseline của chính bài báo (CTIM, CTIM_CGA, AIR+CGA, CINEMA, Greedy) vì không phương pháp nào trong đó tối ưu trực tiếp Eq (18). CTIM-G thì có: nó chạy tham lam thẳng trên chính hàm này. Nên khoảng cách CTIM-G báo cáo dưới đây là </w:t>
      </w:r>
      <w:r>
        <w:rPr>
          <w:b/>
        </w:rPr>
        <w:t xml:space="preserve">cận trên</w:t>
      </w:r>
      <w:r>
        <w:t xml:space="preserve"> của khoảng cách thật, và CTIM-G là phương pháp do dự án này thêm vào, không phải của bài báo — nên phần chênh do vòng luẩn quẩn là do phía chúng ta tạo ra, không phải khiếm khuyết của bài báo.</w:t>
      </w:r>
    </w:p>
    <w:p>
      <w:pPr>
        <w:spacing w:before="0" w:after="120"/>
      </w:pPr>
      <w:r>
        <w:t xml:space="preserve">Trọng tài độc lập duy nhất là mô phỏng Monte-Carlo IC, vốn không dùng chung bộ máy nào với MIA. Phép kiểm đó chưa chạy trên Yelp.</w:t>
      </w:r>
    </w:p>
    <w:p>
      <w:pPr>
        <w:pStyle w:val="Heading1"/>
        <w:keepNext/>
        <w:spacing w:before="200" w:after="140"/>
      </w:pPr>
      <w:r>
        <w:rPr>
          <w:b/>
        </w:rPr>
        <w:t xml:space="preserve">4. Kết quả</w:t>
      </w:r>
    </w:p>
    <w:p>
      <w:pPr>
        <w:pStyle w:val="Heading2"/>
        <w:keepNext/>
        <w:spacing w:before="280" w:after="140"/>
      </w:pPr>
      <w:r>
        <w:rPr>
          <w:b/>
        </w:rPr>
        <w:t xml:space="preserve">4.1. yelp_paper_h01 (K = 20, h = 0.1)</w:t>
      </w:r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550"/>
        <w:gridCol w:w="1250"/>
        <w:gridCol w:w="1700"/>
        <w:gridCol w:w="1750"/>
        <w:gridCol w:w="1600"/>
        <w:gridCol w:w="1700"/>
        <w:gridCol w:w="650"/>
      </w:tblGrid>
      <w:tr>
        <w:trPr>
          <w:tblHeader/>
        </w:trPr>
        <w:tc>
          <w:tcPr>
            <w:tcW w:w="5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#</w:t>
            </w:r>
          </w:p>
        </w:tc>
        <w:tc>
          <w:tcPr>
            <w:tcW w:w="12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sản phẩm</w:t>
            </w:r>
          </w:p>
        </w:tc>
        <w:tc>
          <w:tcPr>
            <w:tcW w:w="1700" w:type="dxa"/>
            <w:shd w:val="clear" w:color="auto" w:fill="E8EEF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phương pháp</w:t>
            </w:r>
          </w:p>
        </w:tc>
        <w:tc>
          <w:tcPr>
            <w:tcW w:w="17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I (h = 0.1)</w:t>
            </w:r>
          </w:p>
        </w:tc>
        <w:tc>
          <w:tcPr>
            <w:tcW w:w="16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khoảng cách</w:t>
            </w:r>
          </w:p>
        </w:tc>
        <w:tc>
          <w:tcPr>
            <w:tcW w:w="17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thời gian chọn</w:t>
            </w:r>
          </w:p>
        </w:tc>
        <w:tc>
          <w:tcPr>
            <w:tcW w:w="6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|S|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57914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6841.9875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62.58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57914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CTIM-G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7414.6047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+8.3692%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719.63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14239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6843.0937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60.24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14239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CTIM-G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7415.7900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+8.3690%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665.17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29323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6846.2319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59.28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29323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CTIM-G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7419.1532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+8.3684%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622.75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</w:tbl>
    <w:p>
      <w:pPr>
        <w:spacing w:before="0" w:after="160"/>
      </w:pPr>
    </w:p>
    <w:p>
      <w:pPr>
        <w:spacing w:before="0" w:after="200"/>
      </w:pPr>
      <w:r>
        <w:rPr>
          <w:i/>
          <w:color w:val="5A6673"/>
          <w:sz w:val="18"/>
          <w:szCs w:val="18"/>
        </w:rPr>
        <w:t xml:space="preserve">Khoảng cách CTIM-G so với CTIM: trung bình +8.3689%, biên độ +8.3684% … +8.3692% qua 3 sản phẩm.</w:t>
      </w:r>
    </w:p>
    <w:p>
      <w:pPr>
        <w:pStyle w:val="Heading2"/>
        <w:keepNext/>
        <w:spacing w:before="280" w:after="140"/>
      </w:pPr>
      <w:r>
        <w:rPr>
          <w:b/>
        </w:rPr>
        <w:t xml:space="preserve">4.2. digg_items_K20 (K = 20, h = 0.1)</w:t>
      </w:r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550"/>
        <w:gridCol w:w="1250"/>
        <w:gridCol w:w="1700"/>
        <w:gridCol w:w="1750"/>
        <w:gridCol w:w="1600"/>
        <w:gridCol w:w="1700"/>
        <w:gridCol w:w="650"/>
      </w:tblGrid>
      <w:tr>
        <w:trPr>
          <w:tblHeader/>
        </w:trPr>
        <w:tc>
          <w:tcPr>
            <w:tcW w:w="5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#</w:t>
            </w:r>
          </w:p>
        </w:tc>
        <w:tc>
          <w:tcPr>
            <w:tcW w:w="12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sản phẩm</w:t>
            </w:r>
          </w:p>
        </w:tc>
        <w:tc>
          <w:tcPr>
            <w:tcW w:w="1700" w:type="dxa"/>
            <w:shd w:val="clear" w:color="auto" w:fill="E8EEF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phương pháp</w:t>
            </w:r>
          </w:p>
        </w:tc>
        <w:tc>
          <w:tcPr>
            <w:tcW w:w="17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I (h = 0.1)</w:t>
            </w:r>
          </w:p>
        </w:tc>
        <w:tc>
          <w:tcPr>
            <w:tcW w:w="16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khoảng cách</w:t>
            </w:r>
          </w:p>
        </w:tc>
        <w:tc>
          <w:tcPr>
            <w:tcW w:w="17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thời gian chọn</w:t>
            </w:r>
          </w:p>
        </w:tc>
        <w:tc>
          <w:tcPr>
            <w:tcW w:w="65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|S|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2369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761.4040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3.73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2369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CTIM-G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763.8906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+0.3266%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10.25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1113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761.5153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3.58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1113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CTIM-G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764.0019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+0.3265%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9.29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535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761.6496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3.71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w="5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535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CTIM-G</w:t>
            </w:r>
          </w:p>
        </w:tc>
        <w:tc>
          <w:tcPr>
            <w:tcW w:w="17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764.1362</w:t>
            </w:r>
          </w:p>
        </w:tc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+0.3265%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11.12 s</w:t>
            </w:r>
          </w:p>
        </w:tc>
        <w:tc>
          <w:tcPr>
            <w:tcW w:w="65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20</w:t>
            </w:r>
          </w:p>
        </w:tc>
      </w:tr>
    </w:tbl>
    <w:p>
      <w:pPr>
        <w:spacing w:before="0" w:after="160"/>
      </w:pPr>
    </w:p>
    <w:p>
      <w:pPr>
        <w:spacing w:before="0" w:after="200"/>
      </w:pPr>
      <w:r>
        <w:rPr>
          <w:i/>
          <w:color w:val="5A6673"/>
          <w:sz w:val="18"/>
          <w:szCs w:val="18"/>
        </w:rPr>
        <w:t xml:space="preserve">Khoảng cách CTIM-G so với CTIM: trung bình +0.3265%, biên độ +0.3265% … +0.3266% qua 3 sản phẩm.</w:t>
      </w:r>
    </w:p>
    <w:p>
      <w:pPr>
        <w:pStyle w:val="Heading1"/>
        <w:keepNext/>
        <w:spacing w:before="200" w:after="140"/>
      </w:pPr>
      <w:r>
        <w:rPr>
          <w:b/>
        </w:rPr>
        <w:t xml:space="preserve">5. Thời gian chạy</w:t>
      </w:r>
    </w:p>
    <w:p>
      <w:pPr>
        <w:pStyle w:val="Heading2"/>
        <w:keepNext/>
        <w:spacing w:before="280" w:after="140"/>
      </w:pPr>
      <w:r>
        <w:rPr>
          <w:b/>
        </w:rPr>
        <w:t xml:space="preserve">5.1. yelp_paper_h01</w:t>
      </w:r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1000"/>
        <w:gridCol w:w="1200"/>
        <w:gridCol w:w="1400"/>
        <w:gridCol w:w="1400"/>
        <w:gridCol w:w="1200"/>
        <w:gridCol w:w="1300"/>
      </w:tblGrid>
      <w:tr>
        <w:trPr>
          <w:tblHeader/>
        </w:trPr>
        <w:tc>
          <w:tcPr>
            <w:tcW w:w="5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#</w:t>
            </w:r>
          </w:p>
        </w:tc>
        <w:tc>
          <w:tcPr>
            <w:tcW w:w="10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item</w:t>
            </w:r>
          </w:p>
        </w:tc>
        <w:tc>
          <w:tcPr>
            <w:tcW w:w="12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Eq (12)</w:t>
            </w:r>
          </w:p>
        </w:tc>
        <w:tc>
          <w:tcPr>
            <w:tcW w:w="14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 chọn</w:t>
            </w:r>
          </w:p>
        </w:tc>
        <w:tc>
          <w:tcPr>
            <w:tcW w:w="14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CTIM-G chọn</w:t>
            </w:r>
          </w:p>
        </w:tc>
        <w:tc>
          <w:tcPr>
            <w:tcW w:w="12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chấm điểm</w:t>
            </w:r>
          </w:p>
        </w:tc>
        <w:tc>
          <w:tcPr>
            <w:tcW w:w="13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tổng item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57914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284.16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62.58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719.63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169.64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1251.97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14239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32.56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60.24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665.17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184.06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947.00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29323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30.97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59.28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622.75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153.20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882.20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trung bình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115.90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60.70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669.18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168.97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1027.06</w:t>
            </w:r>
          </w:p>
        </w:tc>
      </w:tr>
    </w:tbl>
    <w:p>
      <w:pPr>
        <w:spacing w:before="0" w:after="160"/>
      </w:pPr>
    </w:p>
    <w:p>
      <w:pPr>
        <w:spacing w:before="0" w:after="200"/>
      </w:pPr>
      <w:r>
        <w:rPr>
          <w:i/>
          <w:color w:val="5A6673"/>
          <w:sz w:val="18"/>
          <w:szCs w:val="18"/>
        </w:rPr>
        <w:t xml:space="preserve">CTIM-G chậm hơn CTIM 11.02 lần. Eq (12) ở sản phẩm đầu tốn 284.16 s so với ~31.77 s về sau (8.9 lần): đó là chi phí làm nóng một lần, không phải chi phí biên.</w:t>
      </w:r>
    </w:p>
    <w:p>
      <w:pPr>
        <w:spacing w:before="0" w:after="120"/>
      </w:pPr>
      <w:r>
        <w:t xml:space="preserve">Tổng toàn bộ lần chạy: 3099.48 s.</w:t>
      </w:r>
    </w:p>
    <w:p>
      <w:pPr>
        <w:pStyle w:val="Heading2"/>
        <w:keepNext/>
        <w:spacing w:before="280" w:after="140"/>
      </w:pPr>
      <w:r>
        <w:rPr>
          <w:b/>
        </w:rPr>
        <w:t xml:space="preserve">5.2. digg_items_K20</w:t>
      </w:r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500"/>
        <w:gridCol w:w="1000"/>
        <w:gridCol w:w="1200"/>
        <w:gridCol w:w="1400"/>
        <w:gridCol w:w="1400"/>
        <w:gridCol w:w="1200"/>
        <w:gridCol w:w="1300"/>
      </w:tblGrid>
      <w:tr>
        <w:trPr>
          <w:tblHeader/>
        </w:trPr>
        <w:tc>
          <w:tcPr>
            <w:tcW w:w="5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#</w:t>
            </w:r>
          </w:p>
        </w:tc>
        <w:tc>
          <w:tcPr>
            <w:tcW w:w="10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item</w:t>
            </w:r>
          </w:p>
        </w:tc>
        <w:tc>
          <w:tcPr>
            <w:tcW w:w="12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Eq (12)</w:t>
            </w:r>
          </w:p>
        </w:tc>
        <w:tc>
          <w:tcPr>
            <w:tcW w:w="14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 chọn</w:t>
            </w:r>
          </w:p>
        </w:tc>
        <w:tc>
          <w:tcPr>
            <w:tcW w:w="14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CTIM-G chọn</w:t>
            </w:r>
          </w:p>
        </w:tc>
        <w:tc>
          <w:tcPr>
            <w:tcW w:w="12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chấm điểm</w:t>
            </w:r>
          </w:p>
        </w:tc>
        <w:tc>
          <w:tcPr>
            <w:tcW w:w="13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tổng item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2369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32.11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3.73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10.25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1.78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108.27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1113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1.56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3.58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9.29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1.91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73.32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535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1.62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3.71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11.12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1.91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80.73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trung bình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11.76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3.67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10.22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1.87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87.44</w:t>
            </w:r>
          </w:p>
        </w:tc>
      </w:tr>
    </w:tbl>
    <w:p>
      <w:pPr>
        <w:spacing w:before="0" w:after="160"/>
      </w:pPr>
    </w:p>
    <w:p>
      <w:pPr>
        <w:spacing w:before="0" w:after="200"/>
      </w:pPr>
      <w:r>
        <w:rPr>
          <w:i/>
          <w:color w:val="5A6673"/>
          <w:sz w:val="18"/>
          <w:szCs w:val="18"/>
        </w:rPr>
        <w:t xml:space="preserve">CTIM-G chậm hơn CTIM 2.78 lần. Eq (12) ở sản phẩm đầu tốn 32.11 s so với ~1.59 s về sau (20.2 lần): đó là chi phí làm nóng một lần, không phải chi phí biên.</w:t>
      </w:r>
    </w:p>
    <w:p>
      <w:pPr>
        <w:spacing w:before="0" w:after="120"/>
      </w:pPr>
      <w:r>
        <w:t xml:space="preserve">Tổng toàn bộ lần chạy: 267.09 s.</w:t>
      </w:r>
    </w:p>
    <w:p>
      <w:pPr>
        <w:pStyle w:val="Heading2"/>
        <w:keepNext/>
        <w:spacing w:before="280" w:after="140"/>
      </w:pPr>
      <w:r>
        <w:rPr>
          <w:b/>
        </w:rPr>
        <w:t xml:space="preserve">5.3. Phân rã theo pha của CTIM-G</w:t>
      </w:r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1800"/>
        <w:gridCol w:w="1000"/>
        <w:gridCol w:w="1100"/>
        <w:gridCol w:w="1200"/>
        <w:gridCol w:w="900"/>
        <w:gridCol w:w="1200"/>
        <w:gridCol w:w="1300"/>
        <w:gridCol w:w="1100"/>
      </w:tblGrid>
      <w:tr>
        <w:trPr>
          <w:tblHeader/>
        </w:trPr>
        <w:tc>
          <w:tcPr>
            <w:tcW w:w="1800" w:type="dxa"/>
            <w:shd w:val="clear" w:color="auto" w:fill="E8EEF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dataset</w:t>
            </w:r>
          </w:p>
        </w:tc>
        <w:tc>
          <w:tcPr>
            <w:tcW w:w="10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item</w:t>
            </w:r>
          </w:p>
        </w:tc>
        <w:tc>
          <w:tcPr>
            <w:tcW w:w="11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solo</w:t>
            </w:r>
          </w:p>
        </w:tc>
        <w:tc>
          <w:tcPr>
            <w:tcW w:w="12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curves</w:t>
            </w:r>
          </w:p>
        </w:tc>
        <w:tc>
          <w:tcPr>
            <w:tcW w:w="9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DP</w:t>
            </w:r>
          </w:p>
        </w:tc>
        <w:tc>
          <w:tcPr>
            <w:tcW w:w="12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realise</w:t>
            </w:r>
          </w:p>
        </w:tc>
        <w:tc>
          <w:tcPr>
            <w:tcW w:w="13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tổng chọn</w:t>
            </w:r>
          </w:p>
        </w:tc>
        <w:tc>
          <w:tcPr>
            <w:tcW w:w="11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curves %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yelp_paper_h01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57914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144.70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504.81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0.01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22.50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719.63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70.1%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yelp_paper_h01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14239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138.75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479.21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26.82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665.17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72.0%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yelp_paper_h01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29323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148.46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442.91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21.70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622.75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71.1%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digg_items_K20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2369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1.05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7.16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0.01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1.43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10.25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69.9%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digg_items_K20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1113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1.03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6.42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1.25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9.29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69.1%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digg_items_K20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535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7.68</w:t>
            </w:r>
          </w:p>
        </w:tc>
        <w:tc>
          <w:tcPr>
            <w:tcW w:w="9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0.01</w:t>
            </w:r>
          </w:p>
        </w:tc>
        <w:tc>
          <w:tcPr>
            <w:tcW w:w="12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1.68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11.12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69.1%</w:t>
            </w:r>
          </w:p>
        </w:tc>
      </w:tr>
    </w:tbl>
    <w:p>
      <w:pPr>
        <w:spacing w:before="0" w:after="160"/>
      </w:pPr>
    </w:p>
    <w:p>
      <w:pPr>
        <w:spacing w:before="0" w:after="200"/>
      </w:pPr>
      <w:r>
        <w:rPr>
          <w:i/>
          <w:color w:val="5A6673"/>
          <w:sz w:val="18"/>
          <w:szCs w:val="18"/>
        </w:rPr>
        <w:t xml:space="preserve">Bước quy hoạch động — phần đóng góp thuật toán thật sự của Algorithm 2 — tốn 0.00–0.01 s. Khoảng 70% chi phí nằm ở việc dựng đường cong lợi ích cho từng cộng đồng. Đó là pha duy nhất đáng tối ưu.</w:t>
      </w:r>
    </w:p>
    <w:p>
      <w:pPr>
        <w:pStyle w:val="Heading1"/>
        <w:keepNext/>
        <w:spacing w:before="200" w:after="140"/>
      </w:pPr>
      <w:r>
        <w:rPr>
          <w:b/>
        </w:rPr>
        <w:t xml:space="preserve">6. Độ phức tạp</w:t>
      </w:r>
    </w:p>
    <w:p>
      <w:pPr>
        <w:spacing w:before="0" w:after="120"/>
      </w:pPr>
      <w:r>
        <w:rPr>
          <w:b/>
        </w:rPr>
        <w:t xml:space="preserve">CTIM</w:t>
      </w:r>
      <w:r>
        <w:t xml:space="preserve"> — dựng n cây trên đồ thị con cảm sinh, nên kích thước cây trung bình t_c nhỏ: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r>
            <m:t xml:space="preserve">O</m:t>
          </m:r>
          <m:d>
            <m:dPr>
              <m:begChr m:val="("/>
              <m:endChr m:val=")"/>
            </m:dPr>
            <m:e>
              <m:r>
                <m:t xml:space="preserve">nC</m:t>
              </m:r>
            </m:e>
          </m:d>
          <m:r>
            <m:t xml:space="preserve"> +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c</m:t>
              </m:r>
            </m:sub>
            <m:sup/>
            <m:e>
              <m:r>
                <m:t xml:space="preserve">O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c</m:t>
                      </m:r>
                    </m:sub>
                  </m:sSub>
                  <m:r>
                    <m:t xml:space="preserve">·</m:t>
                  </m:r>
                  <m:sSub>
                    <m:e>
                      <m:r>
                        <m:t xml:space="preserve">t</m:t>
                      </m:r>
                    </m:e>
                    <m:sub>
                      <m:r>
                        <m:t xml:space="preserve">c</m:t>
                      </m:r>
                    </m:sub>
                  </m:sSub>
                  <m:r>
                    <m:t xml:space="preserve"> log </m:t>
                  </m:r>
                  <m:sSub>
                    <m:e>
                      <m:r>
                        <m:t xml:space="preserve">t</m:t>
                      </m:r>
                    </m:e>
                    <m:sub>
                      <m:r>
                        <m:t xml:space="preserve">c</m:t>
                      </m:r>
                    </m:sub>
                  </m:sSub>
                </m:e>
              </m:d>
            </m:e>
          </m:nary>
          <m:r>
            <m:t xml:space="preserve"> + O</m:t>
          </m:r>
          <m:d>
            <m:dPr>
              <m:begChr m:val="("/>
              <m:endChr m:val=")"/>
            </m:dPr>
            <m:e>
              <m:r>
                <m:t xml:space="preserve">CK</m:t>
              </m:r>
            </m:e>
          </m:d>
        </m:oMath>
      </m:oMathPara>
    </w:p>
    <w:p>
      <w:pPr>
        <w:spacing w:before="0" w:after="120"/>
      </w:pPr>
      <w:r>
        <w:rPr>
          <w:b/>
        </w:rPr>
        <w:t xml:space="preserve">CTIM-G</w:t>
      </w:r>
      <w:r>
        <w:t xml:space="preserve"> — dựng n cây trên đồ thị đầy đủ, nên t là kích thước trung bình toàn cục:</w:t>
      </w:r>
    </w:p>
    <w:p>
      <w:pPr>
        <w:spacing w:before="80" w:after="140"/>
        <w:jc w:val="center"/>
      </w:pPr>
      <m:oMathPara>
        <m:oMathParaPr>
          <m:jc m:val="center"/>
        </m:oMathParaPr>
        <m:oMath>
          <m:r>
            <m:t xml:space="preserve">O</m:t>
          </m:r>
          <m:d>
            <m:dPr>
              <m:begChr m:val="("/>
              <m:endChr m:val=")"/>
            </m:dPr>
            <m:e>
              <m:r>
                <m:t xml:space="preserve">n·t log t</m:t>
              </m:r>
            </m:e>
          </m:d>
          <m:r>
            <m:t xml:space="preserve"> + </m:t>
          </m:r>
          <m:nary>
            <m:naryPr>
              <m:chr m:val="∑"/>
              <m:limLoc m:val="undOvr"/>
              <m:supHide m:val="1"/>
            </m:naryPr>
            <m:sub>
              <m:r>
                <m:t xml:space="preserve">c</m:t>
              </m:r>
            </m:sub>
            <m:sup/>
            <m:e>
              <m:r>
                <m:t xml:space="preserve">O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c</m:t>
                      </m:r>
                    </m:sub>
                  </m:sSub>
                  <m:r>
                    <m:t xml:space="preserve">·t log t</m:t>
                  </m:r>
                </m:e>
              </m:d>
            </m:e>
          </m:nary>
          <m:r>
            <m:t xml:space="preserve"> + O</m:t>
          </m:r>
          <m:d>
            <m:dPr>
              <m:begChr m:val="("/>
              <m:endChr m:val=")"/>
            </m:dPr>
            <m:e>
              <m:r>
                <m:t xml:space="preserve">C</m:t>
              </m:r>
              <m:sSup>
                <m:e>
                  <m:r>
                    <m:t xml:space="preserve">K</m:t>
                  </m:r>
                </m:e>
                <m:sup>
                  <m:r>
                    <m:t xml:space="preserve">2</m:t>
                  </m:r>
                </m:sup>
              </m:sSup>
            </m:e>
          </m:d>
          <m:r>
            <m:t xml:space="preserve"> + O</m:t>
          </m:r>
          <m:d>
            <m:dPr>
              <m:begChr m:val="("/>
              <m:endChr m:val=")"/>
            </m:dPr>
            <m:e>
              <m:r>
                <m:t xml:space="preserve">K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</m:e>
          </m:d>
        </m:oMath>
      </m:oMathPara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1800"/>
        <w:gridCol w:w="1500"/>
        <w:gridCol w:w="1500"/>
        <w:gridCol w:w="1300"/>
        <w:gridCol w:w="1500"/>
        <w:gridCol w:w="1300"/>
        <w:gridCol w:w="1100"/>
      </w:tblGrid>
      <w:tr>
        <w:trPr>
          <w:tblHeader/>
        </w:trPr>
        <w:tc>
          <w:tcPr>
            <w:tcW w:w="1800" w:type="dxa"/>
            <w:shd w:val="clear" w:color="auto" w:fill="E8EEF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dataset</w:t>
            </w:r>
          </w:p>
        </w:tc>
        <w:tc>
          <w:tcPr>
            <w:tcW w:w="1500" w:type="dxa"/>
            <w:shd w:val="clear" w:color="auto" w:fill="E8EEF7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sz w:val="18"/>
                <w:szCs w:val="18"/>
              </w:rPr>
              <w:t xml:space="preserve">phương pháp</w:t>
            </w:r>
          </w:p>
        </w:tc>
        <w:tc>
          <w:tcPr>
            <w:tcW w:w="15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số cây dựng</w:t>
            </w:r>
          </w:p>
        </w:tc>
        <w:tc>
          <w:tcPr>
            <w:tcW w:w="13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kích thước TB</w:t>
            </w:r>
          </w:p>
        </w:tc>
        <w:tc>
          <w:tcPr>
            <w:tcW w:w="15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lần tính lợi ích</w:t>
            </w:r>
          </w:p>
        </w:tc>
        <w:tc>
          <w:tcPr>
            <w:tcW w:w="13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thời gian chọn</w:t>
            </w:r>
          </w:p>
        </w:tc>
        <w:tc>
          <w:tcPr>
            <w:tcW w:w="11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ms / cây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yelp_paper_h01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60.70 s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yelp_paper_h01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CTIM-G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476,264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11.9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3,221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669.18 s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1.405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digg_items_K20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3.67 s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digg_items_K20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>CTIM-G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35,651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w="15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4,620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10.22 s</w:t>
            </w:r>
          </w:p>
        </w:tc>
        <w:tc>
          <w:tcPr>
            <w:tcW w:w="11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0.287</w:t>
            </w:r>
          </w:p>
        </w:tc>
      </w:tr>
    </w:tbl>
    <w:p>
      <w:pPr>
        <w:spacing w:before="0" w:after="160"/>
      </w:pPr>
    </w:p>
    <w:p>
      <w:pPr>
        <w:ind w:left="280"/>
        <w:spacing w:before="0" w:after="80"/>
      </w:pPr>
      <w:r>
        <w:t xml:space="preserve">•  </w:t>
      </w:r>
      <w:r>
        <w:t xml:space="preserve">CTIM không có số đo vì </w:t>
      </w:r>
      <w:r>
        <w:rPr>
          <w:rFonts w:ascii="Consolas" w:hAnsi="Consolas"/>
        </w:rPr>
        <w:t xml:space="preserve">ctim_select_seeds</w:t>
      </w:r>
      <w:r>
        <w:t xml:space="preserve"> tự dựng đối tượng MIA bên trong, trình điều khiển không đọc được bộ đếm. Mọi tỉ lệ CTIM-G / CTIM ở đây là số đồng hồ, không có số đếm nguyên thủy đứng sau.</w:t>
      </w:r>
    </w:p>
    <w:p>
      <w:pPr>
        <w:ind w:left="280"/>
        <w:spacing w:before="0" w:after="80"/>
      </w:pPr>
      <w:r>
        <w:t xml:space="preserve">•  </w:t>
      </w:r>
      <w:r>
        <w:t xml:space="preserve">Số cây dựng không phải thước chi phí đáng tin. Đo riêng: CTIM-G dựng nhiều hơn GlobalGreedy khoảng 17% số cây, kích thước lớn hơn, nhưng vẫn chạy nhanh hơn 4.8 lần.</w:t>
      </w:r>
    </w:p>
    <w:p>
      <w:pPr>
        <w:pStyle w:val="Heading1"/>
        <w:keepNext/>
        <w:spacing w:before="200" w:after="140"/>
      </w:pPr>
      <w:r>
        <w:rPr>
          <w:b/>
        </w:rPr>
        <w:t xml:space="preserve">7. Hạn chế cần nêu kèm số liệu</w:t>
      </w:r>
    </w:p>
    <w:p>
      <w:pPr>
        <w:pStyle w:val="Heading2"/>
        <w:keepNext/>
        <w:spacing w:before="280" w:after="140"/>
      </w:pPr>
      <w:r>
        <w:rPr>
          <w:b/>
        </w:rPr>
        <w:t xml:space="preserve">7.1. Độ lệch chuẩn bằng 0 không phải bằng chứng về tính bền</w:t>
      </w:r>
    </w:p>
    <w:p>
      <w:pPr>
        <w:spacing w:before="0" w:after="120"/>
      </w:pPr>
      <w:r>
        <w:t xml:space="preserve">Trên cả hai dataset, khoảng cách giữa hai phương pháp có sd = 0.00 qua các sản phẩm. Đó là tính tái lập, không phải tính bền: các sản phẩm sinh ra gần như cùng một đồ thị lan truyền. Bằng chứng lấy thẳng từ log — phân bổ ngân sách giống hệt, số cây dựng giống hệt, dp_value chỉ lệch ở chữ số có nghĩa thứ tư.</w:t>
      </w:r>
    </w:p>
    <w:p>
      <w:pPr>
        <w:spacing w:before="0" w:after="120"/>
      </w:pPr>
      <w:r>
        <w:t xml:space="preserve">Nguyên nhân, đo trên </w:t>
      </w:r>
      <w:r>
        <w:rPr>
          <w:rFonts w:ascii="Consolas" w:hAnsi="Consolas"/>
        </w:rPr>
        <w:t xml:space="preserve">data/processed/_calib_model.pkl</w:t>
      </w:r>
      <w:r>
        <w:t xml:space="preserve">: θ̄[i,c] là số hạng duy nhất phụ thuộc sản phẩm trong Eq (12), mà θ gần đều, nên θ̄[i,c] ≈ 1/Z = 0.125 với mọi cộng đồng và mọi sản phẩm.</w:t>
      </w:r>
    </w:p>
    <w:tbl>
      <w:tblPr>
        <w:tblW w:w="0" w:type="auto"/>
        <w:tblBorders>
          <w:top w:val="single" w:sz="4" w:color="9BA7B4"/>
          <w:left w:val="single" w:sz="4" w:color="9BA7B4"/>
          <w:bottom w:val="single" w:sz="4" w:color="9BA7B4"/>
          <w:right w:val="single" w:sz="4" w:color="9BA7B4"/>
          <w:insideH w:val="single" w:sz="4" w:color="C9D2DC"/>
          <w:insideV w:val="single" w:sz="4" w:color="C9D2DC"/>
        </w:tblBorders>
        <w:tblLayout w:type="fixed"/>
        <w:tblCellMar>
          <w:left w:w="80" w:type="dxa"/>
          <w:right w:w="80" w:type="dxa"/>
        </w:tblCellMar>
      </w:tblPr>
      <w:tblGrid>
        <w:gridCol w:w="1600"/>
        <w:gridCol w:w="1800"/>
        <w:gridCol w:w="1800"/>
      </w:tblGrid>
      <w:tr>
        <w:trPr>
          <w:tblHeader/>
        </w:trPr>
        <w:tc>
          <w:tcPr>
            <w:tcW w:w="16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sản phẩm</w:t>
            </w:r>
          </w:p>
        </w:tc>
        <w:tc>
          <w:tcPr>
            <w:tcW w:w="18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min θ̄</w:t>
            </w:r>
          </w:p>
        </w:tc>
        <w:tc>
          <w:tcPr>
            <w:tcW w:w="1800" w:type="dxa"/>
            <w:shd w:val="clear" w:color="auto" w:fill="E8EEF7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max θ̄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2369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0.12480559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0.12516908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1113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0.12483403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0.12516543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535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0.12489347</w:t>
            </w:r>
          </w:p>
        </w:tc>
        <w:tc>
          <w:tcPr>
            <w:tcW w:w="180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0.12514094</w:t>
            </w:r>
          </w:p>
        </w:tc>
      </w:tr>
    </w:tbl>
    <w:p>
      <w:pPr>
        <w:spacing w:before="0" w:after="160"/>
      </w:pPr>
    </w:p>
    <w:p>
      <w:pPr>
        <w:spacing w:before="0" w:after="200"/>
      </w:pPr>
      <w:r>
        <w:rPr>
          <w:i/>
          <w:color w:val="5A6673"/>
          <w:sz w:val="18"/>
          <w:szCs w:val="18"/>
        </w:rPr>
        <w:t xml:space="preserve">Biên độ của θ̄ qua các sản phẩm: trung vị 0.052%, lớn nhất 0.268% trên 100 cộng đồng. Hệ quả: mọi bảng kết quả lấy trung bình qua sản phẩm để tăng độ tin cậy đều rỗng vì cùng lý do này.</w:t>
      </w:r>
    </w:p>
    <w:p>
      <w:pPr>
        <w:pStyle w:val="Heading2"/>
        <w:keepNext/>
        <w:spacing w:before="280" w:after="140"/>
      </w:pPr>
      <w:r>
        <w:rPr>
          <w:b/>
        </w:rPr>
        <w:t xml:space="preserve">7.2. Những phép kiểm chưa chạy</w:t>
      </w:r>
    </w:p>
    <w:p>
      <w:pPr>
        <w:ind w:left="280"/>
        <w:spacing w:before="0" w:after="80"/>
      </w:pPr>
      <w:r>
        <w:t xml:space="preserve">•  </w:t>
      </w:r>
      <w:r>
        <w:t xml:space="preserve">Mô phỏng Monte-Carlo IC trên Yelp — trọng tài duy nhất không dùng chung bộ máy với MIA, nên là phép kiểm duy nhất gỡ được tính vòng luẩn quẩn nêu ở mục 3.</w:t>
      </w:r>
    </w:p>
    <w:p>
      <w:pPr>
        <w:ind w:left="280"/>
        <w:spacing w:before="0" w:after="80"/>
      </w:pPr>
      <w:r>
        <w:t xml:space="preserve">•  </w:t>
      </w:r>
      <w:r>
        <w:t xml:space="preserve">Chấm lại ở một ngưỡng thấp hơn 0.0156 trên Yelp — dưới mức đó đường 2 bước mới được tính vào, và điểm số mới thôi trùng với ngưỡng đã dùng để chọn.</w:t>
      </w:r>
    </w:p>
    <w:p>
      <w:pPr>
        <w:ind w:left="280"/>
        <w:spacing w:before="0" w:after="80"/>
      </w:pPr>
      <w:r>
        <w:t xml:space="preserve">•  </w:t>
      </w:r>
      <w:r>
        <w:t xml:space="preserve">GlobalGreedy trên Yelp ở cùng giao thức — để biết CTIM-G đã khép được bao nhiêu phần khoảng cách so với tham lam toàn cục.</w:t>
      </w:r>
    </w:p>
    <w:p>
      <w:pPr>
        <w:pStyle w:val="Heading1"/>
        <w:keepNext/>
        <w:spacing w:before="200" w:after="140"/>
      </w:pPr>
      <w:r>
        <w:rPr>
          <w:b/>
        </w:rPr>
        <w:t xml:space="preserve">8. Tái lập</w:t>
      </w:r>
    </w:p>
    <w:p>
      <w:pPr>
        <w:ind w:left="280"/>
        <w:spacing w:before="0" w:after="0"/>
      </w:pPr>
      <w:r>
        <w:rPr>
          <w:rFonts w:ascii="Consolas" w:hAnsi="Consolas"/>
          <w:sz w:val="16"/>
          <w:szCs w:val="16"/>
        </w:rPr>
        <w:t xml:space="preserve">python3 -u scripts/run_ctim_global.py \</w:t>
      </w:r>
    </w:p>
    <w:p>
      <w:pPr>
        <w:ind w:left="280"/>
        <w:spacing w:before="0" w:after="0"/>
      </w:pPr>
      <w:r>
        <w:rPr>
          <w:rFonts w:ascii="Consolas" w:hAnsi="Consolas"/>
          <w:sz w:val="16"/>
          <w:szCs w:val="16"/>
        </w:rPr>
        <w:t xml:space="preserve">    --dataset data/processed/yelp \</w:t>
      </w:r>
    </w:p>
    <w:p>
      <w:pPr>
        <w:ind w:left="280"/>
        <w:spacing w:before="0" w:after="0"/>
      </w:pPr>
      <w:r>
        <w:rPr>
          <w:rFonts w:ascii="Consolas" w:hAnsi="Consolas"/>
          <w:sz w:val="16"/>
          <w:szCs w:val="16"/>
        </w:rPr>
        <w:t xml:space="preserve">    --cache   data/processed/_yelp_model.pkl \</w:t>
      </w:r>
    </w:p>
    <w:p>
      <w:pPr>
        <w:ind w:left="280"/>
        <w:spacing w:before="0" w:after="0"/>
      </w:pPr>
      <w:r>
        <w:rPr>
          <w:rFonts w:ascii="Consolas" w:hAnsi="Consolas"/>
          <w:sz w:val="16"/>
          <w:szCs w:val="16"/>
        </w:rPr>
        <w:t xml:space="preserve">    --K 20 --h 0.1 --paper-eval \</w:t>
      </w:r>
    </w:p>
    <w:p>
      <w:pPr>
        <w:ind w:left="280"/>
        <w:spacing w:before="0" w:after="0"/>
      </w:pPr>
      <w:r>
        <w:rPr>
          <w:rFonts w:ascii="Consolas" w:hAnsi="Consolas"/>
          <w:sz w:val="16"/>
          <w:szCs w:val="16"/>
        </w:rPr>
        <w:t xml:space="preserve">    --items all --methods "CTIM,CTIM-G" \</w:t>
      </w:r>
    </w:p>
    <w:p>
      <w:pPr>
        <w:ind w:left="280"/>
        <w:spacing w:before="0" w:after="0"/>
      </w:pPr>
      <w:r>
        <w:rPr>
          <w:rFonts w:ascii="Consolas" w:hAnsi="Consolas"/>
          <w:sz w:val="16"/>
          <w:szCs w:val="16"/>
        </w:rPr>
        <w:t xml:space="preserve">    --mc 0 --probe-sample 0 | tee yelp_paper_h01.log</w:t>
      </w:r>
    </w:p>
    <w:p>
      <w:pPr>
        <w:ind w:left="280"/>
        <w:spacing w:before="0" w:after="0"/>
      </w:pPr>
      <w:r>
        <w:rPr>
          <w:rFonts w:ascii="Consolas" w:hAnsi="Consolas"/>
          <w:sz w:val="16"/>
          <w:szCs w:val="16"/>
        </w:rPr>
        <w:t xml:space="preserve"/>
      </w:r>
    </w:p>
    <w:p>
      <w:pPr>
        <w:ind w:left="280"/>
        <w:spacing w:before="0" w:after="0"/>
      </w:pPr>
      <w:r>
        <w:rPr>
          <w:rFonts w:ascii="Consolas" w:hAnsi="Consolas"/>
          <w:sz w:val="16"/>
          <w:szCs w:val="16"/>
        </w:rPr>
        <w:t xml:space="preserve">python scripts/export_docx.py --log yelp_paper_h01.log \</w:t>
      </w:r>
    </w:p>
    <w:p>
      <w:pPr>
        <w:ind w:left="280"/>
        <w:spacing w:before="0" w:after="0"/>
      </w:pPr>
      <w:r>
        <w:rPr>
          <w:rFonts w:ascii="Consolas" w:hAnsi="Consolas"/>
          <w:sz w:val="16"/>
          <w:szCs w:val="16"/>
        </w:rPr>
        <w:t xml:space="preserve">    --log digg_items_K20.log --methods CTIM,CTIM-G \</w:t>
      </w:r>
    </w:p>
    <w:p>
      <w:pPr>
        <w:ind w:left="280"/>
        <w:spacing w:before="0" w:after="0"/>
      </w:pPr>
      <w:r>
        <w:rPr>
          <w:rFonts w:ascii="Consolas" w:hAnsi="Consolas"/>
          <w:sz w:val="16"/>
          <w:szCs w:val="16"/>
        </w:rPr>
        <w:t xml:space="preserve">    --out results/ctim_vs_ctimg.docx</w:t>
      </w:r>
    </w:p>
    <w:sectPr>
      <w:pgSz w:w="11906" w:h="16838"/>
      <w:pgMar w:top="1134" w:right="1021" w:bottom="1134" w:left="102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vi-VN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40"/>
      <w:szCs w:val="40"/>
      <w:color w:val="1F3864"/>
    </w:rPr>
  </w:style>
  <w:style w:type="paragraph" w:styleId="Heading1">
    <w:name w:val="heading 1"/>
    <w:rPr>
      <w:b/>
      <w:sz w:val="30"/>
      <w:szCs w:val="30"/>
      <w:color w:val="1F3864"/>
    </w:rPr>
  </w:style>
  <w:style w:type="paragraph" w:styleId="Heading2">
    <w:name w:val="heading 2"/>
    <w:rPr>
      <w:b/>
      <w:sz w:val="25"/>
      <w:szCs w:val="25"/>
      <w:color w:val="2E5395"/>
    </w:rPr>
  </w:style>
  <w:style w:type="paragraph" w:styleId="Heading3">
    <w:name w:val="heading 3"/>
    <w:rPr>
      <w:b/>
      <w:sz w:val="22"/>
      <w:szCs w:val="22"/>
      <w:color w:val="2E539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