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Computing</w:t>
      </w:r>
      <w:r>
        <w:t xml:space="preserve"> </w:t>
      </w:r>
      <w:r>
        <w:t xml:space="preserve">a</w:t>
      </w:r>
      <w:r>
        <w:t xml:space="preserve"> </w:t>
      </w:r>
      <w:r>
        <w:t xml:space="preserve">SPFI</w:t>
      </w:r>
      <w:r>
        <w:t xml:space="preserve"> </w:t>
      </w:r>
      <w:r>
        <w:t xml:space="preserve">and</w:t>
      </w:r>
      <w:r>
        <w:t xml:space="preserve"> </w:t>
      </w:r>
      <w:r>
        <w:t xml:space="preserve">SPFI-derived</w:t>
      </w:r>
      <w:r>
        <w:t xml:space="preserve"> </w:t>
      </w:r>
      <w:r>
        <w:t xml:space="preserve">FPA</w:t>
      </w:r>
      <w:r>
        <w:t xml:space="preserve"> </w:t>
      </w:r>
      <w:r>
        <w:t xml:space="preserve">file</w:t>
      </w:r>
    </w:p>
    <w:p>
      <w:pPr>
        <w:pStyle w:val="Date"/>
      </w:pPr>
      <w:r>
        <w:t xml:space="preserve">Last</w:t>
      </w:r>
      <w:r>
        <w:t xml:space="preserve"> </w:t>
      </w:r>
      <w:r>
        <w:t xml:space="preserve">updated</w:t>
      </w:r>
      <w:r>
        <w:t xml:space="preserve"> </w:t>
      </w:r>
      <w:r>
        <w:t xml:space="preserve">on</w:t>
      </w:r>
      <w:r>
        <w:t xml:space="preserve"> </w:t>
      </w:r>
      <w:r>
        <w:t xml:space="preserve">October</w:t>
      </w:r>
      <w:r>
        <w:t xml:space="preserve"> </w:t>
      </w:r>
      <w:r>
        <w:t xml:space="preserve">3,</w:t>
      </w:r>
      <w:r>
        <w:t xml:space="preserve"> </w:t>
      </w:r>
      <w:r>
        <w:t xml:space="preserve">2018</w:t>
      </w:r>
    </w:p>
    <w:p>
      <w:pPr>
        <w:pStyle w:val="Heading1"/>
      </w:pPr>
      <w:bookmarkStart w:id="21" w:name="spfi-to-fpa-inputs"/>
      <w:bookmarkEnd w:id="21"/>
      <w:r>
        <w:t xml:space="preserve">SPFI to FPA Inputs</w:t>
      </w:r>
    </w:p>
    <w:p>
      <w:pPr>
        <w:pStyle w:val="Heading2"/>
      </w:pPr>
      <w:bookmarkStart w:id="22" w:name="program-flow"/>
      <w:bookmarkEnd w:id="22"/>
      <w:r>
        <w:t xml:space="preserve">Program flow</w:t>
      </w:r>
    </w:p>
    <w:p>
      <w:pPr>
        <w:pStyle w:val="FirstParagraph"/>
      </w:pPr>
      <w:r>
        <w:t xml:space="preserve">Note the following order of operations:</w:t>
      </w:r>
      <w:r>
        <w:t xml:space="preserve"> </w:t>
      </w:r>
      <w:r>
        <w:t xml:space="preserve">1. Read in HRJ data</w:t>
      </w:r>
      <w:r>
        <w:t xml:space="preserve"> </w:t>
      </w:r>
      <w:r>
        <w:t xml:space="preserve">2. Create a SPFI Input Object</w:t>
      </w:r>
      <w:r>
        <w:t xml:space="preserve"> </w:t>
      </w:r>
      <w:r>
        <w:t xml:space="preserve">a. Stock and ages to include in the index</w:t>
      </w:r>
      <w:r>
        <w:t xml:space="preserve"> </w:t>
      </w:r>
      <w:r>
        <w:t xml:space="preserve">b. Catch time series by SPFI fishery strata</w:t>
      </w:r>
      <w:r>
        <w:t xml:space="preserve"> </w:t>
      </w:r>
      <w:r>
        <w:t xml:space="preserve">c. ERA fisheries that are to be used to compute the SPFI</w:t>
      </w:r>
      <w:r>
        <w:t xml:space="preserve"> </w:t>
      </w:r>
      <w:r>
        <w:t xml:space="preserve">d. Define the SPFI fishery strata</w:t>
      </w:r>
      <w:r>
        <w:t xml:space="preserve"> </w:t>
      </w:r>
      <w:r>
        <w:t xml:space="preserve">3. Read in model fishery definitions</w:t>
      </w:r>
      <w:r>
        <w:t xml:space="preserve"> </w:t>
      </w:r>
      <w:r>
        <w:t xml:space="preserve">4. Read in STK file (depends on 2)</w:t>
      </w:r>
      <w:r>
        <w:t xml:space="preserve"> </w:t>
      </w:r>
      <w:r>
        <w:t xml:space="preserve">5. Read in MDL files (depends on 3)</w:t>
      </w:r>
    </w:p>
    <w:p>
      <w:pPr>
        <w:pStyle w:val="Figure"/>
      </w:pPr>
      <w:r>
        <w:drawing>
          <wp:inline>
            <wp:extent cx="5334000" cy="5118828"/>
            <wp:effectExtent b="0" l="0" r="0" t="0"/>
            <wp:docPr descr="" title="" id="1" name="Picture"/>
            <a:graphic>
              <a:graphicData uri="http://schemas.openxmlformats.org/drawingml/2006/picture">
                <pic:pic>
                  <pic:nvPicPr>
                    <pic:cNvPr descr="C:/zWork/ctc-psc/SPFI/Report/SPFIandSPFItoFPDataNeeds.jpg" id="0" name="Picture"/>
                    <pic:cNvPicPr>
                      <a:picLocks noChangeArrowheads="1" noChangeAspect="1"/>
                    </pic:cNvPicPr>
                  </pic:nvPicPr>
                  <pic:blipFill>
                    <a:blip r:embed="rId23"/>
                    <a:stretch>
                      <a:fillRect/>
                    </a:stretch>
                  </pic:blipFill>
                  <pic:spPr bwMode="auto">
                    <a:xfrm>
                      <a:off x="0" y="0"/>
                      <a:ext cx="5334000" cy="5118828"/>
                    </a:xfrm>
                    <a:prstGeom prst="rect">
                      <a:avLst/>
                    </a:prstGeom>
                    <a:noFill/>
                    <a:ln w="9525">
                      <a:noFill/>
                      <a:headEnd/>
                      <a:tailEnd/>
                    </a:ln>
                  </pic:spPr>
                </pic:pic>
              </a:graphicData>
            </a:graphic>
          </wp:inline>
        </w:drawing>
      </w:r>
    </w:p>
    <w:p>
      <w:pPr>
        <w:pStyle w:val="Heading2"/>
      </w:pPr>
      <w:bookmarkStart w:id="24" w:name="hrj-data"/>
      <w:bookmarkEnd w:id="24"/>
      <w:r>
        <w:t xml:space="preserve">HRJ Data</w:t>
      </w:r>
    </w:p>
    <w:p>
      <w:pPr>
        <w:pStyle w:val="FirstParagraph"/>
      </w:pPr>
      <w:r>
        <w:t xml:space="preserve">The SPFI is computed using output from the CTC’s exploitation rate analysis program CoShak12. The core data needed for SPFI computations are saved in what are called HRJ files. Data from HRJ files can be obtained in one of two ways: from a HRJ database or from the list of HRJ files used to create the HRJ database. For this example I will use the latter, but note that both options are available.</w:t>
      </w:r>
    </w:p>
    <w:p>
      <w:pPr>
        <w:pStyle w:val="SourceCode"/>
      </w:pPr>
      <w:r>
        <w:rPr>
          <w:rStyle w:val="CommentTok"/>
        </w:rPr>
        <w:t xml:space="preserve">#Read in HRJ files in a directory</w:t>
      </w:r>
      <w:r>
        <w:br w:type="textWrapping"/>
      </w:r>
      <w:r>
        <w:rPr>
          <w:rStyle w:val="NormalTok"/>
        </w:rPr>
        <w:t xml:space="preserve"> by=</w:t>
      </w:r>
      <w:r>
        <w:rPr>
          <w:rStyle w:val="KeywordTok"/>
        </w:rPr>
        <w:t xml:space="preserve">readHRJdir</w:t>
      </w:r>
      <w:r>
        <w:rPr>
          <w:rStyle w:val="NormalTok"/>
        </w:rPr>
        <w:t xml:space="preserve">(</w:t>
      </w:r>
      <w:r>
        <w:rPr>
          <w:rStyle w:val="StringTok"/>
        </w:rPr>
        <w:t xml:space="preserve">"Data/HRJ/2018"</w:t>
      </w:r>
      <w:r>
        <w:rPr>
          <w:rStyle w:val="NormalTok"/>
        </w:rPr>
        <w:t xml:space="preserve">, </w:t>
      </w:r>
      <w:r>
        <w:rPr>
          <w:rStyle w:val="DataTypeTok"/>
        </w:rPr>
        <w:t xml:space="preserve">nFisheries=</w:t>
      </w:r>
      <w:r>
        <w:rPr>
          <w:rStyle w:val="DecValTok"/>
        </w:rPr>
        <w:t xml:space="preserve">79</w:t>
      </w:r>
      <w:r>
        <w:rPr>
          <w:rStyle w:val="NormalTok"/>
        </w:rPr>
        <w:t xml:space="preserve">, </w:t>
      </w:r>
      <w:r>
        <w:rPr>
          <w:rStyle w:val="DataTypeTok"/>
        </w:rPr>
        <w:t xml:space="preserve">straysinescap=</w:t>
      </w:r>
      <w:r>
        <w:rPr>
          <w:rStyle w:val="OtherTok"/>
        </w:rPr>
        <w:t xml:space="preserve">TRUE</w:t>
      </w:r>
      <w:r>
        <w:rPr>
          <w:rStyle w:val="NormalTok"/>
        </w:rPr>
        <w:t xml:space="preserve">, </w:t>
      </w:r>
      <w:r>
        <w:rPr>
          <w:rStyle w:val="DataTypeTok"/>
        </w:rPr>
        <w:t xml:space="preserve">Age6=</w:t>
      </w:r>
      <w:r>
        <w:rPr>
          <w:rStyle w:val="StringTok"/>
        </w:rPr>
        <w:t xml:space="preserve">"include"</w:t>
      </w:r>
      <w:r>
        <w:rPr>
          <w:rStyle w:val="NormalTok"/>
        </w:rPr>
        <w:t xml:space="preserve">)</w:t>
      </w:r>
      <w:r>
        <w:br w:type="textWrapping"/>
      </w:r>
      <w:r>
        <w:rPr>
          <w:rStyle w:val="CommentTok"/>
        </w:rPr>
        <w:t xml:space="preserve">#Convert to CY layout</w:t>
      </w:r>
      <w:r>
        <w:br w:type="textWrapping"/>
      </w:r>
      <w:r>
        <w:rPr>
          <w:rStyle w:val="NormalTok"/>
        </w:rPr>
        <w:t xml:space="preserve"> cy=</w:t>
      </w:r>
      <w:r>
        <w:rPr>
          <w:rStyle w:val="KeywordTok"/>
        </w:rPr>
        <w:t xml:space="preserve">convertHRJ_BYtoCY</w:t>
      </w:r>
      <w:r>
        <w:rPr>
          <w:rStyle w:val="NormalTok"/>
        </w:rPr>
        <w:t xml:space="preserve">(by)</w:t>
      </w:r>
      <w:r>
        <w:br w:type="textWrapping"/>
      </w:r>
      <w:r>
        <w:rPr>
          <w:rStyle w:val="CommentTok"/>
        </w:rPr>
        <w:t xml:space="preserve">#Convert HRJ from R to Access format</w:t>
      </w:r>
      <w:r>
        <w:br w:type="textWrapping"/>
      </w:r>
      <w:r>
        <w:rPr>
          <w:rStyle w:val="NormalTok"/>
        </w:rPr>
        <w:t xml:space="preserve"> z.cy=</w:t>
      </w:r>
      <w:r>
        <w:rPr>
          <w:rStyle w:val="KeywordTok"/>
        </w:rPr>
        <w:t xml:space="preserve">convertHRJ_RtoAccess</w:t>
      </w:r>
      <w:r>
        <w:rPr>
          <w:rStyle w:val="NormalTok"/>
        </w:rPr>
        <w:t xml:space="preserve">(cy)</w:t>
      </w:r>
      <w:r>
        <w:br w:type="textWrapping"/>
      </w:r>
      <w:r>
        <w:rPr>
          <w:rStyle w:val="CommentTok"/>
        </w:rPr>
        <w:t xml:space="preserve">#add the 'preferred' table to the Access format</w:t>
      </w:r>
      <w:r>
        <w:br w:type="textWrapping"/>
      </w:r>
      <w:r>
        <w:rPr>
          <w:rStyle w:val="NormalTok"/>
        </w:rPr>
        <w:t xml:space="preserve"> z.cy =</w:t>
      </w:r>
      <w:r>
        <w:rPr>
          <w:rStyle w:val="StringTok"/>
        </w:rPr>
        <w:t xml:space="preserve"> </w:t>
      </w:r>
      <w:r>
        <w:rPr>
          <w:rStyle w:val="KeywordTok"/>
        </w:rPr>
        <w:t xml:space="preserve">addPTableHRJ</w:t>
      </w:r>
      <w:r>
        <w:rPr>
          <w:rStyle w:val="NormalTok"/>
        </w:rPr>
        <w:t xml:space="preserve">(z.cy, </w:t>
      </w:r>
      <w:r>
        <w:rPr>
          <w:rStyle w:val="DataTypeTok"/>
        </w:rPr>
        <w:t xml:space="preserve">hrjclass =</w:t>
      </w:r>
      <w:r>
        <w:rPr>
          <w:rStyle w:val="NormalTok"/>
        </w:rPr>
        <w:t xml:space="preserve"> </w:t>
      </w:r>
      <w:r>
        <w:rPr>
          <w:rStyle w:val="StringTok"/>
        </w:rPr>
        <w:t xml:space="preserve">"Access"</w:t>
      </w:r>
      <w:r>
        <w:rPr>
          <w:rStyle w:val="NormalTok"/>
        </w:rPr>
        <w:t xml:space="preserve">)</w:t>
      </w:r>
    </w:p>
    <w:p>
      <w:pPr>
        <w:pStyle w:val="Heading2"/>
      </w:pPr>
      <w:bookmarkStart w:id="25" w:name="spfi"/>
      <w:bookmarkEnd w:id="25"/>
      <w:r>
        <w:t xml:space="preserve">SPFI</w:t>
      </w:r>
    </w:p>
    <w:p>
      <w:pPr>
        <w:pStyle w:val="Heading2"/>
      </w:pPr>
      <w:bookmarkStart w:id="26" w:name="spfi-1"/>
      <w:bookmarkEnd w:id="26"/>
      <w:r>
        <w:t xml:space="preserve">SPFI</w:t>
      </w:r>
    </w:p>
    <w:p>
      <w:pPr>
        <w:pStyle w:val="FirstParagraph"/>
      </w:pPr>
      <w:r>
        <w:t xml:space="preserve">SPFI output.</w:t>
      </w:r>
    </w:p>
    <w:p>
      <w:pPr>
        <w:pStyle w:val="Heading2"/>
      </w:pPr>
      <w:bookmarkStart w:id="27" w:name="model-fishery-definitions"/>
      <w:bookmarkEnd w:id="27"/>
      <w:r>
        <w:t xml:space="preserve">Model fishery definitions</w:t>
      </w:r>
    </w:p>
    <w:p>
      <w:pPr>
        <w:pStyle w:val="FirstParagraph"/>
      </w:pPr>
      <w:r>
        <w:t xml:space="preserve">File contains just the names of the model fisheries. Note that fishery names can’t have spaces in it because fishery names are used to reference. You will need this file prior to reading in the STK file.</w:t>
      </w:r>
    </w:p>
    <w:p>
      <w:pPr>
        <w:pStyle w:val="Heading2"/>
      </w:pPr>
      <w:bookmarkStart w:id="28" w:name="stk"/>
      <w:bookmarkEnd w:id="28"/>
      <w:r>
        <w:t xml:space="preserve">STK</w:t>
      </w:r>
    </w:p>
    <w:p>
      <w:pPr>
        <w:pStyle w:val="FirstParagraph"/>
      </w:pPr>
      <w:r>
        <w:t xml:space="preserve">STK file as generated by the base period calibration program.</w:t>
      </w:r>
    </w:p>
    <w:p>
      <w:pPr>
        <w:pStyle w:val="Heading2"/>
      </w:pPr>
      <w:bookmarkStart w:id="29" w:name="mdl"/>
      <w:bookmarkEnd w:id="29"/>
      <w:r>
        <w:t xml:space="preserve">MDL</w:t>
      </w:r>
    </w:p>
    <w:p>
      <w:pPr>
        <w:pStyle w:val="FirstParagraph"/>
      </w:pPr>
      <w:r>
        <w:t xml:space="preserve">MDL files as generated from CoShak4 and/or summarized MDL recovery data both in terms of the SPFI-fishery strata.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bcbb5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Computing a SPFI and SPFI-derived FPA file</dc:title>
  <dc:creator/>
  <dcterms:created xsi:type="dcterms:W3CDTF">2018-10-03T19:17:49Z</dcterms:created>
  <dcterms:modified xsi:type="dcterms:W3CDTF">2018-10-03T19:17:49Z</dcterms:modified>
</cp:coreProperties>
</file>