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6263" cy="3739977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739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numPr>
          <w:ilvl w:val="0"/>
          <w:numId w:val="8"/>
        </w:numPr>
        <w:spacing w:line="276" w:lineRule="auto"/>
        <w:ind w:left="360"/>
        <w:jc w:val="both"/>
        <w:rPr>
          <w:rFonts w:ascii="Times New Roman" w:cs="Times New Roman" w:eastAsia="Times New Roman" w:hAnsi="Times New Roman"/>
        </w:rPr>
      </w:pPr>
      <w:bookmarkStart w:colFirst="0" w:colLast="0" w:name="_3znysh7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1. The flowchart of patient selection criteria and study design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qwhp6we4ba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vfmzcvbxax7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510.000000000002" w:type="dxa"/>
        <w:jc w:val="left"/>
        <w:tblLayout w:type="fixed"/>
        <w:tblLook w:val="0600"/>
      </w:tblPr>
      <w:tblGrid>
        <w:gridCol w:w="1902.0000000000002"/>
        <w:gridCol w:w="1902.0000000000002"/>
        <w:gridCol w:w="1902.0000000000002"/>
        <w:gridCol w:w="1902.0000000000002"/>
        <w:gridCol w:w="1902.0000000000002"/>
        <w:tblGridChange w:id="0">
          <w:tblGrid>
            <w:gridCol w:w="1902.0000000000002"/>
            <w:gridCol w:w="1902.0000000000002"/>
            <w:gridCol w:w="1902.0000000000002"/>
            <w:gridCol w:w="1902.0000000000002"/>
            <w:gridCol w:w="1902.0000000000002"/>
          </w:tblGrid>
        </w:tblGridChange>
      </w:tblGrid>
      <w:tr>
        <w:trPr>
          <w:cantSplit w:val="0"/>
          <w:trHeight w:val="26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2691.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062038" cy="1325111"/>
                  <wp:effectExtent b="0" l="0" r="0" t="0"/>
                  <wp:docPr id="7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038" cy="13251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071563" cy="1334399"/>
                  <wp:effectExtent b="0" l="0" r="0" t="0"/>
                  <wp:docPr id="16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9"/>
                          <a:srcRect b="441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3" cy="13343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055008" cy="1324142"/>
                  <wp:effectExtent b="0" l="0" r="0" t="0"/>
                  <wp:docPr id="6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008" cy="13241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070828" cy="1333667"/>
                  <wp:effectExtent b="0" l="0" r="0" t="0"/>
                  <wp:docPr id="1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1"/>
                          <a:srcRect b="4314" l="4629" r="4299" t="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828" cy="13336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062597" cy="1333667"/>
                  <wp:effectExtent b="0" l="0" r="0" t="0"/>
                  <wp:docPr id="11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2"/>
                          <a:srcRect b="10482" l="3859" r="5044" t="4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597" cy="13336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numPr>
          <w:ilvl w:val="0"/>
          <w:numId w:val="8"/>
        </w:numPr>
        <w:spacing w:line="276" w:lineRule="auto"/>
        <w:ind w:left="360"/>
        <w:jc w:val="both"/>
        <w:rPr>
          <w:rFonts w:ascii="Times New Roman" w:cs="Times New Roman" w:eastAsia="Times New Roman" w:hAnsi="Times New Roman"/>
        </w:rPr>
      </w:pPr>
      <w:bookmarkStart w:colFirst="0" w:colLast="0" w:name="_2et92p0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1. Criteria of the severity scoring system of the chest X-rays. 1 for normal lung; 2 for hyperinflation and/or bronchial wall thickening; 3 for focal alveolar consolidation limited in a single lobe; 4 for multifocal consolidation; 5 for diffuse alveolar consolidation and/or pleural effusion involving the upper lobe on at least one lung.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8741" cy="7862888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741" cy="786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line="276" w:lineRule="auto"/>
        <w:ind w:left="360"/>
        <w:rPr>
          <w:rFonts w:ascii="Times New Roman" w:cs="Times New Roman" w:eastAsia="Times New Roman" w:hAnsi="Times New Roman"/>
        </w:rPr>
      </w:pPr>
      <w:bookmarkStart w:colFirst="0" w:colLast="0" w:name="_tyjcwt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2. The framework of developing prognosis prediction systems for influenza patients.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4305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line="360" w:lineRule="auto"/>
        <w:ind w:left="360"/>
        <w:jc w:val="both"/>
        <w:rPr>
          <w:rFonts w:ascii="Times New Roman" w:cs="Times New Roman" w:eastAsia="Times New Roman" w:hAnsi="Times New Roman"/>
        </w:rPr>
      </w:pPr>
      <w:bookmarkStart w:colFirst="0" w:colLast="0" w:name="_3dy6vkm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3. The illustration of early fusion and late fusion model in this study. * indicates the prediction of patient severity without using the chest X-ray images. SVC stands for support vector classifier, ML stands for machine learning.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8el0qmxrvky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jx6s4nl02ok" w:id="7"/>
      <w:bookmarkEnd w:id="7"/>
      <w:r w:rsidDel="00000000" w:rsidR="00000000" w:rsidRPr="00000000">
        <w:rPr>
          <w:rtl w:val="0"/>
        </w:rPr>
      </w:r>
    </w:p>
    <w:tbl>
      <w:tblPr>
        <w:tblStyle w:val="Table2"/>
        <w:tblW w:w="892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3004"/>
        <w:gridCol w:w="1657"/>
        <w:gridCol w:w="1657"/>
        <w:gridCol w:w="1657"/>
        <w:gridCol w:w="946"/>
        <w:tblGridChange w:id="0">
          <w:tblGrid>
            <w:gridCol w:w="3004"/>
            <w:gridCol w:w="1657"/>
            <w:gridCol w:w="1657"/>
            <w:gridCol w:w="1657"/>
            <w:gridCol w:w="94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spacing w:after="60" w:before="6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Total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(N=765)</w:t>
            </w:r>
          </w:p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Survivors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(n=723)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Non-Survivors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(n=42)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(T-test)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22">
            <w:pPr>
              <w:spacing w:after="60" w:before="6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Demographics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Gender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0.5041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      Male (%)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408 (53%)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 (60%)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383 (53%)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Age (years)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65.9 ± 18.2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65.2 ± 18.3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78.3 ± 12.8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&lt;0.0001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BMI (kg/m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23.4 ± 4.6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23.4 ± 4.6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22.6 ± 4.9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0.2870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3B">
            <w:pPr>
              <w:spacing w:after="60" w:before="6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Comorbidities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after="60" w:before="60" w:line="240" w:lineRule="auto"/>
              <w:ind w:left="283" w:firstLine="0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Cardiovascular disease (%) 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 (25%)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184 (25%)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 (19%)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0.4253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after="60" w:before="60" w:line="240" w:lineRule="auto"/>
              <w:ind w:left="283" w:firstLine="0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Hypertension (%)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338 (44%)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312 (43%)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26 (62%)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0.0265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60" w:before="60" w:line="240" w:lineRule="auto"/>
              <w:ind w:left="283" w:firstLine="0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COPD (%)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107 (14%)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97 (13%)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 (24%)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0.0971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after="60" w:before="60" w:line="240" w:lineRule="auto"/>
              <w:ind w:left="283" w:firstLine="0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Diabetes (%)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190 (25%)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180 (25%)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 (24%)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0.9858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after="60" w:before="60" w:line="240" w:lineRule="auto"/>
              <w:ind w:left="283" w:firstLine="0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Chronic liver disease (%)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134 (18%)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127 (18%)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 (17%)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0.7531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after="60" w:before="60" w:line="240" w:lineRule="auto"/>
              <w:ind w:left="283" w:firstLine="0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Chronic kidney disease (%)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152 (10%)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143 (20%)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 (21%)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0.9505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after="60" w:before="60" w:line="240" w:lineRule="auto"/>
              <w:ind w:left="283" w:firstLine="0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Malignant tumor (%)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187 (24%)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175 (24%)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 (29%)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0.1316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after="60" w:before="60" w:line="240" w:lineRule="auto"/>
              <w:ind w:left="283" w:firstLine="0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HIV (%)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 (2.4%)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 (2.2%)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(4.8%)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0.5920</w:t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68">
            <w:pPr>
              <w:spacing w:after="60" w:before="6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Vital signs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Respiratory rate (BPM)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22.3 ± 11.6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22.2 ± 11.6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24.0 ± 11.7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0.3036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DBP (mmHg)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72.8 ± 13.6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73.0 ± 13.5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69.2 ± 14.6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0.0752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after="60" w:before="6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Laboratory markers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Hemoglobin (g/dL)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11.7 ± 2.4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11.7 ± 2.4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10.6 ± 2.2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0.0040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Hematocrit (%)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33.3 ± 6.5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33.5 ± 6.5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29.8 ± 5.7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0.0002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Lymphocyte percentage (%)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14.9 ± 11.6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15.2 ± 11.7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9.0 ± 7.8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0.0007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Platelet count (10³/uL)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200.9 ± 105.9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201.0 ± 105.5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200.5 ± 114.2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0.9766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Lactic acid (mmol/L)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2.4 ± 3.2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2.4 ± 3.3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 ± 1.4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0.8510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Glucose (mg/dL)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152.4 ± 72.8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151.7 ± 71.1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164.7 ± 97.5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0.2612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pH of arterial blood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7.4 ± 0.1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7.4 ± 0.1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7.4 ± 0.1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0.2257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PO2 (mmHg)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57.4 ± 35.0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57.0 ± 33.6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62.8 ± 54.1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0.3009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Bicarbonate (mmol/L)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23.2 ± 4.3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23.2 ± 4.2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22.5 ± 6.1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0.3457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BUN (mg/dL)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31.6 ± 24.2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31.2 ± 23.6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37.8 ± 32.5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0.0866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eGFR (mL/min/1.73m²)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82.9 ± 49.8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83.1 ± 48.8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80.3 ± 65.8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0.7264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INR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 ± 0.2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 ± 0.2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 ± 0.2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0.6224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CRP (mg/dL)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8.6 ± 6.3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8.4 ± 6.2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12.0 ± 5.5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0.0003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Troponin T (ng/L)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67.3 ± 186.2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67.4 ± 189.7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66.5 ± 111.9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0.9770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C2">
            <w:pPr>
              <w:spacing w:after="60" w:before="6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Chest X-Ray Severity Score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DeepFlu-XR Score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commentRangeStart w:id="0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3.03 ± 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3.0 ± 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3.9 ± 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&lt;0.0001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   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 (27.9%)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 (16.7%)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    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114 (15.8%)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(2.4%)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    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141 (19.5%)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 (7.1%)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    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126 (17.4%)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 (23.8%)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spacing w:after="60" w:before="60" w:line="240" w:lineRule="auto"/>
              <w:ind w:left="283" w:firstLine="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    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140 (19.4%)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 (50.0%)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19.999999999998" w:type="dxa"/>
        <w:jc w:val="left"/>
        <w:tblInd w:w="-1003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"/>
        <w:gridCol w:w="2776"/>
        <w:gridCol w:w="2125"/>
        <w:gridCol w:w="2267"/>
        <w:gridCol w:w="2343"/>
        <w:gridCol w:w="996"/>
        <w:gridCol w:w="206"/>
        <w:tblGridChange w:id="0">
          <w:tblGrid>
            <w:gridCol w:w="207"/>
            <w:gridCol w:w="2776"/>
            <w:gridCol w:w="2125"/>
            <w:gridCol w:w="2267"/>
            <w:gridCol w:w="2343"/>
            <w:gridCol w:w="996"/>
            <w:gridCol w:w="206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vMerge w:val="restart"/>
            <w:tcBorders>
              <w:top w:color="a62a44" w:space="0" w:sz="4" w:val="single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0E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Total</w:t>
            </w:r>
          </w:p>
          <w:p w:rsidR="00000000" w:rsidDel="00000000" w:rsidP="00000000" w:rsidRDefault="00000000" w:rsidRPr="00000000" w14:paraId="000000E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(N = 765)  </w:t>
            </w:r>
          </w:p>
        </w:tc>
        <w:tc>
          <w:tcPr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Survivors</w:t>
            </w:r>
          </w:p>
          <w:p w:rsidR="00000000" w:rsidDel="00000000" w:rsidP="00000000" w:rsidRDefault="00000000" w:rsidRPr="00000000" w14:paraId="000000E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(n = 723)</w:t>
            </w:r>
          </w:p>
        </w:tc>
        <w:tc>
          <w:tcPr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Non-Survivors</w:t>
            </w:r>
          </w:p>
          <w:p w:rsidR="00000000" w:rsidDel="00000000" w:rsidP="00000000" w:rsidRDefault="00000000" w:rsidRPr="00000000" w14:paraId="000000F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(n =  42)</w:t>
            </w:r>
          </w:p>
        </w:tc>
        <w:tc>
          <w:tcPr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P-value</w:t>
            </w:r>
          </w:p>
          <w:p w:rsidR="00000000" w:rsidDel="00000000" w:rsidP="00000000" w:rsidRDefault="00000000" w:rsidRPr="00000000" w14:paraId="000000F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(T-test)</w:t>
            </w:r>
          </w:p>
        </w:tc>
        <w:tc>
          <w:tcPr>
            <w:vMerge w:val="restart"/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0F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tcBorders>
              <w:top w:color="a62a44" w:space="0" w:sz="4" w:val="single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0F4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Demographics</w:t>
            </w:r>
          </w:p>
        </w:tc>
        <w:tc>
          <w:tcPr>
            <w:vMerge w:val="continue"/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0FA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tcBorders>
              <w:top w:color="a62a44" w:space="0" w:sz="4" w:val="single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0FB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Gender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0.5041</w:t>
            </w:r>
          </w:p>
        </w:tc>
        <w:tc>
          <w:tcPr>
            <w:vMerge w:val="continue"/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0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a62a44" w:space="0" w:sz="4" w:val="single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0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Male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408 (53%)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 (60%)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383 (53%)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08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a62a44" w:space="0" w:sz="4" w:val="single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0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Female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357 (47%)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 (40%)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340 (47%)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0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a62a44" w:space="0" w:sz="4" w:val="single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1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Age, years 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65.9 ± 18.2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65.2 ± 18.3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78.3 ± 12.8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&lt;0.0001</w:t>
            </w:r>
          </w:p>
        </w:tc>
        <w:tc>
          <w:tcPr>
            <w:vMerge w:val="continue"/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1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a62a44" w:space="0" w:sz="4" w:val="single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1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spacing w:after="120"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BMI 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23.38 ± 4.62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23.42 ± 4.60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22.64 ± 4.90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0.2870</w:t>
            </w:r>
          </w:p>
        </w:tc>
        <w:tc>
          <w:tcPr>
            <w:vMerge w:val="continue"/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1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a62a44" w:space="0" w:sz="4" w:val="single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1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0" w:val="nil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Vital signs</w:t>
            </w:r>
          </w:p>
        </w:tc>
        <w:tc>
          <w:tcPr>
            <w:vMerge w:val="continue"/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24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a62a44" w:space="0" w:sz="4" w:val="single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25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Respiratory rate (BPM)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22.3 ± 11.6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22.2 ± 11.6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24.0 ± 11.7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0.3036</w:t>
            </w:r>
          </w:p>
        </w:tc>
        <w:tc>
          <w:tcPr>
            <w:vMerge w:val="continue"/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2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5.95703125" w:hRule="atLeast"/>
          <w:tblHeader w:val="0"/>
        </w:trPr>
        <w:tc>
          <w:tcPr>
            <w:vMerge w:val="continue"/>
            <w:tcBorders>
              <w:top w:color="a62a44" w:space="0" w:sz="4" w:val="single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2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spacing w:line="240" w:lineRule="auto"/>
              <w:ind w:left="2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Diastolic blood pressure </w:t>
              <w:br w:type="textWrapping"/>
              <w:t xml:space="preserve">(mmHg)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72.8 ± 13.6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73.0 ± 13.5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69.2 ± 14.6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0.0752</w:t>
            </w:r>
          </w:p>
        </w:tc>
        <w:tc>
          <w:tcPr>
            <w:vMerge w:val="continue"/>
            <w:tcBorders>
              <w:top w:color="a62a44" w:space="0" w:sz="4" w:val="single"/>
              <w:left w:color="f5e0d8" w:space="0" w:sz="4" w:val="single"/>
              <w:bottom w:color="000000" w:space="0" w:sz="4" w:val="single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3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919.999999999998" w:type="dxa"/>
        <w:jc w:val="left"/>
        <w:tblInd w:w="-1003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"/>
        <w:gridCol w:w="2776"/>
        <w:gridCol w:w="2125"/>
        <w:gridCol w:w="2267"/>
        <w:gridCol w:w="2343"/>
        <w:gridCol w:w="996"/>
        <w:gridCol w:w="206"/>
        <w:tblGridChange w:id="0">
          <w:tblGrid>
            <w:gridCol w:w="207"/>
            <w:gridCol w:w="2776"/>
            <w:gridCol w:w="2125"/>
            <w:gridCol w:w="2267"/>
            <w:gridCol w:w="2343"/>
            <w:gridCol w:w="996"/>
            <w:gridCol w:w="2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3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0" w:val="nil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spacing w:before="12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Laboratory markers</w:t>
            </w:r>
          </w:p>
        </w:tc>
        <w:tc>
          <w:tcPr>
            <w:vMerge w:val="restart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3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3B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spacing w:line="240" w:lineRule="auto"/>
              <w:ind w:firstLine="11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Hemoglobin (g/dL)</w:t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11.67 ± 2.42</w:t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11.73 ± 2.42</w:t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10.62 ± 2.23</w:t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0.0040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4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4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Hematocrit (%)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33.31 ± 6.47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33.52 ± 6.46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29.75 ± 5.65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0.0002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48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4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spacing w:line="240" w:lineRule="auto"/>
              <w:ind w:left="2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Lymphocyte percentage </w:t>
              <w:br w:type="textWrapping"/>
              <w:t xml:space="preserve">(%)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14.89 ± 11.63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15.23 ± 11.72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9.03 ± 7.83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0.0007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4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5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Platelet count (10³/uL)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200.92 ± 105.93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200.95 ± 105.51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200.45 ± 114.16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0.9766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5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5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Lactic acid (mmol/L)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2.35 ± 3.18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2.35 ± 3.25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2.26 ± 1.36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0.8510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5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5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Glucose (mg/dL)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152.44 ± 72.77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151.73 ± 71.10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164.71 ± 97.46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0.2612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64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65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pH of arterial blood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7.40 ± 0.06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7.40 ± 0.06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7.39 ± 0.08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0.2257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6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6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PO2 (mmHg)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57.36 ± 35.00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57.04 ± 33.59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62.793 ± 54.05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0.3009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7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7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4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Bicarbonate (mmol/L)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23.15 ± 4.29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23.19 ± 4.17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22.54 ± 6.13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0.3457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7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7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B">
            <w:pPr>
              <w:spacing w:line="240" w:lineRule="auto"/>
              <w:ind w:left="2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Blood urea nitrogen </w:t>
              <w:br w:type="textWrapping"/>
              <w:t xml:space="preserve">(mg/dL)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31.59 ± 24.15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31.23 ± 23.55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37.80 ± 32.52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0.0866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8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8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eGFR (mL/min/1.73m²)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82.93 ± 49.82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83.08 ± 48.78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80.31 ± 65.83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0.7264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8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88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INR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1.10 ± 0.21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1.09 ± 0.21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1.11 ± 0.18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0.6224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8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8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CRP (mg/dL)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8.59 ± 6.25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8.39 ± 6.24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11.98 ± 5.48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0.0003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95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9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7">
            <w:pPr>
              <w:spacing w:after="120"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Troponin T (ng/L)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67.31 ± 186.22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67.36 ± 189.70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66.51 ± 111.93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0.9770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9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9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000000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E">
            <w:pPr>
              <w:spacing w:after="120"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Total</w:t>
            </w:r>
          </w:p>
          <w:p w:rsidR="00000000" w:rsidDel="00000000" w:rsidP="00000000" w:rsidRDefault="00000000" w:rsidRPr="00000000" w14:paraId="000001A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(N = 765)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Survivors</w:t>
            </w:r>
          </w:p>
          <w:p w:rsidR="00000000" w:rsidDel="00000000" w:rsidP="00000000" w:rsidRDefault="00000000" w:rsidRPr="00000000" w14:paraId="000001A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(n = 723)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Non-survivors</w:t>
            </w:r>
          </w:p>
          <w:p w:rsidR="00000000" w:rsidDel="00000000" w:rsidP="00000000" w:rsidRDefault="00000000" w:rsidRPr="00000000" w14:paraId="000001A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(n =  42)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P-value</w:t>
            </w:r>
          </w:p>
          <w:p w:rsidR="00000000" w:rsidDel="00000000" w:rsidP="00000000" w:rsidRDefault="00000000" w:rsidRPr="00000000" w14:paraId="000001A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(T-test)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A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A8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Comorbidities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AE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AF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0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Cardiovascular disease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 (25%)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184 (25%)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 (19%)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0.4253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B5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B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7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Hypertension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338 (44%)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312 (43%)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26 (62%)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0.0265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B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B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E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COPD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107 (14%)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97 (13%)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 (24%)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0.0971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C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C4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5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Diabetes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190 (25%)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180 (25%)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 (24%)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0.9858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C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C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C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Chronic liver disease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134 (18%)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127 (18%)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 (17%)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0.7531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D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D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3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Chronic kidney disease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152 (10%)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143 (20%)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 (21%)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0.9505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D8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D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A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Malignant tumor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187 (24%)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175 (24%)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 (29%)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0.1316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D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E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1">
            <w:pPr>
              <w:spacing w:line="240" w:lineRule="auto"/>
              <w:ind w:firstLine="22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 (2.4%)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 (2.2%)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(4.8%)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0.5920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E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7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919.999999999998" w:type="dxa"/>
        <w:jc w:val="left"/>
        <w:tblInd w:w="-1003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"/>
        <w:gridCol w:w="2776"/>
        <w:gridCol w:w="2125"/>
        <w:gridCol w:w="2267"/>
        <w:gridCol w:w="2343"/>
        <w:gridCol w:w="996"/>
        <w:gridCol w:w="206"/>
        <w:tblGridChange w:id="0">
          <w:tblGrid>
            <w:gridCol w:w="207"/>
            <w:gridCol w:w="2776"/>
            <w:gridCol w:w="2125"/>
            <w:gridCol w:w="2267"/>
            <w:gridCol w:w="2343"/>
            <w:gridCol w:w="996"/>
            <w:gridCol w:w="206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E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0" w:val="nil"/>
              <w:left w:color="f5e0d8" w:space="0" w:sz="4" w:val="single"/>
              <w:bottom w:color="000000" w:space="0" w:sz="0" w:val="nil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9">
            <w:pPr>
              <w:spacing w:before="12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CXR image severity score, each patient’s first chest x-ray image (within 24 hours of presentation)</w:t>
            </w:r>
          </w:p>
        </w:tc>
        <w:tc>
          <w:tcPr>
            <w:vMerge w:val="restart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E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EF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DeepFlu-XR Score</w:t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3.03 ± 1.18</w:t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2.98 ± 1.17</w:t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3.91 ± 1.05</w:t>
            </w:r>
          </w:p>
        </w:tc>
        <w:tc>
          <w:tcPr>
            <w:tcBorders>
              <w:top w:color="000000" w:space="0" w:sz="0" w:val="nil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&lt;0.0001</w:t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F5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F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1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 (27.9%)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 (16.7%)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1F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1F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2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114 (15.8%)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(2.4%)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20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204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3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141 (19.5%)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 (7.1%)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20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20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4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126 (17.4%)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 (23.8%)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f5e0d8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21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62a44" w:space="0" w:sz="4" w:val="single"/>
              <w:bottom w:color="000000" w:space="0" w:sz="0" w:val="nil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21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a62a44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5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a62a44" w:space="0" w:sz="4" w:val="single"/>
              <w:right w:color="f5e0d8" w:space="0" w:sz="4" w:val="single"/>
            </w:tcBorders>
            <w:shd w:fill="f5e0d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a62a44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140 (19.4%)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a62a44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 (50.0%)</w:t>
            </w:r>
          </w:p>
        </w:tc>
        <w:tc>
          <w:tcPr>
            <w:tcBorders>
              <w:top w:color="f5e0d8" w:space="0" w:sz="4" w:val="single"/>
              <w:left w:color="f5e0d8" w:space="0" w:sz="4" w:val="single"/>
              <w:bottom w:color="a62a44" w:space="0" w:sz="4" w:val="single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218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9">
      <w:pPr>
        <w:numPr>
          <w:ilvl w:val="0"/>
          <w:numId w:val="1"/>
        </w:numPr>
        <w:spacing w:line="276" w:lineRule="auto"/>
        <w:ind w:left="360"/>
        <w:rPr>
          <w:rFonts w:ascii="Times New Roman" w:cs="Times New Roman" w:eastAsia="Times New Roman" w:hAnsi="Times New Roman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2. The characteristics of flu patients in this study. The patients are stratified by 30-day survival.</w:t>
      </w:r>
    </w:p>
    <w:p w:rsidR="00000000" w:rsidDel="00000000" w:rsidP="00000000" w:rsidRDefault="00000000" w:rsidRPr="00000000" w14:paraId="000002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c0o0ashgt1d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550.0" w:type="dxa"/>
        <w:jc w:val="left"/>
        <w:tblBorders>
          <w:top w:color="a62a44" w:space="0" w:sz="4" w:val="single"/>
          <w:left w:color="a62a44" w:space="0" w:sz="4" w:val="single"/>
          <w:bottom w:color="a62a44" w:space="0" w:sz="4" w:val="single"/>
          <w:right w:color="a62a44" w:space="0" w:sz="4" w:val="single"/>
        </w:tblBorders>
        <w:tblLayout w:type="fixed"/>
        <w:tblLook w:val="0600"/>
      </w:tblPr>
      <w:tblGrid>
        <w:gridCol w:w="240"/>
        <w:gridCol w:w="1665"/>
        <w:gridCol w:w="2655"/>
        <w:gridCol w:w="3750"/>
        <w:gridCol w:w="240"/>
        <w:tblGridChange w:id="0">
          <w:tblGrid>
            <w:gridCol w:w="240"/>
            <w:gridCol w:w="1665"/>
            <w:gridCol w:w="2655"/>
            <w:gridCol w:w="3750"/>
            <w:gridCol w:w="24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a62a44" w:space="0" w:sz="4" w:val="single"/>
              <w:left w:color="a62a44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21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2a44" w:space="0" w:sz="4" w:val="single"/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Models\MSE</w:t>
            </w:r>
          </w:p>
        </w:tc>
        <w:tc>
          <w:tcPr>
            <w:tcBorders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21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Non-pretrained model</w:t>
            </w:r>
          </w:p>
        </w:tc>
        <w:tc>
          <w:tcPr>
            <w:tcBorders>
              <w:left w:color="f5e0d8" w:space="0" w:sz="4" w:val="single"/>
              <w:bottom w:color="f5e0d8" w:space="0" w:sz="4" w:val="single"/>
              <w:right w:color="f5e0d8" w:space="0" w:sz="4" w:val="single"/>
            </w:tcBorders>
            <w:shd w:fill="f5e0d8" w:val="clear"/>
          </w:tcPr>
          <w:p w:rsidR="00000000" w:rsidDel="00000000" w:rsidP="00000000" w:rsidRDefault="00000000" w:rsidRPr="00000000" w14:paraId="0000021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ImageNet pretrained model </w:t>
            </w:r>
          </w:p>
        </w:tc>
        <w:tc>
          <w:tcPr>
            <w:tcBorders>
              <w:top w:color="a62a44" w:space="0" w:sz="4" w:val="single"/>
              <w:left w:color="f5e0d8" w:space="0" w:sz="4" w:val="single"/>
              <w:bottom w:color="f5e0d8" w:space="0" w:sz="4" w:val="single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22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" w:hRule="atLeast"/>
          <w:tblHeader w:val="1"/>
        </w:trPr>
        <w:tc>
          <w:tcPr>
            <w:tcBorders>
              <w:top w:color="000000" w:space="0" w:sz="0" w:val="nil"/>
              <w:left w:color="a62a44" w:space="0" w:sz="4" w:val="single"/>
              <w:bottom w:color="000000" w:space="0" w:sz="0" w:val="nil"/>
            </w:tcBorders>
            <w:shd w:fill="f5e0d8" w:val="clear"/>
          </w:tcPr>
          <w:p w:rsidR="00000000" w:rsidDel="00000000" w:rsidP="00000000" w:rsidRDefault="00000000" w:rsidRPr="00000000" w14:paraId="0000022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ResNet50</w:t>
            </w:r>
          </w:p>
        </w:tc>
        <w:tc>
          <w:tcPr>
            <w:tcBorders>
              <w:top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2.3708</w:t>
            </w:r>
          </w:p>
        </w:tc>
        <w:tc>
          <w:tcPr>
            <w:tcBorders>
              <w:top w:color="000000" w:space="0" w:sz="4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22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0" w:val="nil"/>
              <w:left w:color="a62a44" w:space="0" w:sz="4" w:val="single"/>
              <w:bottom w:color="000000" w:space="0" w:sz="0" w:val="nil"/>
            </w:tcBorders>
            <w:shd w:fill="f5e0d8" w:val="clear"/>
          </w:tcPr>
          <w:p w:rsidR="00000000" w:rsidDel="00000000" w:rsidP="00000000" w:rsidRDefault="00000000" w:rsidRPr="00000000" w14:paraId="0000022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EfficientNet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2.2516</w:t>
            </w:r>
          </w:p>
        </w:tc>
        <w:tc>
          <w:tcPr>
            <w:tcBorders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2.3904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22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" w:hRule="atLeast"/>
          <w:tblHeader w:val="1"/>
        </w:trPr>
        <w:tc>
          <w:tcPr>
            <w:tcBorders>
              <w:top w:color="000000" w:space="0" w:sz="0" w:val="nil"/>
              <w:left w:color="a62a44" w:space="0" w:sz="4" w:val="single"/>
              <w:bottom w:color="000000" w:space="0" w:sz="0" w:val="nil"/>
            </w:tcBorders>
            <w:shd w:fill="f5e0d8" w:val="clear"/>
          </w:tcPr>
          <w:p w:rsidR="00000000" w:rsidDel="00000000" w:rsidP="00000000" w:rsidRDefault="00000000" w:rsidRPr="00000000" w14:paraId="0000022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VGG16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2.3118</w:t>
            </w:r>
          </w:p>
        </w:tc>
        <w:tc>
          <w:tcPr>
            <w:tcBorders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2.3114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22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" w:hRule="atLeast"/>
          <w:tblHeader w:val="1"/>
        </w:trPr>
        <w:tc>
          <w:tcPr>
            <w:tcBorders>
              <w:top w:color="000000" w:space="0" w:sz="0" w:val="nil"/>
              <w:left w:color="a62a44" w:space="0" w:sz="4" w:val="single"/>
              <w:bottom w:color="000000" w:space="0" w:sz="0" w:val="nil"/>
            </w:tcBorders>
            <w:shd w:fill="f5e0d8" w:val="clear"/>
          </w:tcPr>
          <w:p w:rsidR="00000000" w:rsidDel="00000000" w:rsidP="00000000" w:rsidRDefault="00000000" w:rsidRPr="00000000" w14:paraId="0000023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DenseNet121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2.3114</w:t>
            </w:r>
          </w:p>
        </w:tc>
        <w:tc>
          <w:tcPr>
            <w:tcBorders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2.3146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23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" w:hRule="atLeast"/>
          <w:tblHeader w:val="1"/>
        </w:trPr>
        <w:tc>
          <w:tcPr>
            <w:tcBorders>
              <w:top w:color="000000" w:space="0" w:sz="0" w:val="nil"/>
              <w:left w:color="a62a44" w:space="0" w:sz="4" w:val="single"/>
              <w:bottom w:color="000000" w:space="0" w:sz="0" w:val="nil"/>
            </w:tcBorders>
            <w:shd w:fill="f5e0d8" w:val="clear"/>
          </w:tcPr>
          <w:p w:rsidR="00000000" w:rsidDel="00000000" w:rsidP="00000000" w:rsidRDefault="00000000" w:rsidRPr="00000000" w14:paraId="0000023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InceptionV3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2.4594</w:t>
            </w:r>
          </w:p>
        </w:tc>
        <w:tc>
          <w:tcPr>
            <w:tcBorders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1.6313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23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" w:hRule="atLeast"/>
          <w:tblHeader w:val="0"/>
        </w:trPr>
        <w:tc>
          <w:tcPr>
            <w:tcBorders>
              <w:top w:color="000000" w:space="0" w:sz="0" w:val="nil"/>
              <w:left w:color="a62a44" w:space="0" w:sz="4" w:val="single"/>
              <w:bottom w:color="000000" w:space="0" w:sz="0" w:val="nil"/>
            </w:tcBorders>
            <w:shd w:fill="f5e0d8" w:val="clear"/>
          </w:tcPr>
          <w:p w:rsidR="00000000" w:rsidDel="00000000" w:rsidP="00000000" w:rsidRDefault="00000000" w:rsidRPr="00000000" w14:paraId="0000023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Xception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2.7874</w:t>
            </w:r>
          </w:p>
        </w:tc>
        <w:tc>
          <w:tcPr>
            <w:tcBorders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1.1390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23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" w:hRule="atLeast"/>
          <w:tblHeader w:val="0"/>
        </w:trPr>
        <w:tc>
          <w:tcPr>
            <w:gridSpan w:val="5"/>
            <w:tcBorders>
              <w:top w:color="000000" w:space="0" w:sz="0" w:val="nil"/>
              <w:left w:color="a62a44" w:space="0" w:sz="4" w:val="single"/>
              <w:bottom w:color="a62a44" w:space="0" w:sz="4" w:val="single"/>
              <w:right w:color="a62a44" w:space="0" w:sz="4" w:val="single"/>
            </w:tcBorders>
            <w:shd w:fill="f5e0d8" w:val="clear"/>
          </w:tcPr>
          <w:p w:rsidR="00000000" w:rsidDel="00000000" w:rsidP="00000000" w:rsidRDefault="00000000" w:rsidRPr="00000000" w14:paraId="0000023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4">
      <w:pPr>
        <w:numPr>
          <w:ilvl w:val="0"/>
          <w:numId w:val="5"/>
        </w:numPr>
        <w:spacing w:line="360" w:lineRule="auto"/>
        <w:ind w:left="360"/>
        <w:jc w:val="both"/>
        <w:rPr>
          <w:rFonts w:ascii="Times New Roman" w:cs="Times New Roman" w:eastAsia="Times New Roman" w:hAnsi="Times New Roman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3. The performance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different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deep learning-based chest-X ray severity scoring systems with and without pre-training on the validation dataset. MSE stands for Mean Squared Error.</w:t>
      </w:r>
    </w:p>
    <w:p w:rsidR="00000000" w:rsidDel="00000000" w:rsidP="00000000" w:rsidRDefault="00000000" w:rsidRPr="00000000" w14:paraId="0000024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7hh5dyvh9iwv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55.0" w:type="dxa"/>
        <w:jc w:val="left"/>
        <w:tblInd w:w="-10.0" w:type="dxa"/>
        <w:tblBorders>
          <w:top w:color="a62a44" w:space="0" w:sz="8" w:val="single"/>
          <w:left w:color="a62a44" w:space="0" w:sz="8" w:val="single"/>
          <w:bottom w:color="a62a44" w:space="0" w:sz="8" w:val="single"/>
          <w:right w:color="a62a44" w:space="0" w:sz="8" w:val="single"/>
          <w:insideH w:color="f5e0d8" w:space="0" w:sz="4" w:val="single"/>
          <w:insideV w:color="f5e0d8" w:space="0" w:sz="4" w:val="single"/>
        </w:tblBorders>
        <w:tblLayout w:type="fixed"/>
        <w:tblLook w:val="0600"/>
      </w:tblPr>
      <w:tblGrid>
        <w:gridCol w:w="255"/>
        <w:gridCol w:w="2610"/>
        <w:gridCol w:w="870"/>
        <w:gridCol w:w="1140"/>
        <w:gridCol w:w="1230"/>
        <w:gridCol w:w="1200"/>
        <w:gridCol w:w="1125"/>
        <w:gridCol w:w="840"/>
        <w:gridCol w:w="930"/>
        <w:gridCol w:w="255"/>
        <w:tblGridChange w:id="0">
          <w:tblGrid>
            <w:gridCol w:w="255"/>
            <w:gridCol w:w="2610"/>
            <w:gridCol w:w="870"/>
            <w:gridCol w:w="1140"/>
            <w:gridCol w:w="1230"/>
            <w:gridCol w:w="1200"/>
            <w:gridCol w:w="1125"/>
            <w:gridCol w:w="840"/>
            <w:gridCol w:w="930"/>
            <w:gridCol w:w="255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Merge w:val="restart"/>
            <w:shd w:fill="f5e0d8" w:val="clear"/>
          </w:tcPr>
          <w:p w:rsidR="00000000" w:rsidDel="00000000" w:rsidP="00000000" w:rsidRDefault="00000000" w:rsidRPr="00000000" w14:paraId="0000024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2a44" w:space="0" w:sz="8" w:val="single"/>
              <w:bottom w:color="000000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2a44" w:space="0" w:sz="8" w:val="single"/>
              <w:bottom w:color="000000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AUC</w:t>
            </w:r>
          </w:p>
        </w:tc>
        <w:tc>
          <w:tcPr>
            <w:tcBorders>
              <w:top w:color="a62a44" w:space="0" w:sz="8" w:val="single"/>
              <w:bottom w:color="000000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Accuracy</w:t>
            </w:r>
          </w:p>
        </w:tc>
        <w:tc>
          <w:tcPr>
            <w:tcBorders>
              <w:top w:color="a62a44" w:space="0" w:sz="8" w:val="single"/>
              <w:bottom w:color="000000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Sensitivity</w:t>
            </w:r>
          </w:p>
        </w:tc>
        <w:tc>
          <w:tcPr>
            <w:tcBorders>
              <w:top w:color="a62a44" w:space="0" w:sz="8" w:val="single"/>
              <w:bottom w:color="000000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Specificity</w:t>
            </w:r>
          </w:p>
        </w:tc>
        <w:tc>
          <w:tcPr>
            <w:tcBorders>
              <w:top w:color="a62a44" w:space="0" w:sz="8" w:val="single"/>
              <w:bottom w:color="000000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Precision</w:t>
            </w:r>
          </w:p>
        </w:tc>
        <w:tc>
          <w:tcPr>
            <w:tcBorders>
              <w:top w:color="a62a44" w:space="0" w:sz="8" w:val="single"/>
              <w:bottom w:color="000000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F1</w:t>
            </w:r>
          </w:p>
        </w:tc>
        <w:tc>
          <w:tcPr>
            <w:tcBorders>
              <w:top w:color="a62a44" w:space="0" w:sz="8" w:val="single"/>
              <w:bottom w:color="000000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P-value</w:t>
            </w:r>
          </w:p>
        </w:tc>
        <w:tc>
          <w:tcPr>
            <w:vMerge w:val="restart"/>
            <w:tcBorders>
              <w:top w:color="a62a44" w:space="0" w:sz="8" w:val="single"/>
              <w:bottom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5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f5e0d8" w:val="clear"/>
          </w:tcPr>
          <w:p w:rsidR="00000000" w:rsidDel="00000000" w:rsidP="00000000" w:rsidRDefault="00000000" w:rsidRPr="00000000" w14:paraId="00000252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8" w:val="single"/>
              <w:bottom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Random Forest</w:t>
            </w:r>
          </w:p>
        </w:tc>
        <w:tc>
          <w:tcPr>
            <w:tcBorders>
              <w:top w:color="000000" w:space="0" w:sz="8" w:val="single"/>
              <w:bottom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A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2a44" w:space="0" w:sz="8" w:val="single"/>
              <w:bottom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5B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f5e0d8" w:val="clear"/>
          </w:tcPr>
          <w:p w:rsidR="00000000" w:rsidDel="00000000" w:rsidP="00000000" w:rsidRDefault="00000000" w:rsidRPr="00000000" w14:paraId="0000025C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Clinical-data-only 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0.729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0.787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0.539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0.140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0.222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vMerge w:val="continue"/>
            <w:tcBorders>
              <w:top w:color="a62a44" w:space="0" w:sz="8" w:val="single"/>
              <w:bottom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65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f5e0d8" w:val="clear"/>
          </w:tcPr>
          <w:p w:rsidR="00000000" w:rsidDel="00000000" w:rsidP="00000000" w:rsidRDefault="00000000" w:rsidRPr="00000000" w14:paraId="0000026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Early fusion 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0.791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0.769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0.793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0.182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0.294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0.7937</w:t>
            </w:r>
          </w:p>
        </w:tc>
        <w:tc>
          <w:tcPr>
            <w:vMerge w:val="continue"/>
            <w:tcBorders>
              <w:top w:color="a62a44" w:space="0" w:sz="8" w:val="single"/>
              <w:bottom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6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f5e0d8" w:val="clear"/>
          </w:tcPr>
          <w:p w:rsidR="00000000" w:rsidDel="00000000" w:rsidP="00000000" w:rsidRDefault="00000000" w:rsidRPr="00000000" w14:paraId="0000027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Late fusion 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0.785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0.0009</w:t>
            </w:r>
          </w:p>
        </w:tc>
        <w:tc>
          <w:tcPr>
            <w:vMerge w:val="continue"/>
            <w:tcBorders>
              <w:top w:color="a62a44" w:space="0" w:sz="8" w:val="single"/>
              <w:bottom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7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f5e0d8" w:val="clear"/>
          </w:tcPr>
          <w:p w:rsidR="00000000" w:rsidDel="00000000" w:rsidP="00000000" w:rsidRDefault="00000000" w:rsidRPr="00000000" w14:paraId="0000027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0" w:val="nil"/>
              <w:left w:color="f5e0d8" w:space="0" w:sz="8" w:val="single"/>
              <w:bottom w:color="000000" w:space="0" w:sz="0" w:val="nil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B">
            <w:pPr>
              <w:spacing w:before="12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XGBoost Classifier</w:t>
            </w:r>
          </w:p>
        </w:tc>
        <w:tc>
          <w:tcPr>
            <w:tcBorders>
              <w:top w:color="000000" w:space="0" w:sz="0" w:val="nil"/>
              <w:left w:color="f5e0d8" w:space="0" w:sz="8" w:val="single"/>
              <w:bottom w:color="000000" w:space="0" w:sz="0" w:val="nil"/>
              <w:right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2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2a44" w:space="0" w:sz="8" w:val="single"/>
              <w:bottom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83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f5e0d8" w:val="clear"/>
          </w:tcPr>
          <w:p w:rsidR="00000000" w:rsidDel="00000000" w:rsidP="00000000" w:rsidRDefault="00000000" w:rsidRPr="00000000" w14:paraId="00000284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Clinical-data-only 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0.308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0.500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0.381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vMerge w:val="continue"/>
            <w:tcBorders>
              <w:top w:color="a62a44" w:space="0" w:sz="8" w:val="single"/>
              <w:bottom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8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f5e0d8" w:val="clear"/>
          </w:tcPr>
          <w:p w:rsidR="00000000" w:rsidDel="00000000" w:rsidP="00000000" w:rsidRDefault="00000000" w:rsidRPr="00000000" w14:paraId="0000028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Early fusion 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0.861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0.961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0.539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0.700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0.609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0.0932</w:t>
            </w:r>
          </w:p>
        </w:tc>
        <w:tc>
          <w:tcPr>
            <w:vMerge w:val="continue"/>
            <w:tcBorders>
              <w:top w:color="a62a44" w:space="0" w:sz="8" w:val="single"/>
              <w:bottom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9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f5e0d8" w:val="clear"/>
          </w:tcPr>
          <w:p w:rsidR="00000000" w:rsidDel="00000000" w:rsidP="00000000" w:rsidRDefault="00000000" w:rsidRPr="00000000" w14:paraId="00000298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Late fusion 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0.0278</w:t>
            </w:r>
          </w:p>
        </w:tc>
        <w:tc>
          <w:tcPr>
            <w:vMerge w:val="continue"/>
            <w:tcBorders>
              <w:top w:color="a62a44" w:space="0" w:sz="8" w:val="single"/>
              <w:bottom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A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f5e0d8" w:val="clear"/>
          </w:tcPr>
          <w:p w:rsidR="00000000" w:rsidDel="00000000" w:rsidP="00000000" w:rsidRDefault="00000000" w:rsidRPr="00000000" w14:paraId="000002A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0" w:val="nil"/>
              <w:bottom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3">
            <w:pPr>
              <w:spacing w:before="12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LGBM Classifier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A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2a44" w:space="0" w:sz="8" w:val="single"/>
              <w:bottom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AB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f5e0d8" w:val="clear"/>
          </w:tcPr>
          <w:p w:rsidR="00000000" w:rsidDel="00000000" w:rsidP="00000000" w:rsidRDefault="00000000" w:rsidRPr="00000000" w14:paraId="000002AC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Clinical-data-only 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0.308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0.571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0.400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vMerge w:val="continue"/>
            <w:tcBorders>
              <w:top w:color="a62a44" w:space="0" w:sz="8" w:val="single"/>
              <w:bottom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B5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f5e0d8" w:val="clear"/>
          </w:tcPr>
          <w:p w:rsidR="00000000" w:rsidDel="00000000" w:rsidP="00000000" w:rsidRDefault="00000000" w:rsidRPr="00000000" w14:paraId="000002B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Early fusion 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0.970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0.539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0.667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0.0742</w:t>
            </w:r>
          </w:p>
        </w:tc>
        <w:tc>
          <w:tcPr>
            <w:vMerge w:val="continue"/>
            <w:tcBorders>
              <w:top w:color="a62a44" w:space="0" w:sz="8" w:val="single"/>
              <w:bottom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B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f5e0d8" w:val="clear"/>
          </w:tcPr>
          <w:p w:rsidR="00000000" w:rsidDel="00000000" w:rsidP="00000000" w:rsidRDefault="00000000" w:rsidRPr="00000000" w14:paraId="000002C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Late fusion 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0.988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0.0037</w:t>
            </w:r>
          </w:p>
        </w:tc>
        <w:tc>
          <w:tcPr>
            <w:vMerge w:val="continue"/>
            <w:tcBorders>
              <w:top w:color="a62a44" w:space="0" w:sz="8" w:val="single"/>
              <w:bottom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C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" w:hRule="atLeast"/>
          <w:tblHeader w:val="0"/>
        </w:trPr>
        <w:tc>
          <w:tcPr>
            <w:tcBorders>
              <w:top w:color="000000" w:space="0" w:sz="0" w:val="nil"/>
              <w:bottom w:color="a62a44" w:space="0" w:sz="8" w:val="single"/>
              <w:right w:color="f5e0d8" w:space="0" w:sz="8" w:val="single"/>
            </w:tcBorders>
            <w:shd w:fill="f5e0d8" w:val="clear"/>
          </w:tcPr>
          <w:p w:rsidR="00000000" w:rsidDel="00000000" w:rsidP="00000000" w:rsidRDefault="00000000" w:rsidRPr="00000000" w14:paraId="000002C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8" w:val="single"/>
              <w:bottom w:color="a62a44" w:space="0" w:sz="8" w:val="single"/>
              <w:right w:color="f5e0d8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8" w:val="single"/>
              <w:bottom w:color="a62a44" w:space="0" w:sz="8" w:val="single"/>
              <w:right w:color="f5e0d8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8" w:val="single"/>
              <w:bottom w:color="a62a44" w:space="0" w:sz="8" w:val="single"/>
              <w:right w:color="f5e0d8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8" w:val="single"/>
              <w:bottom w:color="a62a44" w:space="0" w:sz="8" w:val="single"/>
              <w:right w:color="f5e0d8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8" w:val="single"/>
              <w:bottom w:color="a62a44" w:space="0" w:sz="8" w:val="single"/>
              <w:right w:color="f5e0d8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8" w:val="single"/>
              <w:bottom w:color="a62a44" w:space="0" w:sz="8" w:val="single"/>
              <w:right w:color="f5e0d8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8" w:val="single"/>
              <w:bottom w:color="a62a44" w:space="0" w:sz="8" w:val="single"/>
              <w:right w:color="f5e0d8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5e0d8" w:space="0" w:sz="8" w:val="single"/>
              <w:bottom w:color="a62a44" w:space="0" w:sz="8" w:val="single"/>
              <w:right w:color="f5e0d8" w:space="0" w:sz="8" w:val="single"/>
            </w:tcBorders>
            <w:shd w:fill="f5e0d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5e0d8" w:space="0" w:sz="8" w:val="single"/>
              <w:left w:color="f5e0d8" w:space="0" w:sz="8" w:val="single"/>
              <w:bottom w:color="a62a44" w:space="0" w:sz="8" w:val="single"/>
            </w:tcBorders>
            <w:shd w:fill="f5e0d8" w:val="clear"/>
          </w:tcPr>
          <w:p w:rsidR="00000000" w:rsidDel="00000000" w:rsidP="00000000" w:rsidRDefault="00000000" w:rsidRPr="00000000" w14:paraId="000002D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4">
      <w:pPr>
        <w:numPr>
          <w:ilvl w:val="0"/>
          <w:numId w:val="9"/>
        </w:numPr>
        <w:spacing w:line="276" w:lineRule="auto"/>
        <w:ind w:left="360"/>
        <w:rPr>
          <w:rFonts w:ascii="Times New Roman" w:cs="Times New Roman" w:eastAsia="Times New Roman" w:hAnsi="Times New Roman"/>
        </w:rPr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4. The results of the clinical-data-only model, early fusion model and late fusion flu prognosis prediction model. </w:t>
      </w: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rtl w:val="0"/>
        </w:rPr>
        <w:t xml:space="preserve">The p-values of early fusion models or late fusion models are calculated by comparing them to the clinical-data-only model built with the same ML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ms6ttgudm39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</w:t>
        <w:tab/>
        <w:tab/>
        <w:tab/>
        <w:tab/>
        <w:tab/>
        <w:tab/>
        <w:t xml:space="preserve"> B</w:t>
      </w:r>
    </w:p>
    <w:p w:rsidR="00000000" w:rsidDel="00000000" w:rsidP="00000000" w:rsidRDefault="00000000" w:rsidRPr="00000000" w14:paraId="000002D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62238" cy="1917174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917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00338" cy="195382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953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numPr>
          <w:ilvl w:val="0"/>
          <w:numId w:val="10"/>
        </w:numPr>
        <w:spacing w:line="276" w:lineRule="auto"/>
        <w:ind w:left="360"/>
        <w:rPr>
          <w:rFonts w:ascii="Times New Roman" w:cs="Times New Roman" w:eastAsia="Times New Roman" w:hAnsi="Times New Roman"/>
        </w:rPr>
      </w:pPr>
      <w:bookmarkStart w:colFirst="0" w:colLast="0" w:name="_lnxbz9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4. The Receiver Operating Characteristic (ROC) curve of the fusion models incorporates both chest X-ray severity and clinical features. 4A, the early fusion model; 4B, the late fusion model.</w:t>
      </w:r>
    </w:p>
    <w:p w:rsidR="00000000" w:rsidDel="00000000" w:rsidP="00000000" w:rsidRDefault="00000000" w:rsidRPr="00000000" w14:paraId="000002D9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</w:t>
        <w:tab/>
        <w:tab/>
        <w:tab/>
        <w:tab/>
        <w:tab/>
        <w:tab/>
        <w:t xml:space="preserve">   B</w:t>
      </w:r>
    </w:p>
    <w:p w:rsidR="00000000" w:rsidDel="00000000" w:rsidP="00000000" w:rsidRDefault="00000000" w:rsidRPr="00000000" w14:paraId="000002D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19388" cy="1723176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723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52688" cy="171867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-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718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numPr>
          <w:ilvl w:val="0"/>
          <w:numId w:val="10"/>
        </w:numPr>
        <w:spacing w:line="276" w:lineRule="auto"/>
        <w:ind w:left="360"/>
        <w:rPr>
          <w:rFonts w:ascii="Times New Roman" w:cs="Times New Roman" w:eastAsia="Times New Roman" w:hAnsi="Times New Roman"/>
        </w:rPr>
      </w:pPr>
      <w:bookmarkStart w:colFirst="0" w:colLast="0" w:name="_35nkun2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5. The precision-recall curve of LightGBM-based early and late fusion prediction models. 5A, the early fusion model; 5B, the late fusion model. AP stands for average precision.</w:t>
      </w:r>
    </w:p>
    <w:p w:rsidR="00000000" w:rsidDel="00000000" w:rsidP="00000000" w:rsidRDefault="00000000" w:rsidRPr="00000000" w14:paraId="000002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c7bg572vjy8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</w:t>
        <w:tab/>
        <w:tab/>
        <w:tab/>
        <w:tab/>
        <w:tab/>
        <w:tab/>
        <w:t xml:space="preserve">  B</w:t>
      </w:r>
    </w:p>
    <w:p w:rsidR="00000000" w:rsidDel="00000000" w:rsidP="00000000" w:rsidRDefault="00000000" w:rsidRPr="00000000" w14:paraId="000002DD">
      <w:pPr>
        <w:spacing w:line="360" w:lineRule="auto"/>
        <w:jc w:val="both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86063" cy="178593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576513" cy="1749591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749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numPr>
          <w:ilvl w:val="0"/>
          <w:numId w:val="2"/>
        </w:numPr>
        <w:spacing w:line="276" w:lineRule="auto"/>
        <w:ind w:left="360"/>
        <w:rPr>
          <w:rFonts w:ascii="Times New Roman" w:cs="Times New Roman" w:eastAsia="Times New Roman" w:hAnsi="Times New Roman"/>
        </w:rPr>
      </w:pPr>
      <w:bookmarkStart w:colFirst="0" w:colLast="0" w:name="_1ksv4uv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6. The calibration plot for LightGBM-based early and late fusion prediction systems. 6A, the early fusion model; 6B, the late fusion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9713" cy="4931817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345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4931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numPr>
          <w:ilvl w:val="0"/>
          <w:numId w:val="4"/>
        </w:numPr>
        <w:spacing w:line="360" w:lineRule="auto"/>
        <w:ind w:left="360"/>
        <w:jc w:val="both"/>
        <w:rPr>
          <w:rFonts w:ascii="Times New Roman" w:cs="Times New Roman" w:eastAsia="Times New Roman" w:hAnsi="Times New Roman"/>
        </w:rPr>
      </w:pPr>
      <w:bookmarkStart w:colFirst="0" w:colLast="0" w:name="_3rdcrjn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7. The importance of features ranked by LightGBM. CRP: C-reactive protein, BMI: Body Mass Index, INR: international normalized ratio, eGFR: estimated glomerular filtration rate, PO2: arterial partial pressure of oxygen.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i24odm9pi1g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</w:t>
        <w:tab/>
        <w:tab/>
        <w:tab/>
        <w:tab/>
        <w:tab/>
        <w:tab/>
        <w:t xml:space="preserve">       B</w:t>
      </w:r>
    </w:p>
    <w:p w:rsidR="00000000" w:rsidDel="00000000" w:rsidP="00000000" w:rsidRDefault="00000000" w:rsidRPr="00000000" w14:paraId="000002E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895896" cy="208504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896" cy="2085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43213" cy="204496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04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E4">
      <w:pPr>
        <w:numPr>
          <w:ilvl w:val="0"/>
          <w:numId w:val="7"/>
        </w:numPr>
        <w:spacing w:line="276" w:lineRule="auto"/>
        <w:ind w:left="360"/>
        <w:rPr>
          <w:rFonts w:ascii="Times New Roman" w:cs="Times New Roman" w:eastAsia="Times New Roman" w:hAnsi="Times New Roman"/>
        </w:rPr>
      </w:pPr>
      <w:bookmarkStart w:colFirst="0" w:colLast="0" w:name="_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8. Comparison of Receiver Operating Characteristic (ROC) curve of Deepflu and other prediction systems. </w:t>
        <w:br w:type="textWrapping"/>
        <w:t xml:space="preserve">8A Comparison of the ROC curve of LGBM-based clinical-data-only systems,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FluDeep-XR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FluDeep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 FluDeep had higher AUC than LGBM-based clinical-data-only systems and FluDeep-XR (AUROC 0.9876 versus 0.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8589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0.6989, p-value 0.0037 and &lt; 0.0001).  </w:t>
        <w:br w:type="textWrapping"/>
        <w:t xml:space="preserve">8B Comparison of the ROC curve of MuLBSTA score, 4c-mortality score, and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FluDeep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 our patients.  The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FluDeep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had higher AUC than MuLBSTA score and 4c-mortality score (AUROC 0.9876 versus 0.6517 and 0.7060, p-value 0.0001 and 0.0074).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vctt6qijwnj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8f0job252hnz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b47cku84oke" w:id="23"/>
      <w:bookmarkEnd w:id="23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Lorenzo Porta" w:id="0" w:date="2023-03-01T06:34:40Z"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we need the mean of a categorical variable? Or maybe the mode would be more informative?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BiauKa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▲"/>
      <w:lvlJc w:val="left"/>
      <w:pPr>
        <w:ind w:left="360" w:hanging="360"/>
      </w:pPr>
      <w:rPr>
        <w:rFonts w:ascii="BiauKai" w:cs="BiauKai" w:eastAsia="BiauKai" w:hAnsi="BiauKai"/>
        <w:color w:val="000000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2"/>
      <w:numFmt w:val="bullet"/>
      <w:lvlText w:val="▲"/>
      <w:lvlJc w:val="left"/>
      <w:pPr>
        <w:ind w:left="360" w:hanging="360"/>
      </w:pPr>
      <w:rPr>
        <w:rFonts w:ascii="BiauKai" w:cs="BiauKai" w:eastAsia="BiauKai" w:hAnsi="BiauKai"/>
        <w:color w:val="000000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2"/>
      <w:numFmt w:val="bullet"/>
      <w:lvlText w:val="▲"/>
      <w:lvlJc w:val="left"/>
      <w:pPr>
        <w:ind w:left="360" w:hanging="360"/>
      </w:pPr>
      <w:rPr>
        <w:rFonts w:ascii="BiauKai" w:cs="BiauKai" w:eastAsia="BiauKai" w:hAnsi="BiauKai"/>
        <w:color w:val="000000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2"/>
      <w:numFmt w:val="bullet"/>
      <w:lvlText w:val="▲"/>
      <w:lvlJc w:val="left"/>
      <w:pPr>
        <w:ind w:left="360" w:hanging="360"/>
      </w:pPr>
      <w:rPr>
        <w:rFonts w:ascii="BiauKai" w:cs="BiauKai" w:eastAsia="BiauKai" w:hAnsi="BiauKai"/>
        <w:color w:val="000000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2"/>
      <w:numFmt w:val="bullet"/>
      <w:lvlText w:val="▲"/>
      <w:lvlJc w:val="left"/>
      <w:pPr>
        <w:ind w:left="360" w:hanging="360"/>
      </w:pPr>
      <w:rPr>
        <w:rFonts w:ascii="BiauKai" w:cs="BiauKai" w:eastAsia="BiauKai" w:hAnsi="BiauKai"/>
        <w:color w:val="000000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2"/>
      <w:numFmt w:val="bullet"/>
      <w:lvlText w:val="▲"/>
      <w:lvlJc w:val="left"/>
      <w:pPr>
        <w:ind w:left="360" w:hanging="360"/>
      </w:pPr>
      <w:rPr>
        <w:rFonts w:ascii="BiauKai" w:cs="BiauKai" w:eastAsia="BiauKai" w:hAnsi="BiauKai"/>
        <w:color w:val="000000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2"/>
      <w:numFmt w:val="bullet"/>
      <w:lvlText w:val="▲"/>
      <w:lvlJc w:val="left"/>
      <w:pPr>
        <w:ind w:left="360" w:hanging="360"/>
      </w:pPr>
      <w:rPr>
        <w:rFonts w:ascii="BiauKai" w:cs="BiauKai" w:eastAsia="BiauKai" w:hAnsi="BiauKai"/>
        <w:color w:val="000000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2"/>
      <w:numFmt w:val="bullet"/>
      <w:lvlText w:val="▲"/>
      <w:lvlJc w:val="left"/>
      <w:pPr>
        <w:ind w:left="360" w:hanging="360"/>
      </w:pPr>
      <w:rPr>
        <w:rFonts w:ascii="BiauKai" w:cs="BiauKai" w:eastAsia="BiauKai" w:hAnsi="BiauKai"/>
        <w:color w:val="000000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2"/>
      <w:numFmt w:val="bullet"/>
      <w:lvlText w:val="▲"/>
      <w:lvlJc w:val="left"/>
      <w:pPr>
        <w:ind w:left="360" w:hanging="360"/>
      </w:pPr>
      <w:rPr>
        <w:rFonts w:ascii="BiauKai" w:cs="BiauKai" w:eastAsia="BiauKai" w:hAnsi="BiauKai"/>
        <w:color w:val="000000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2"/>
      <w:numFmt w:val="bullet"/>
      <w:lvlText w:val="▲"/>
      <w:lvlJc w:val="left"/>
      <w:pPr>
        <w:ind w:left="360" w:hanging="360"/>
      </w:pPr>
      <w:rPr>
        <w:rFonts w:ascii="BiauKai" w:cs="BiauKai" w:eastAsia="BiauKai" w:hAnsi="BiauKai"/>
        <w:color w:val="000000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7.jpg"/><Relationship Id="rId22" Type="http://schemas.openxmlformats.org/officeDocument/2006/relationships/image" Target="media/image3.png"/><Relationship Id="rId10" Type="http://schemas.openxmlformats.org/officeDocument/2006/relationships/image" Target="media/image6.jpg"/><Relationship Id="rId21" Type="http://schemas.openxmlformats.org/officeDocument/2006/relationships/image" Target="media/image17.png"/><Relationship Id="rId13" Type="http://schemas.openxmlformats.org/officeDocument/2006/relationships/image" Target="media/image14.png"/><Relationship Id="rId12" Type="http://schemas.openxmlformats.org/officeDocument/2006/relationships/image" Target="media/image8.jp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3.jp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6.png"/><Relationship Id="rId16" Type="http://schemas.openxmlformats.org/officeDocument/2006/relationships/image" Target="media/image10.png"/><Relationship Id="rId5" Type="http://schemas.openxmlformats.org/officeDocument/2006/relationships/numbering" Target="numbering.xml"/><Relationship Id="rId19" Type="http://schemas.openxmlformats.org/officeDocument/2006/relationships/image" Target="media/image12.png"/><Relationship Id="rId6" Type="http://schemas.openxmlformats.org/officeDocument/2006/relationships/styles" Target="styles.xml"/><Relationship Id="rId18" Type="http://schemas.openxmlformats.org/officeDocument/2006/relationships/image" Target="media/image4.png"/><Relationship Id="rId7" Type="http://schemas.openxmlformats.org/officeDocument/2006/relationships/image" Target="media/image15.png"/><Relationship Id="rId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