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160" w:after="160" w:line="264" w:lineRule="auto"/>
      </w:pPr>
      <w:r>
        <w:rPr>
          <w:rFonts w:ascii="Calibri" w:hAnsi="Calibri" w:eastAsia="Microsoft YaHei"/>
          <w:i w:val="0"/>
          <w:color w:val="2E74B5"/>
          <w:sz w:val="20"/>
        </w:rPr>
        <w:t>技术与产品审计材料</w:t>
      </w:r>
    </w:p>
    <w:p>
      <w:pPr>
        <w:spacing w:before="0" w:after="100"/>
      </w:pPr>
      <w:r>
        <w:rPr>
          <w:rFonts w:ascii="Calibri" w:hAnsi="Calibri" w:eastAsia="Microsoft YaHei"/>
          <w:b/>
          <w:color w:val="20242C"/>
          <w:sz w:val="54"/>
        </w:rPr>
        <w:t>当前项目说明0629</w:t>
      </w:r>
    </w:p>
    <w:p>
      <w:pPr>
        <w:keepLines w:val="0"/>
        <w:spacing w:before="0" w:after="320" w:line="264" w:lineRule="auto"/>
      </w:pPr>
      <w:r>
        <w:rPr>
          <w:rFonts w:ascii="Calibri" w:hAnsi="Calibri" w:eastAsia="Microsoft YaHei"/>
          <w:i w:val="0"/>
          <w:color w:val="667085"/>
          <w:sz w:val="28"/>
        </w:rPr>
        <w:t>KataGo 本地围棋复盘、诊断与阶段训练桌面应用</w:t>
      </w:r>
    </w:p>
    <w:p>
      <w:pPr>
        <w:spacing w:before="0" w:after="60"/>
      </w:pPr>
      <w:r>
        <w:rPr>
          <w:rFonts w:ascii="Calibri" w:hAnsi="Calibri" w:eastAsia="Microsoft YaHei"/>
          <w:b/>
          <w:color w:val="1F4D78"/>
          <w:sz w:val="21"/>
        </w:rPr>
        <w:t>版本基准：</w:t>
      </w:r>
      <w:r>
        <w:rPr>
          <w:rFonts w:ascii="Calibri" w:hAnsi="Calibri" w:eastAsia="Microsoft YaHei"/>
          <w:color w:val="20242C"/>
          <w:sz w:val="21"/>
        </w:rPr>
        <w:t>2026-06-29；自研层对应 v3.38（问题手双分支深度对比版）</w:t>
      </w:r>
    </w:p>
    <w:p>
      <w:pPr>
        <w:spacing w:before="0" w:after="60"/>
      </w:pPr>
      <w:r>
        <w:rPr>
          <w:rFonts w:ascii="Calibri" w:hAnsi="Calibri" w:eastAsia="Microsoft YaHei"/>
          <w:b/>
          <w:color w:val="1F4D78"/>
          <w:sz w:val="21"/>
        </w:rPr>
        <w:t>审计范围：</w:t>
      </w:r>
      <w:r>
        <w:rPr>
          <w:rFonts w:ascii="Calibri" w:hAnsi="Calibri" w:eastAsia="Microsoft YaHei"/>
          <w:color w:val="20242C"/>
          <w:sz w:val="21"/>
        </w:rPr>
        <w:t>D:\katago 下的自研分析器、KataGo 运行时、上游源码与本地数据</w:t>
      </w:r>
    </w:p>
    <w:p>
      <w:pPr>
        <w:spacing w:before="0" w:after="60"/>
      </w:pPr>
      <w:r>
        <w:rPr>
          <w:rFonts w:ascii="Calibri" w:hAnsi="Calibri" w:eastAsia="Microsoft YaHei"/>
          <w:b/>
          <w:color w:val="1F4D78"/>
          <w:sz w:val="21"/>
        </w:rPr>
        <w:t>目标平台：</w:t>
      </w:r>
      <w:r>
        <w:rPr>
          <w:rFonts w:ascii="Calibri" w:hAnsi="Calibri" w:eastAsia="Microsoft YaHei"/>
          <w:color w:val="20242C"/>
          <w:sz w:val="21"/>
        </w:rPr>
        <w:t>Windows x64；CPU（Eigen/AVX2）与 GPU（OpenCL）双引擎</w:t>
      </w:r>
    </w:p>
    <w:p>
      <w:pPr>
        <w:spacing w:before="0" w:after="60"/>
      </w:pPr>
      <w:r>
        <w:rPr>
          <w:rFonts w:ascii="Calibri" w:hAnsi="Calibri" w:eastAsia="Microsoft YaHei"/>
          <w:b/>
          <w:color w:val="1F4D78"/>
          <w:sz w:val="21"/>
        </w:rPr>
        <w:t>证据来源：</w:t>
      </w:r>
      <w:r>
        <w:rPr>
          <w:rFonts w:ascii="Calibri" w:hAnsi="Calibri" w:eastAsia="Microsoft YaHei"/>
          <w:color w:val="20242C"/>
          <w:sz w:val="21"/>
        </w:rPr>
        <w:t>本地源码、配置、项目数据、既有说明，以及 2026-06-29 实际测试</w:t>
      </w:r>
    </w:p>
    <w:p>
      <w:pPr>
        <w:spacing w:before="120" w:after="200" w:line="276" w:lineRule="auto"/>
        <w:ind w:left="200" w:right="200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一句话定义  </w:t>
      </w:r>
      <w:r>
        <w:rPr>
          <w:rFonts w:ascii="Calibri" w:hAnsi="Calibri" w:eastAsia="Microsoft YaHei"/>
          <w:color w:val="20242C"/>
          <w:sz w:val="22"/>
        </w:rPr>
        <w:t>本项目不是重新训练或替代 KataGo，而是把成熟围棋引擎包装成“导入棋谱—整局分析—定位问题—重下训练—再次评价”的本地闭环工具。</w:t>
      </w:r>
    </w:p>
    <w:p>
      <w:pPr>
        <w:pStyle w:val="Heading2"/>
      </w:pPr>
      <w:r>
        <w:t>结论速览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技术路线合理：上游引擎负责高成本棋力计算，自研层聚焦交互、解释、持久化和训练流程，职责边界总体清楚。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产品差异化不在“能看 AI 推荐”，而在问题手筛选、实战/AI 双分支对比、阶段训练和训练后评价组成的闭环。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当前成熟度应定义为“可运行的单机功能原型 / 内测 Alpha”，不宜表述为已经完成商业化验证的成熟产品。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前景具有条件性：若能证明训练闭环确实提升学习效率，并解决安装、存储、稳定性、校准和许可清单问题，存在形成垂直训练工具的空间。</w:t>
      </w:r>
    </w:p>
    <w:p>
      <w:pPr>
        <w:keepLines w:val="0"/>
        <w:spacing w:before="80" w:after="0" w:line="264" w:lineRule="auto"/>
      </w:pPr>
      <w:r>
        <w:rPr>
          <w:rFonts w:ascii="Calibri" w:hAnsi="Calibri" w:eastAsia="Microsoft YaHei"/>
          <w:i/>
          <w:color w:val="667085"/>
          <w:sz w:val="19"/>
        </w:rPr>
        <w:t>重要边界：本文的“前景判断”是基于工程形态与产品逻辑的条件性推断；项目尚无用户规模、留存、付费、竞品基准或学习效果实验数据。</w:t>
      </w:r>
    </w:p>
    <w:p>
      <w:r>
        <w:br w:type="page"/>
      </w:r>
    </w:p>
    <w:p>
      <w:pPr>
        <w:pStyle w:val="Heading1"/>
      </w:pPr>
      <w:r>
        <w:t>1. 项目定位与要解决的问题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传统围棋 AI 分析工具通常擅长给出胜率、目差、候选点和主变化，但用户仍需自己回答三个问题：哪里真正值得复盘、为什么实战方向较差、下一次怎样练。本项目把重点从“展示引擎输出”前移到“组织学习任务”，目标是降低普通业余棋手理解 AI 结果的门槛。</w:t>
      </w:r>
    </w:p>
    <w:p>
      <w:pPr>
        <w:pStyle w:val="Heading2"/>
      </w:pPr>
      <w:r>
        <w:t>1.1 目标用户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需要本地、离线复盘的个人围棋学习者，尤其是希望保护棋谱隐私或不依赖云服务的用户。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会导入 SGF、关注胜率与目差，但不愿逐手阅读大量候选变化的中级及以上爱好者。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希望把一盘棋转化成可重复训练阶段，而非只看一次复盘报告的用户。</w:t>
      </w:r>
    </w:p>
    <w:p>
      <w:pPr>
        <w:pStyle w:val="Heading2"/>
      </w:pPr>
      <w:r>
        <w:t>1.2 核心价值主张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20242C"/>
          <w:sz w:val="22"/>
        </w:rPr>
        <w:t>把整盘棋自动转换为少量有胜负意义的问题手和阶段结论。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20242C"/>
          <w:sz w:val="22"/>
        </w:rPr>
        <w:t>对关键恶手同时重算实战分支与 AI 分支，用统一 visits 比较目差、胜率、控制点和主变。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20242C"/>
          <w:sz w:val="22"/>
        </w:rPr>
        <w:t>从累计表现最差的约 30—40 手阶段生成训练题，隐藏候选提示，让用户重新作战。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20242C"/>
          <w:sz w:val="22"/>
        </w:rPr>
        <w:t>训练结束后仅评价用户执棋手，与原实战阶段比较，形成可持续的复盘—训练闭环。</w:t>
      </w:r>
    </w:p>
    <w:p>
      <w:pPr>
        <w:pStyle w:val="Heading2"/>
      </w:pPr>
      <w:r>
        <w:t>1.3 明确不属于当前范围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不是新的围棋神经网络，也没有重新训练 KataGo 权重。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不是在线对弈平台、社交社区、云端账号系统或多人协作系统。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不是经过棋院或大样本标定的正式段位认证工具；棋力档位是经验映射。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不是完备裁判系统；本地点目当前以 19 路、中国规则面积数法为主。</w:t>
      </w:r>
    </w:p>
    <w:p>
      <w:r>
        <w:br w:type="page"/>
      </w:r>
    </w:p>
    <w:p>
      <w:pPr>
        <w:pStyle w:val="Heading1"/>
      </w:pPr>
      <w:r>
        <w:t>2. 项目组成与当前规模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450"/>
        <w:gridCol w:w="1450"/>
        <w:gridCol w:w="3650"/>
        <w:gridCol w:w="2810"/>
      </w:tblGrid>
      <w:tr>
        <w:trPr>
          <w:tblHeader w:val="true"/>
          <w:cantSplit/>
        </w:trPr>
        <w:tc>
          <w:tcPr>
            <w:tcW w:type="dxa" w:w="14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组成</w:t>
            </w:r>
          </w:p>
        </w:tc>
        <w:tc>
          <w:tcPr>
            <w:tcW w:type="dxa" w:w="14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性质</w:t>
            </w:r>
          </w:p>
        </w:tc>
        <w:tc>
          <w:tcPr>
            <w:tcW w:type="dxa" w:w="3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当前内容</w:t>
            </w:r>
          </w:p>
        </w:tc>
        <w:tc>
          <w:tcPr>
            <w:tcW w:type="dxa" w:w="28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审计含义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KataGo/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上游源码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官方 C++ 引擎与训练工具；本地提交 2a4d06d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不是本项目自研差异化主体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katago-runtime/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可运行依赖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 v1.16.5；CPU/GPU 引擎、b18/b28 模型、DLL、配置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支撑离线开箱运行，体积约 462 MB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analyzer/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自研应用层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Python + tkinter；16 个实现模块，约 6,700 行实现代码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核心产品资产与主要技术债集中处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game_library/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本地用户数据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SGF、项目快照、分析缓存、训练缓存、索引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当前示例数据约 164.7 MB，需控制增长</w:t>
            </w:r>
          </w:p>
        </w:tc>
      </w:tr>
    </w:tbl>
    <w:p>
      <w:pPr>
        <w:spacing w:after="40"/>
      </w:pPr>
    </w:p>
    <w:p>
      <w:pPr>
        <w:pStyle w:val="Heading2"/>
      </w:pPr>
      <w:r>
        <w:t>2.1 当前运行配置快照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本地设置优先使用 OpenCL GPU 引擎与 b18c384 模型；中国规则、贴目 7.5、整局分析 maxVisits=200；训练默认快速档 80 visits，棋局库后台训练分析 120 visits；热力图当前设为 policy。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同一运行目录同时提供 Eigen/AVX2 CPU 版作为保底，以及更大的 b28c512 模型作为更强但更慢的可选项。首次 OpenCL 运行可能进行硬件调优。</w:t>
      </w:r>
    </w:p>
    <w:p>
      <w:pPr>
        <w:pStyle w:val="Heading2"/>
      </w:pPr>
      <w:r>
        <w:t>2.2 启动与依赖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入口为 run.bat；优先调用 pythonw，其次 py，再次 python。用户也可在 analyzer 目录直接运行 app.py。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自研层几乎只依赖 Python 标准库与 tkinter，减少了 pip 依赖，但把可用 Tcl/Tk 运行时变成硬要求。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配置管理可向上查找 katago-runtime，也支持 KATAGO_RUNTIME 环境变量；缺失引擎、模型、配置或 DLL 时会在启动前检查。</w:t>
      </w:r>
    </w:p>
    <w:p>
      <w:pPr>
        <w:spacing w:before="120" w:after="200" w:line="276" w:lineRule="auto"/>
        <w:ind w:left="200" w:right="200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当前可移植性结论  </w:t>
      </w:r>
      <w:r>
        <w:rPr>
          <w:rFonts w:ascii="Calibri" w:hAnsi="Calibri" w:eastAsia="Microsoft YaHei"/>
          <w:color w:val="20242C"/>
          <w:sz w:val="22"/>
        </w:rPr>
        <w:t>路径逻辑已避免把 D:\katago 写死在代码中，但 user_settings.json 保存的是本机绝对路径；换机时依赖“路径失效后自动重定位”恢复。真正的一键分发仍需打包 Python/Tk。</w:t>
      </w:r>
    </w:p>
    <w:p>
      <w:pPr>
        <w:pStyle w:val="Heading1"/>
      </w:pPr>
      <w:r>
        <w:t>3. 架构与数据流</w:t>
      </w:r>
    </w:p>
    <w:p>
      <w:pPr>
        <w:pStyle w:val="Heading2"/>
      </w:pPr>
      <w:r>
        <w:t>3.1 分层结构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</w:t>
            </w:r>
          </w:p>
        </w:tc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主要文件</w:t>
            </w:r>
          </w:p>
        </w:tc>
        <w:tc>
          <w:tcPr>
            <w:tcW w:type="dxa" w:w="48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界面与编排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app.py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窗口、棋盘绘制、交互状态、批量任务、训练流程、后台预取与结果渲染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领域逻辑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board.py / movetree.py / review.py / training.py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围棋规则快照、棋局树、复盘评价、训练任务与评分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引擎适配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katago_client.py / analysis_guard.py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 子进程、单行 JSON 协议、异步结果队列、过期请求隔离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数据与互操作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sgf.py / project_store.py / game_library.py / training_cache.py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SGF、项目快照、棋局库、分析和训练缓存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解释与输出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branch_comparison.py / review_report.py / score_estimator.py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双分支比较、Markdown 报告、本地点目</w:t>
            </w:r>
          </w:p>
        </w:tc>
      </w:tr>
    </w:tbl>
    <w:p>
      <w:pPr>
        <w:spacing w:after="40"/>
      </w:pPr>
    </w:p>
    <w:p>
      <w:pPr>
        <w:pStyle w:val="Heading2"/>
      </w:pPr>
      <w:r>
        <w:t>3.2 线程与进程模型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GUI 主线程只处理 tkinter 与状态更新；KataGo 作为独立子进程运行。后台线程分别读取 stdout JSON 和 stderr，结果进入线程安全队列，UI 每 80 ms 轮询。AnalysisGuard 以会话和节点标识过滤重启后或导航后的过期结果，避免异步回包污染当前局面。</w:t>
      </w:r>
    </w:p>
    <w:p>
      <w:pPr>
        <w:spacing w:before="120" w:after="200" w:line="276" w:lineRule="auto"/>
        <w:ind w:left="200" w:right="200"/>
        <w:shd w:fill="F4F6F9"/>
        <w:pBdr>
          <w:left w:val="single" w:sz="18" w:space="6" w:color="157A55"/>
        </w:pBdr>
      </w:pPr>
      <w:r>
        <w:rPr>
          <w:rFonts w:ascii="Calibri" w:hAnsi="Calibri" w:eastAsia="Microsoft YaHei"/>
          <w:b/>
          <w:color w:val="157A55"/>
          <w:sz w:val="22"/>
        </w:rPr>
        <w:t xml:space="preserve">合理性  </w:t>
      </w:r>
      <w:r>
        <w:rPr>
          <w:rFonts w:ascii="Calibri" w:hAnsi="Calibri" w:eastAsia="Microsoft YaHei"/>
          <w:color w:val="20242C"/>
          <w:sz w:val="22"/>
        </w:rPr>
        <w:t>这一模型符合 tkinter 的单线程 UI 约束，也把引擎崩溃与界面进程隔离。对单用户桌面应用足够直接；当并发任务继续增加时，需把 app.py 中的任务状态机进一步拆分。</w:t>
      </w:r>
    </w:p>
    <w:p>
      <w:pPr>
        <w:pStyle w:val="Heading2"/>
      </w:pPr>
      <w:r>
        <w:t>3.3 主流程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20242C"/>
          <w:sz w:val="22"/>
        </w:rPr>
        <w:t>启动：配置管理定位引擎、模型和 analysis.cfg，预检后启动 KataGo analysis 子进程。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20242C"/>
          <w:sz w:val="22"/>
        </w:rPr>
        <w:t>输入：用户落子、导入 SGF、打开 .kga.json 项目或从本地棋局库选择棋谱。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20242C"/>
          <w:sz w:val="22"/>
        </w:rPr>
        <w:t>分析：按局面发送 initialStones、moves、rules、komi、maxVisits 等 JSON 请求。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20242C"/>
          <w:sz w:val="22"/>
        </w:rPr>
        <w:t>解释：把 rootInfo、moveInfos、ownership、policy 转换为候选点、目损、胜率曲线、问题手与阶段摘要。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20242C"/>
          <w:sz w:val="22"/>
        </w:rPr>
        <w:t>训练：选择累计表现最差阶段，优先读取磁盘训练缓存，不足时启动引擎补算并回写。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20242C"/>
          <w:sz w:val="22"/>
        </w:rPr>
        <w:t>保存：将棋局树、分析、评论、点目、分支比较和训练记录写入本地 JSON/SGF/Markdown。</w:t>
      </w:r>
    </w:p>
    <w:p>
      <w:pPr>
        <w:pStyle w:val="Heading1"/>
      </w:pPr>
      <w:r>
        <w:t>4. 当前功能清单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400"/>
        <w:gridCol w:w="3630"/>
        <w:gridCol w:w="1450"/>
        <w:gridCol w:w="2880"/>
      </w:tblGrid>
      <w:tr>
        <w:trPr>
          <w:tblHeader w:val="true"/>
          <w:cantSplit/>
        </w:trPr>
        <w:tc>
          <w:tcPr>
            <w:tcW w:type="dxa" w:w="14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功能域</w:t>
            </w:r>
          </w:p>
        </w:tc>
        <w:tc>
          <w:tcPr>
            <w:tcW w:type="dxa" w:w="363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已实现能力</w:t>
            </w:r>
          </w:p>
        </w:tc>
        <w:tc>
          <w:tcPr>
            <w:tcW w:type="dxa" w:w="14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8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主要边界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棋盘与规则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19 路落子、提子、自杀、简单劫、Pass、让子设置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未实现位置超级劫等完整规则族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AI 候选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前三候选、胜率/目差、最多 10—14 手主变、悬停预览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结果受模型与 visits 影响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形势可视化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ownership 地盘图、policy 策略热力图、黑视角胜率条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热力图是模型输出，不等于确定领地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棋局树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撤回、快进、分支、兄弟分支切换、自动播放、进度跳转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UI 由单体 app.py 编排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SGF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主线/变化图、评论、让子、Pass、RE、导入导出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兼容范围需用更大 SGF 语料验证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整局复盘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批量分析、逐手目损、胜率曲线、问题手列表、三阶段评价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评价阈值为启发式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双分支对比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同 visits 重算实战与 AI 分支，比较目差/胜率/控制点/PV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文字原因是规则型推断，不是因果证明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单局表现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过滤胜负已定局面、封顶单手目损后映射参考棋力档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未做外部标定，不等于长期棋力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阶段训练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最差阶段生成、执棋方过滤、隐藏候选、提示、重来、训练评分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是局面重练，不是训练神经网络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训练缓存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预生成候选与 AI 应手树，签名失效与后台补算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磁盘与状态复杂度持续上升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终局点目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中国规则面积数法、死子标记、AI 死子建议、RE 写回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日本规则精确点目、双活等未完成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数据与报告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棋局库去重/搜索、项目快照、Markdown 报告、训练历史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已实现/已测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项目 JSON 当前可能非常大</w:t>
            </w:r>
          </w:p>
        </w:tc>
      </w:tr>
    </w:tbl>
    <w:p>
      <w:pPr>
        <w:spacing w:after="40"/>
      </w:pPr>
    </w:p>
    <w:p>
      <w:pPr>
        <w:pStyle w:val="Heading2"/>
      </w:pPr>
      <w:r>
        <w:t>4.1 用户可感知的闭环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用户导入一盘 SGF 后，系统可自动入库并分析主线；复盘页只突出仍有胜负悬念时造成明显目损或胜率下降的问题手。点击关键问题手可触发实战/AI 双分支重算；训练模式再把最差阶段还原给用户重下，结束后比较平均目损、问题手数量和改善幅度。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这一闭环是项目最值得审计的产品假设：用户是否更愿意“练一个阶段”，以及这种练习是否比阅读传统 AI 变化图更有效。</w:t>
      </w:r>
    </w:p>
    <w:p>
      <w:pPr>
        <w:pStyle w:val="Heading1"/>
      </w:pPr>
      <w:r>
        <w:t>5. 关键算法与判断口径</w:t>
      </w:r>
    </w:p>
    <w:p>
      <w:pPr>
        <w:pStyle w:val="Heading2"/>
      </w:pPr>
      <w:r>
        <w:t>5.1 单手目损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analysis.cfg 将胜率和 scoreLead 固定为黑方视角。黑走时，目损 = AI 最佳候选目差 − 实战落子后目差；白走时翻转符号；负值截为 0。这保证了黑白双方都用“走子方损失越大越差”的同一口径。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目损小于 1：好；1—3：普通；3—6：疑问；6 及以上：恶手。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问题手筛选不只看目损，也优先考虑仍有胜负悬念时的胜率影响，避免胜负已定后的巨大目差噪声。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候选吻合度记录实战落点是否位于父局面 moveInfos 的前 1、前 3 或前 5。</w:t>
      </w:r>
    </w:p>
    <w:p>
      <w:pPr>
        <w:pStyle w:val="Heading2"/>
      </w:pPr>
      <w:r>
        <w:t>5.2 单局表现档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代码对仍有胜负悬念的局面采样，并把单手计入的目损上限设为 3 目，以降低一次战术崩盘或守胜率阶段对整局结论的支配。随后将稳健目损映射到 7 段+至 16 级以下的表现档。界面明确标注这是 AI 视角的单局参考，而非账号段位或长期认证。</w:t>
      </w:r>
    </w:p>
    <w:p>
      <w:pPr>
        <w:spacing w:before="120" w:after="200" w:line="276" w:lineRule="auto"/>
        <w:ind w:left="200" w:right="200"/>
        <w:shd w:fill="F4F6F9"/>
        <w:pBdr>
          <w:left w:val="single" w:sz="18" w:space="6" w:color="8A5A00"/>
        </w:pBdr>
      </w:pPr>
      <w:r>
        <w:rPr>
          <w:rFonts w:ascii="Calibri" w:hAnsi="Calibri" w:eastAsia="Microsoft YaHei"/>
          <w:b/>
          <w:color w:val="8A5A00"/>
          <w:sz w:val="22"/>
        </w:rPr>
        <w:t xml:space="preserve">审计重点  </w:t>
      </w:r>
      <w:r>
        <w:rPr>
          <w:rFonts w:ascii="Calibri" w:hAnsi="Calibri" w:eastAsia="Microsoft YaHei"/>
          <w:color w:val="20242C"/>
          <w:sz w:val="22"/>
        </w:rPr>
        <w:t>该映射在工程上做了降噪，但阈值仍是经验值。若要对外形成可信产品，必须用不同棋力、棋风、规则、模型和 visits 的真实样本做校准，并给出置信区间。</w:t>
      </w:r>
    </w:p>
    <w:p>
      <w:pPr>
        <w:pStyle w:val="Heading2"/>
      </w:pPr>
      <w:r>
        <w:t>5.3 阶段训练选择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训练模块以约 36 手滑动窗口寻找累计表现最差阶段，综合累计目损、胜率损失、疑问/恶手数量和连续问题；可按黑方、白方或双方过滤。训练后只统计用户执棋手，并与原阶段同方平均目损比较。</w:t>
      </w:r>
    </w:p>
    <w:p>
      <w:pPr>
        <w:pStyle w:val="Heading2"/>
      </w:pPr>
      <w:r>
        <w:t>5.4 双分支文字诊断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branch_comparison.py 依据落点区域、稳定控制点差、目差增益、胜率增益和阶段标签生成中文解释。该设计可离线、确定性强、成本低，但“方向选择、厚薄、交换次序”等表述属于启发式解释，应向用户持续表明它是线索而非棋理因果证明。</w:t>
      </w:r>
    </w:p>
    <w:p>
      <w:pPr>
        <w:pStyle w:val="Heading1"/>
      </w:pPr>
      <w:r>
        <w:t>6. 数据、缓存与隐私</w:t>
      </w:r>
    </w:p>
    <w:p>
      <w:pPr>
        <w:pStyle w:val="Heading2"/>
      </w:pPr>
      <w:r>
        <w:t>6.1 本地数据模型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MoveTree：每个节点保存不可变 BoardState、落子、父子关系、评论和 analysis。第一个子节点作为主线。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.kga.json：保存整棵棋局树、每节点完整 KataGo 分析、点目结果、当前路径和深度对比。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game_library/index.json：保存棋谱元数据、分析进度、训练任务、训练缓存状态与训练历史。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training_cache/&lt;id&gt;.json：按局面键保存压缩后的候选与应手分析；模型、规则、贴目或 visits 变化时签名失效。</w:t>
      </w:r>
    </w:p>
    <w:p>
      <w:pPr>
        <w:pStyle w:val="Heading2"/>
      </w:pPr>
      <w:r>
        <w:t>6.2 隐私与离线性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核心分析不需要上传棋谱；引擎、模型、项目、报告和训练历史均在本机。对重视隐私、网络不稳定或希望控制推理成本的用户，这是明确优势。当前也没有账号、遥测、云同步和远程执行面，攻击面相对较小。</w:t>
      </w:r>
    </w:p>
    <w:p>
      <w:pPr>
        <w:pStyle w:val="Heading2"/>
      </w:pPr>
      <w:r>
        <w:t>6.3 已暴露的存储问题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当前两个已完整分析的示例项目文件约为 115.4 MB 与 48.3 MB，而原始 SGF 接近可忽略。原因是 .kga.json 把每个节点的完整 analysis（包括 361 点 ownership、362 项 policy 与候选信息）重复写入。</w:t>
      </w:r>
    </w:p>
    <w:p>
      <w:pPr>
        <w:spacing w:before="120" w:after="200" w:line="276" w:lineRule="auto"/>
        <w:ind w:left="200" w:right="200"/>
        <w:shd w:fill="F4F6F9"/>
        <w:pBdr>
          <w:left w:val="single" w:sz="18" w:space="6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高优先级改进  </w:t>
      </w:r>
      <w:r>
        <w:rPr>
          <w:rFonts w:ascii="Calibri" w:hAnsi="Calibri" w:eastAsia="Microsoft YaHei"/>
          <w:color w:val="20242C"/>
          <w:sz w:val="22"/>
        </w:rPr>
        <w:t>将“复盘必需摘要”与“可重建的大型热力图”分离：项目文件只保留 rootInfo、有限 moveInfos、必要 PV 和版本签名；ownership/policy 可压缩、按需缓存或单独存储。还应加入缓存上限、清理策略和原子写入。</w:t>
      </w:r>
    </w:p>
    <w:p>
      <w:pPr>
        <w:pStyle w:val="Heading2"/>
      </w:pPr>
      <w:r>
        <w:t>6.4 数据兼容风险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项目格式版本目前为 1；有向后拒绝高版本的检查，但缺少正式迁移器、模式校验与损坏恢复。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配置与索引写入失败多以返回 False 或静默回退处理；需要可见错误、备份与原子替换。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用户数据与源码位于同一 analyzer 目录，不利于升级、只读安装和多用户系统；应迁至系统应用数据目录。</w:t>
      </w:r>
    </w:p>
    <w:p>
      <w:pPr>
        <w:pStyle w:val="Heading1"/>
      </w:pPr>
      <w:r>
        <w:t>7. 质量证据与本次验证结果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000"/>
        <w:gridCol w:w="1850"/>
        <w:gridCol w:w="5510"/>
      </w:tblGrid>
      <w:tr>
        <w:trPr>
          <w:tblHeader w:val="true"/>
          <w:cantSplit/>
        </w:trPr>
        <w:tc>
          <w:tcPr>
            <w:tcW w:type="dxa" w:w="2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55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测试规模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16 个测试文件、82 个零参数测试函数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覆盖规则、通信、复盘、训练、缓存、SGF、点目、配置、UI 冒烟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2026-06-29 实跑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81 通过，1 未完成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使用审计环境中的 Python 3.12 自定义顺序执行器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真实引擎通信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通过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 v1.16.5；空盘、落子、Pass、ownership、policy 均返回有效结果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UI 冒烟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环境阻塞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审计 Python 找不到可用 init.tcl；不是业务断言失败，但不能据此宣称 UI 全绿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上游源码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提交 2a4d06d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 子仓库；本地有未跟踪的“当前任务.md”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根工作区版本管理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不完整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D:\katago 根目录未被识别为有效 Git 仓库；自研层缺少清晰提交历史证据</w:t>
            </w:r>
          </w:p>
        </w:tc>
      </w:tr>
    </w:tbl>
    <w:p>
      <w:pPr>
        <w:spacing w:after="40"/>
      </w:pPr>
    </w:p>
    <w:p>
      <w:pPr>
        <w:pStyle w:val="Heading2"/>
      </w:pPr>
      <w:r>
        <w:t>7.1 本次通过的关键路径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提子、自杀、简单劫、坐标转换、Pass、让子与棋局树分支。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KataGo 子进程启动、版本探测、空盘分析、落子后轮次、真实 ownership/policy 映射。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SGF 变化、评论转义、RE 保留/覆盖、点目摘要和项目文件往返。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逐手目损、胜率曲线数据、问题手筛选、阶段评价、单局表现降噪。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训练题生成、执棋方过滤、训练评分、候选/AI 应手缓存与后台构建。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问题手实战/AI 双分支异步收集与黑白视角统一。</w:t>
      </w:r>
    </w:p>
    <w:p>
      <w:pPr>
        <w:pStyle w:val="Heading2"/>
      </w:pPr>
      <w:r>
        <w:t>7.2 质量结论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核心纯逻辑和真实引擎集成已有较好回归覆盖，说明项目不是静态界面样稿。与此同时，当前测试体系没有固定 requirements 或可复现测试命令，UI 自动化仍依赖本机 Tk 环境；这使“开发者机器可用”和“可持续交付”之间仍有距离。</w:t>
      </w:r>
    </w:p>
    <w:p>
      <w:pPr>
        <w:pStyle w:val="Heading1"/>
      </w:pPr>
      <w:r>
        <w:t>8. 工程合理性评估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900"/>
        <w:gridCol w:w="1800"/>
        <w:gridCol w:w="5660"/>
      </w:tblGrid>
      <w:tr>
        <w:trPr>
          <w:tblHeader w:val="true"/>
          <w:cantSplit/>
        </w:trPr>
        <w:tc>
          <w:tcPr>
            <w:tcW w:type="dxa" w:w="1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判断</w:t>
            </w:r>
          </w:p>
        </w:tc>
        <w:tc>
          <w:tcPr>
            <w:tcW w:type="dxa" w:w="56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问题—方案匹配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较合理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以成熟引擎解决棋力计算，把研发集中在学习闭环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模块边界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核心逻辑较清楚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规则、复盘、训练、持久化均有独立模块与测试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异步设计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适合当前规模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子进程 + 线程读写 + UI 轮询 + 会话守卫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可维护性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中等偏弱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app.py 约 3,900 行，承担 UI、编排、缓存和训练状态机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可部署性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偏弱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依赖外部 Python/Tk；未形成正式安装包、版本锁定和升级机制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数据工程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需尽快重构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完整分析直接进 JSON，单盘可超过 100 MB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评价可信度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功能可用、科学性待证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阈值和文字诊断主要为启发式，缺外部校准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9"/>
              </w:rPr>
              <w:t>可审计性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中等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代码与测试较透明，但自研根目录版本历史和发布清单不足</w:t>
            </w:r>
          </w:p>
        </w:tc>
      </w:tr>
    </w:tbl>
    <w:p>
      <w:pPr>
        <w:spacing w:after="40"/>
      </w:pPr>
    </w:p>
    <w:p>
      <w:pPr>
        <w:pStyle w:val="Heading2"/>
      </w:pPr>
      <w:r>
        <w:t>8.1 为什么总体路线成立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/>
          <w:color w:val="20242C"/>
          <w:sz w:val="22"/>
        </w:rPr>
        <w:t>引擎复用：</w:t>
      </w:r>
      <w:r>
        <w:rPr>
          <w:rFonts w:ascii="Calibri" w:hAnsi="Calibri" w:eastAsia="Microsoft YaHei"/>
          <w:i w:val="0"/>
          <w:color w:val="20242C"/>
          <w:sz w:val="22"/>
        </w:rPr>
        <w:t>复用 KataGo 避免重造最昂贵的搜索与神经网络能力，符合小团队资源约束。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/>
          <w:color w:val="20242C"/>
          <w:sz w:val="22"/>
        </w:rPr>
        <w:t>架构适配：</w:t>
      </w:r>
      <w:r>
        <w:rPr>
          <w:rFonts w:ascii="Calibri" w:hAnsi="Calibri" w:eastAsia="Microsoft YaHei"/>
          <w:i w:val="0"/>
          <w:color w:val="20242C"/>
          <w:sz w:val="22"/>
        </w:rPr>
        <w:t>本地优先与单机架构匹配围棋分析的高算力、强隐私与长任务特征。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/>
          <w:color w:val="20242C"/>
          <w:sz w:val="22"/>
        </w:rPr>
        <w:t>产品聚焦：</w:t>
      </w:r>
      <w:r>
        <w:rPr>
          <w:rFonts w:ascii="Calibri" w:hAnsi="Calibri" w:eastAsia="Microsoft YaHei"/>
          <w:i w:val="0"/>
          <w:color w:val="20242C"/>
          <w:sz w:val="22"/>
        </w:rPr>
        <w:t>自研层围绕“理解与训练”而不是复制引擎，具备形成独立产品价值的可能。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b/>
          <w:color w:val="20242C"/>
          <w:sz w:val="22"/>
        </w:rPr>
        <w:t>可演进性：</w:t>
      </w:r>
      <w:r>
        <w:rPr>
          <w:rFonts w:ascii="Calibri" w:hAnsi="Calibri" w:eastAsia="Microsoft YaHei"/>
          <w:i w:val="0"/>
          <w:color w:val="20242C"/>
          <w:sz w:val="22"/>
        </w:rPr>
        <w:t>规则和评价逻辑大多从 UI 中抽离并有测试，便于后续替换界面或迁移平台。</w:t>
      </w:r>
    </w:p>
    <w:p>
      <w:pPr>
        <w:pStyle w:val="Heading2"/>
      </w:pPr>
      <w:r>
        <w:t>8.2 当前最不合理的部分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app.py 同时承担视图、控制器、任务调度和缓存状态，继续加功能会迅速提高回归风险。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持久化直接保存大体积引擎原始响应，功能正确但工程成本不可持续。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评价标签比底层证据更“像结论”；若不做校准，容易让用户把启发式档位当作客观棋力。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启动说明要求安装 Python，但项目目标是普通棋手；这会显著降低真实转化率。</w:t>
      </w:r>
    </w:p>
    <w:p>
      <w:pPr>
        <w:pStyle w:val="Heading1"/>
      </w:pPr>
      <w:r>
        <w:t>9. 前景性与差异化判断</w:t>
      </w:r>
    </w:p>
    <w:p>
      <w:pPr>
        <w:spacing w:before="120" w:after="200" w:line="276" w:lineRule="auto"/>
        <w:ind w:left="200" w:right="200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总体判断  </w:t>
      </w:r>
      <w:r>
        <w:rPr>
          <w:rFonts w:ascii="Calibri" w:hAnsi="Calibri" w:eastAsia="Microsoft YaHei"/>
          <w:color w:val="20242C"/>
          <w:sz w:val="22"/>
        </w:rPr>
        <w:t>项目具有中等偏正面的条件性前景。工程原型已经证明核心闭环可做，但商业或规模化前景尚未被用户数据证明。决定成败的不是再增加更多 KataGo 参数，而是训练闭环是否有效、解释是否可信、安装是否足够简单。</w:t>
      </w:r>
    </w:p>
    <w:p>
      <w:pPr>
        <w:pStyle w:val="Heading2"/>
      </w:pPr>
      <w:r>
        <w:t>9.1 可形成优势的部分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离线、隐私、CPU/GPU 双路径，适合不愿上传棋谱或不希望订阅云服务的用户。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从“整盘指标”收敛到“少量问题手 + 最差阶段”，降低复盘信息过载。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双分支同算力对比比单看 AI 首选更公平，能展示实战选择的长期后果。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训练缓存让同一棋谱可以重复练习，具备从一次性工具变为学习系统的基础。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数据格式和算法透明，适合继续做可解释、可验证的围棋教学研究。</w:t>
      </w:r>
    </w:p>
    <w:p>
      <w:pPr>
        <w:pStyle w:val="Heading2"/>
      </w:pPr>
      <w:r>
        <w:t>9.2 不足以构成壁垒的部分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候选点、胜率、目差、ownership、SGF 导入等属于常见围棋 AI 工具基础能力。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调用开源 KataGo 本身不是独占优势；其他桌面工具可以复制相似分析面板。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规则型中文解释易实现，但若准确性不稳定，也容易损害信任。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没有用户数据、教师背书、课程体系、长期画像或跨设备同步，当前网络效应和数据壁垒都很弱。</w:t>
      </w:r>
    </w:p>
    <w:p>
      <w:pPr>
        <w:pStyle w:val="Heading2"/>
      </w:pPr>
      <w:r>
        <w:t>9.3 三种可能的发展路径</w:t>
      </w:r>
    </w:p>
    <w:p>
      <w:pPr>
        <w:pStyle w:val="Heading3"/>
      </w:pPr>
      <w:r>
        <w:t>路径 A：高质量本地复盘工具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重点做一键安装、稳定批量分析、轻量项目文件、清晰问题手和可分享报告。技术风险最低，最接近当前能力。</w:t>
      </w:r>
    </w:p>
    <w:p>
      <w:pPr>
        <w:pStyle w:val="Heading3"/>
      </w:pPr>
      <w:r>
        <w:t>路径 B：个人阶段训练教练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围绕问题阶段重复训练、间隔复习、难度自适应、学习记录与复测构建长期闭环。差异化更强，但必须验证训练效果。</w:t>
      </w:r>
    </w:p>
    <w:p>
      <w:pPr>
        <w:pStyle w:val="Heading3"/>
      </w:pPr>
      <w:r>
        <w:t>路径 C：教练/棋校辅助平台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增加批量学员、教师批注、作业与统计。价值空间更大，但会引入账号、权限、云同步、合规和多租户复杂度，当前架构不能直接承载。</w:t>
      </w:r>
    </w:p>
    <w:p>
      <w:pPr>
        <w:keepLines w:val="0"/>
        <w:spacing w:before="100" w:after="120" w:line="264" w:lineRule="auto"/>
      </w:pPr>
      <w:r>
        <w:rPr>
          <w:rFonts w:ascii="Calibri" w:hAnsi="Calibri" w:eastAsia="Microsoft YaHei"/>
          <w:b/>
          <w:color w:val="20242C"/>
          <w:sz w:val="22"/>
        </w:rPr>
        <w:t>建议优先顺序：</w:t>
      </w:r>
      <w:r>
        <w:rPr>
          <w:rFonts w:ascii="Calibri" w:hAnsi="Calibri" w:eastAsia="Microsoft YaHei"/>
          <w:i w:val="0"/>
          <w:color w:val="20242C"/>
          <w:sz w:val="22"/>
        </w:rPr>
        <w:t>先把 A 做稳，用真实用户验证 B；在 B 的学习结果成立前，不宜直接扩张到 C。</w:t>
      </w:r>
    </w:p>
    <w:p>
      <w:pPr>
        <w:pStyle w:val="Heading1"/>
      </w:pPr>
      <w:r>
        <w:t>10. 主要风险与技术债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850"/>
        <w:gridCol w:w="2100"/>
        <w:gridCol w:w="2860"/>
        <w:gridCol w:w="3550"/>
      </w:tblGrid>
      <w:tr>
        <w:trPr>
          <w:tblHeader w:val="true"/>
          <w:cantSplit/>
        </w:trPr>
        <w:tc>
          <w:tcPr>
            <w:tcW w:type="dxa" w:w="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28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建议动作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安装依赖 Python/Tk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普通用户启动失败；当前审计环境即无法完成 Tk 冒烟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打包独立运行时，加入安装/启动自检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项目文件膨胀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单盘 48—115 MB，长期使用将拖慢保存、备份与升级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拆分摘要/热力图，压缩并限额清理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评价未外部校准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段位、原因和训练评分可能产生过度信任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建立标注集、棋手分层实验和置信表达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许可/物料清单不完整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发行时可能遗漏模型、DLL、运行时与自研层许可说明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生成 SBOM 与第三方许可包，明确自研许可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app.py 单体化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新增功能引发状态耦合和难测回归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拆为视图、控制器、任务服务、训练会话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写入与恢复不足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异常退出可能损坏设置、索引或大 JSON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原子写、备份、校验、迁移与恢复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规则范围有限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超级劫、日本规则、双活等边界不一致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明确产品范围，补规则语料与互操作测试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版本管理薄弱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自研代码变更难追溯、难发布与回滚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将根工作区纳入 Git，建立标签和变更日志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缺少性能基准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不同显卡/模型/visits 下体验不可预测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建立冷启动、单手、整局、缓存命中基准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7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解释可能过度概括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用户将规则型线索当成确定棋理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7"/>
              </w:rPr>
              <w:t>展示证据、允许展开 PV，并标注不确定性</w:t>
            </w:r>
          </w:p>
        </w:tc>
      </w:tr>
    </w:tbl>
    <w:p>
      <w:pPr>
        <w:spacing w:after="40"/>
      </w:pPr>
    </w:p>
    <w:p>
      <w:pPr>
        <w:pStyle w:val="Heading2"/>
      </w:pPr>
      <w:r>
        <w:t>10.1 许可特别说明</w:t>
      </w:r>
    </w:p>
    <w:p>
      <w:pPr>
        <w:keepLines w:val="0"/>
        <w:spacing w:before="0" w:after="120" w:line="264" w:lineRule="auto"/>
      </w:pPr>
      <w:r>
        <w:rPr>
          <w:rFonts w:ascii="Calibri" w:hAnsi="Calibri" w:eastAsia="Microsoft YaHei"/>
          <w:i w:val="0"/>
          <w:color w:val="20242C"/>
          <w:sz w:val="22"/>
        </w:rPr>
        <w:t>KataGo 上游源码在本地 LICENSE 中采用 MIT 许可；但准备对外发行时，仍应分别核对预编译二进制、神经网络模型、OpenSSL/zlib/libzip、MSVC 运行时、Python/Tk 以及自研 analyzer 的许可与归属。上游源码许可不能替代完整发行物料清单。</w:t>
      </w:r>
    </w:p>
    <w:p>
      <w:pPr>
        <w:pStyle w:val="Heading1"/>
      </w:pPr>
      <w:r>
        <w:t>11. 建议路线图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0"/>
        <w:gridCol w:w="1900"/>
        <w:gridCol w:w="3500"/>
        <w:gridCol w:w="2460"/>
      </w:tblGrid>
      <w:tr>
        <w:trPr>
          <w:tblHeader w:val="true"/>
          <w:cantSplit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3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关键交付</w:t>
            </w:r>
          </w:p>
        </w:tc>
        <w:tc>
          <w:tcPr>
            <w:tcW w:type="dxa" w:w="24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阶段 1：可交付基线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从开发目录变成可安装产品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独立安装包；启动自检；Git/版本号；SBOM；崩溃日志；原子保存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新机器无需装 Python 即可启动，核心测试可一键复现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阶段 2：数据与架构治理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控制复杂度和存储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项目格式 v2；摘要缓存；迁移器；app 拆分；任务取消/超时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典型整盘项目体积和保存耗时显著下降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阶段 3：可信评价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证明标签和训练有效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校准语料；模型/visits 敏感性；教师审核；不确定性展示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能解释误差范围，不再只靠经验阈值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阶段 4：用户验证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确认产品价值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小规模内测；任务完成率；重复训练率；定性访谈；对照实验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用户持续使用且训练后同类局面表现改善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20242C"/>
                <w:sz w:val="18"/>
              </w:rPr>
              <w:t>阶段 5：选择扩张路径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聚焦本地工具或教练系统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定价/分发/课程策略；可选同步；跨平台评估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8"/>
              </w:rPr>
              <w:t>有明确目标用户、留存和可持续维护成本</w:t>
            </w:r>
          </w:p>
        </w:tc>
      </w:tr>
    </w:tbl>
    <w:p>
      <w:pPr>
        <w:spacing w:after="40"/>
      </w:pPr>
    </w:p>
    <w:p>
      <w:pPr>
        <w:pStyle w:val="Heading2"/>
      </w:pPr>
      <w:r>
        <w:t>11.1 建议的产品指标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可用性：首次启动成功率、引擎就绪耗时、整局分析完成率、异常恢复率。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性能：不同硬件/模型/visits 下单手延迟、整局耗时、峰值内存、项目大小。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学习行为：问题手查看率、阶段训练启动率、完成率、重复训练间隔与提示使用率。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学习结果：训练前后同类局面的平均目损、胜率损失和问题手复发率。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信任：用户对解释准确性的评分、教师复核一致率、错误解释投诉率。</w:t>
      </w:r>
    </w:p>
    <w:p>
      <w:pPr>
        <w:pStyle w:val="Heading1"/>
      </w:pPr>
      <w:r>
        <w:t>12. 给审计模型的重点问题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项目是否真正形成了“分析—诊断—训练—复测”闭环？哪些环节只是界面包装，哪些有独立算法与持久化支撑？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逐手目损、问题手筛选、稳健单局表现档和阶段训练评分的统计口径是否合理？如何设计外部校准？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双分支解释中的区域、控制点、胜率和目差能否支持所生成的中文原因？哪些表述可能越过证据？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现有子进程/线程/轮询架构在单机任务下是否稳健？如何设计取消、超时、重启、背压和多任务优先级？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如何把 app.py 拆分，同时避免为了“架构漂亮”而过度工程化？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项目格式 v2 应保留哪些分析字段，哪些应压缩、外置或可重建？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当前产品与通用 KataGo GUI 的可防御差异是什么？最小可验证用户实验应怎样设计？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0242C"/>
          <w:sz w:val="22"/>
        </w:rPr>
        <w:t>独立安装、许可、升级、数据迁移与崩溃恢复中，哪些是发布前必须完成的 P0？</w:t>
      </w:r>
    </w:p>
    <w:p>
      <w:pPr>
        <w:pStyle w:val="Heading2"/>
      </w:pPr>
      <w:r>
        <w:t>12.1 建议审计输出格式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先区分“代码事实”“合理推断”“缺失证据”，不要把上游 KataGo 能力算作自研成果。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分别给出技术合理性、产品合理性、可维护性、可信度、可交付性和商业前景判断。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对每个高风险项给出严重度、触发条件、验证办法和最小修复方案。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路线建议按 P0/P1/P2 排序，并说明不做该项会阻塞什么目标。</w:t>
      </w:r>
    </w:p>
    <w:p>
      <w:pPr>
        <w:pStyle w:val="Heading1"/>
      </w:pPr>
      <w:r>
        <w:t>13. 审计事实摘要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项目事实</w:t>
            </w:r>
          </w:p>
        </w:tc>
        <w:tc>
          <w:tcPr>
            <w:tcW w:type="dxa" w:w="69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截至 2026-06-29 的状态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产品形态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Windows 本地桌面应用；Python/tkinter + KataGo 子进程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引擎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KataGo v1.16.5；OpenCL GPU 优先，Eigen/AVX2 CPU 保底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模型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b18c384 轻量默认；b28c512 更强可选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自研规模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16 个实现模块，约 6,700 行；app.py 约 3,900 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测试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16 个测试文件、82 项；本次 81 通过，1 项因 Tcl/Tk 环境未完成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核心闭环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SGF/棋局 → 整局分析 → 问题手 → 双分支比较 → 阶段训练 → 训练评价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持久化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SGF、.kga.json、Markdown、棋局库索引、训练缓存与历史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主要优势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离线隐私、功能闭环、同算力双分支、重复训练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主要短板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安装、单体 UI、项目文件膨胀、评价校准、许可清单、发布工程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成熟度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可运行的功能原型 / 单用户 Alpha；尚非商业化成熟产品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前景判断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20242C"/>
                <w:sz w:val="19"/>
              </w:rPr>
              <w:t>条件性中等偏正面；取决于训练效果、可信度与产品化执行</w:t>
            </w:r>
          </w:p>
        </w:tc>
      </w:tr>
    </w:tbl>
    <w:p>
      <w:pPr>
        <w:spacing w:after="40"/>
      </w:pPr>
    </w:p>
    <w:p>
      <w:pPr>
        <w:spacing w:before="120" w:after="200" w:line="276" w:lineRule="auto"/>
        <w:ind w:left="200" w:right="200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最终建议  </w:t>
      </w:r>
      <w:r>
        <w:rPr>
          <w:rFonts w:ascii="Calibri" w:hAnsi="Calibri" w:eastAsia="Microsoft YaHei"/>
          <w:color w:val="20242C"/>
          <w:sz w:val="22"/>
        </w:rPr>
        <w:t>停止横向堆功能，优先完成“可安装、可恢复、轻量存储、可信评价、可验证学习效果”五件事。若这五项成立，项目才会从有趣且能运行的工具，变成有持续使用价值的产品。</w:t>
      </w:r>
    </w:p>
    <w:p>
      <w:pPr>
        <w:pStyle w:val="Heading2"/>
      </w:pPr>
      <w:r>
        <w:t>附录：主要证据文件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analyzer/app.py：UI 与任务编排；analyzer/README.md：功能与使用说明。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analyzer/review.py、training.py、branch_comparison.py：复盘、训练和双分支核心逻辑。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analyzer/katago_client.py、analysis_guard.py：引擎通信与异步请求守卫。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analyzer/project_store.py、game_library.py、training_cache.py：持久化与缓存。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analyzer/test_*.py：82 项测试定义；项目说明.md：截至 2026-06-28 的详细历史说明。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0242C"/>
          <w:sz w:val="22"/>
        </w:rPr>
        <w:t>katago-runtime/：预编译引擎、模型与 DLL；KataGo/：上游源码与许可。</w:t>
      </w:r>
    </w:p>
    <w:p>
      <w:pPr>
        <w:keepLines w:val="0"/>
        <w:spacing w:before="240" w:after="120" w:line="264" w:lineRule="auto"/>
      </w:pPr>
      <w:r>
        <w:rPr>
          <w:rFonts w:ascii="Calibri" w:hAnsi="Calibri" w:eastAsia="Microsoft YaHei"/>
          <w:i/>
          <w:color w:val="667085"/>
          <w:sz w:val="19"/>
        </w:rPr>
        <w:t>文档生成口径：对已实现能力采用代码与测试交叉核对；对市场、用户和商业结果不作无证据断言。建议后续版本在页首增加 Git 提交、发布号、测试报告哈希和数据格式版本，以便持续审计。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当前项目说明0629  ·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项目审计资料  |  KataGo 围棋复盘与训练分析器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当前项目说明0629</dc:title>
  <dc:subject>KataGo 围棋复盘与阶段训练项目审计材料</dc:subject>
  <dc:creator>项目资料整理</dc:creator>
  <cp:keywords>KataGo, 围棋, 复盘, 阶段训练, 项目审计</cp:keywords>
  <dc:description>基于 2026-06-29 本地代码、配置与测试结果生成。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