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B0AA2" w14:textId="6063100B" w:rsidR="00464A3C" w:rsidRDefault="007E718A" w:rsidP="007E718A">
      <w:pPr>
        <w:jc w:val="center"/>
        <w:rPr>
          <w:b/>
          <w:bCs/>
        </w:rPr>
      </w:pPr>
      <w:r>
        <w:rPr>
          <w:b/>
          <w:bCs/>
        </w:rPr>
        <w:t>Project 2</w:t>
      </w:r>
    </w:p>
    <w:p w14:paraId="58442681" w14:textId="626C34D0" w:rsidR="007E718A" w:rsidRDefault="007E718A" w:rsidP="007E718A">
      <w:r>
        <w:tab/>
        <w:t xml:space="preserve">Our first step in this project was to create </w:t>
      </w:r>
      <w:proofErr w:type="gramStart"/>
      <w:r>
        <w:t>pandas</w:t>
      </w:r>
      <w:proofErr w:type="gramEnd"/>
      <w:r>
        <w:t xml:space="preserve"> data frames, then export them into CSV files. Once those CSVs were created, we added them to a SQL database that we could query against. We created a few queries and visualizations related to these queries. </w:t>
      </w:r>
    </w:p>
    <w:p w14:paraId="12FFA384" w14:textId="4D4EB701" w:rsidR="007E718A" w:rsidRDefault="007E718A" w:rsidP="007E718A">
      <w:r>
        <w:tab/>
        <w:t xml:space="preserve">Chandler first looked at which companies initiated the most projects. Once he had identified Davis Ltd. as launching more projects than most other companies, he decided to look at how many backers each of its projects got, as well as what the average number of </w:t>
      </w:r>
      <w:proofErr w:type="gramStart"/>
      <w:r>
        <w:t>backers</w:t>
      </w:r>
      <w:proofErr w:type="gramEnd"/>
      <w:r>
        <w:t xml:space="preserve"> was for its projects. From this, he learned that, on average, 422 people support Davis Ltd.’s projects. </w:t>
      </w:r>
      <w:r>
        <w:rPr>
          <w:noProof/>
        </w:rPr>
        <w:drawing>
          <wp:inline distT="0" distB="0" distL="0" distR="0" wp14:anchorId="60E044A4" wp14:editId="6C330D5D">
            <wp:extent cx="5943600" cy="3442970"/>
            <wp:effectExtent l="0" t="0" r="0" b="5080"/>
            <wp:docPr id="1171364983" name="Picture 1"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64983" name="Picture 1" descr="A graph of a bar chart&#10;&#10;Description automatically generated with medium confidenc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442970"/>
                    </a:xfrm>
                    <a:prstGeom prst="rect">
                      <a:avLst/>
                    </a:prstGeom>
                  </pic:spPr>
                </pic:pic>
              </a:graphicData>
            </a:graphic>
          </wp:inline>
        </w:drawing>
      </w:r>
    </w:p>
    <w:p w14:paraId="3E195E29" w14:textId="77777777" w:rsidR="00C02CD7" w:rsidRDefault="00C02CD7" w:rsidP="007E718A"/>
    <w:p w14:paraId="60F19385" w14:textId="53CC7FFB" w:rsidR="00721BB4" w:rsidRDefault="00721BB4" w:rsidP="007E718A"/>
    <w:p w14:paraId="6756B25F" w14:textId="77777777" w:rsidR="00721BB4" w:rsidRDefault="00721BB4">
      <w:r>
        <w:br w:type="page"/>
      </w:r>
    </w:p>
    <w:p w14:paraId="49BF6E57" w14:textId="77777777" w:rsidR="00721BB4" w:rsidRDefault="00721BB4" w:rsidP="00721BB4">
      <w:pPr>
        <w:jc w:val="center"/>
        <w:rPr>
          <w:b/>
          <w:bCs/>
        </w:rPr>
      </w:pPr>
      <w:r>
        <w:rPr>
          <w:b/>
          <w:bCs/>
        </w:rPr>
        <w:lastRenderedPageBreak/>
        <w:t>Project 2</w:t>
      </w:r>
    </w:p>
    <w:p w14:paraId="7D4E885A" w14:textId="77777777" w:rsidR="00721BB4" w:rsidRPr="00721BB4" w:rsidRDefault="00721BB4" w:rsidP="00721BB4">
      <w:r w:rsidRPr="00721BB4">
        <w:t>Our project centers on designing and implementing a robust Extract, Transform, Load (ETL) pipeline to process, analyze, and derive insights from crowdfunding data. The primary goal of this project was to demonstrate data engineering skills by effectively managing the lifecycle of data—from its raw, unstructured format to its transformation into meaningful insights through a relational database and analysis tools. Using Python, Pandas, and PostgreSQL, we created a systematic workflow that extracts raw data, cleans and transforms it, and loads it into a structured relational database for querying and visualization.</w:t>
      </w:r>
    </w:p>
    <w:p w14:paraId="48D1D696" w14:textId="32AC7B35" w:rsidR="00721BB4" w:rsidRPr="00721BB4" w:rsidRDefault="00721BB4" w:rsidP="00721BB4">
      <w:r w:rsidRPr="00721BB4">
        <w:t xml:space="preserve">In the first phase of the project, we focused on </w:t>
      </w:r>
      <w:r w:rsidRPr="00721BB4">
        <w:rPr>
          <w:b/>
          <w:bCs/>
        </w:rPr>
        <w:t>data extraction and transformation</w:t>
      </w:r>
      <w:r w:rsidRPr="00721BB4">
        <w:t xml:space="preserve">. Raw data from </w:t>
      </w:r>
      <w:r>
        <w:t>XLSX</w:t>
      </w:r>
      <w:r w:rsidRPr="00721BB4">
        <w:t xml:space="preserve"> files</w:t>
      </w:r>
      <w:r>
        <w:t xml:space="preserve"> </w:t>
      </w:r>
      <w:r w:rsidRPr="00721BB4">
        <w:t xml:space="preserve">was loaded into Pandas </w:t>
      </w:r>
      <w:proofErr w:type="spellStart"/>
      <w:r w:rsidRPr="00721BB4">
        <w:t>DataFrames</w:t>
      </w:r>
      <w:proofErr w:type="spellEnd"/>
      <w:r w:rsidRPr="00721BB4">
        <w:t xml:space="preserve">. During this process, we cleaned the data by handling missing values, renaming columns for consistency, and restructuring fields to align with our database schema. Additionally, we enriched the data by generating unique identifiers for categories and subcategories to maintain relational integrity across tables. The result was a set of clean, structured </w:t>
      </w:r>
      <w:proofErr w:type="spellStart"/>
      <w:r w:rsidRPr="00721BB4">
        <w:t>DataFrames</w:t>
      </w:r>
      <w:proofErr w:type="spellEnd"/>
      <w:r w:rsidRPr="00721BB4">
        <w:t xml:space="preserve"> </w:t>
      </w:r>
      <w:r>
        <w:t xml:space="preserve">and associated CSV files </w:t>
      </w:r>
      <w:r w:rsidRPr="00721BB4">
        <w:t>for subsequent analysis and storage.</w:t>
      </w:r>
    </w:p>
    <w:p w14:paraId="352215EE" w14:textId="77777777" w:rsidR="00721BB4" w:rsidRPr="00721BB4" w:rsidRDefault="00721BB4" w:rsidP="00721BB4">
      <w:r w:rsidRPr="00721BB4">
        <w:t xml:space="preserve">The second phase involved </w:t>
      </w:r>
      <w:r w:rsidRPr="00721BB4">
        <w:rPr>
          <w:b/>
          <w:bCs/>
        </w:rPr>
        <w:t>loading the data into a PostgreSQL database</w:t>
      </w:r>
      <w:r w:rsidRPr="00721BB4">
        <w:t xml:space="preserve">. We designed a relational database schema to store the transformed data, incorporating primary and foreign keys to establish meaningful relationships between the tables. For instance, the Campaign table references the Category and Subcategory tables through foreign keys, enabling efficient lookups and relational queries. Once the schema was finalized, we utilized Python and </w:t>
      </w:r>
      <w:proofErr w:type="spellStart"/>
      <w:r w:rsidRPr="00721BB4">
        <w:t>SQLAlchemy</w:t>
      </w:r>
      <w:proofErr w:type="spellEnd"/>
      <w:r w:rsidRPr="00721BB4">
        <w:t xml:space="preserve"> to automate the loading process, ensuring that the structured data was seamlessly imported into the database.</w:t>
      </w:r>
    </w:p>
    <w:p w14:paraId="77B01257" w14:textId="77777777" w:rsidR="00721BB4" w:rsidRDefault="00721BB4" w:rsidP="00721BB4">
      <w:r w:rsidRPr="00721BB4">
        <w:t xml:space="preserve">In the final phase, we focused on </w:t>
      </w:r>
      <w:r w:rsidRPr="00721BB4">
        <w:rPr>
          <w:b/>
          <w:bCs/>
        </w:rPr>
        <w:t>querying the database and analyzing the data</w:t>
      </w:r>
      <w:r w:rsidRPr="00721BB4">
        <w:t xml:space="preserve">. Using SQL queries, we extracted insights from the data, such as the total pledged amounts by category and country. These results were further analyzed and visualized in </w:t>
      </w:r>
      <w:proofErr w:type="spellStart"/>
      <w:r w:rsidRPr="00721BB4">
        <w:t>Jupyter</w:t>
      </w:r>
      <w:proofErr w:type="spellEnd"/>
      <w:r w:rsidRPr="00721BB4">
        <w:t xml:space="preserve"> Notebooks using Python's Matplotlib library. For example, we created bar charts to illustrate the highest-earning categories and countries, providing a clear picture of trends in crowdfunding. Through this analysis, we identified that the Theater category attracted the most funding, followed by Film &amp; Video and Music. In contrast, categories like Journalism received significantly less support, highlighting potential areas for improved campaign strategies.</w:t>
      </w:r>
    </w:p>
    <w:p w14:paraId="20B850A8" w14:textId="77777777" w:rsidR="00721BB4" w:rsidRDefault="00721BB4" w:rsidP="00721BB4">
      <w:r>
        <w:t xml:space="preserve">Chandler first looked at which companies initiated the most projects. Once he had identified Davis Ltd. as launching more projects than most other companies, he decided to look at how many backers each of its projects got, as well as what the average number of </w:t>
      </w:r>
      <w:proofErr w:type="gramStart"/>
      <w:r>
        <w:t>backers</w:t>
      </w:r>
      <w:proofErr w:type="gramEnd"/>
      <w:r>
        <w:t xml:space="preserve"> was for its projects. </w:t>
      </w:r>
      <w:r>
        <w:lastRenderedPageBreak/>
        <w:t xml:space="preserve">From this, he learned that, on average, 422 people support Davis Ltd.’s projects. </w:t>
      </w:r>
      <w:r>
        <w:rPr>
          <w:noProof/>
        </w:rPr>
        <w:drawing>
          <wp:inline distT="0" distB="0" distL="0" distR="0" wp14:anchorId="59FAEF4F" wp14:editId="0ABB7EF9">
            <wp:extent cx="5943600" cy="3442970"/>
            <wp:effectExtent l="0" t="0" r="0" b="5080"/>
            <wp:docPr id="1854683382" name="Picture 1"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64983" name="Picture 1" descr="A graph of a bar chart&#10;&#10;Description automatically generated with medium confidenc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442970"/>
                    </a:xfrm>
                    <a:prstGeom prst="rect">
                      <a:avLst/>
                    </a:prstGeom>
                  </pic:spPr>
                </pic:pic>
              </a:graphicData>
            </a:graphic>
          </wp:inline>
        </w:drawing>
      </w:r>
    </w:p>
    <w:p w14:paraId="293D6D63" w14:textId="77777777" w:rsidR="00721BB4" w:rsidRDefault="00721BB4" w:rsidP="00721BB4"/>
    <w:p w14:paraId="110FED66" w14:textId="77777777" w:rsidR="00721BB4" w:rsidRDefault="00721BB4" w:rsidP="00721BB4">
      <w:r>
        <w:t xml:space="preserve">Seven created a visualization that </w:t>
      </w:r>
      <w:r w:rsidRPr="00721BB4">
        <w:t xml:space="preserve">illustrates the </w:t>
      </w:r>
      <w:r w:rsidRPr="00721BB4">
        <w:rPr>
          <w:b/>
          <w:bCs/>
        </w:rPr>
        <w:t>Total Pledged Amount by Category</w:t>
      </w:r>
      <w:r w:rsidRPr="00721BB4">
        <w:t xml:space="preserve"> within the crowdfunding dataset, highlighting the financial success of different campaign types. </w:t>
      </w:r>
    </w:p>
    <w:p w14:paraId="15EE96ED" w14:textId="756A7673" w:rsidR="00721BB4" w:rsidRDefault="00721BB4" w:rsidP="00721BB4">
      <w:r>
        <w:rPr>
          <w:noProof/>
        </w:rPr>
        <w:drawing>
          <wp:inline distT="0" distB="0" distL="0" distR="0" wp14:anchorId="3A9DD2C8" wp14:editId="314FBFC8">
            <wp:extent cx="5943600" cy="3438525"/>
            <wp:effectExtent l="0" t="0" r="0" b="9525"/>
            <wp:docPr id="19141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438525"/>
                    </a:xfrm>
                    <a:prstGeom prst="rect">
                      <a:avLst/>
                    </a:prstGeom>
                    <a:noFill/>
                    <a:ln>
                      <a:noFill/>
                    </a:ln>
                  </pic:spPr>
                </pic:pic>
              </a:graphicData>
            </a:graphic>
          </wp:inline>
        </w:drawing>
      </w:r>
    </w:p>
    <w:p w14:paraId="425A7AE5" w14:textId="2B1313E2" w:rsidR="00721BB4" w:rsidRDefault="00721BB4" w:rsidP="00721BB4">
      <w:r w:rsidRPr="00721BB4">
        <w:lastRenderedPageBreak/>
        <w:t xml:space="preserve">The </w:t>
      </w:r>
      <w:r w:rsidRPr="00721BB4">
        <w:rPr>
          <w:b/>
          <w:bCs/>
        </w:rPr>
        <w:t>Theater</w:t>
      </w:r>
      <w:r w:rsidRPr="00721BB4">
        <w:t xml:space="preserve"> category dominates with the highest pledged amount, totaling $15.8M, significantly surpassing all other categories. </w:t>
      </w:r>
      <w:r w:rsidRPr="00721BB4">
        <w:rPr>
          <w:b/>
          <w:bCs/>
        </w:rPr>
        <w:t>Film &amp; Video</w:t>
      </w:r>
      <w:r w:rsidRPr="00721BB4">
        <w:t xml:space="preserve"> and </w:t>
      </w:r>
      <w:r w:rsidRPr="00721BB4">
        <w:rPr>
          <w:b/>
          <w:bCs/>
        </w:rPr>
        <w:t>Music</w:t>
      </w:r>
      <w:r w:rsidRPr="00721BB4">
        <w:t xml:space="preserve"> follow as strong performers, each securing around $7.5M in pledged funds, showcasing the public's strong interest in creative and entertainment-related projects. Mid-performing categories include </w:t>
      </w:r>
      <w:r w:rsidRPr="00721BB4">
        <w:rPr>
          <w:b/>
          <w:bCs/>
        </w:rPr>
        <w:t>Technology</w:t>
      </w:r>
      <w:r w:rsidRPr="00721BB4">
        <w:t xml:space="preserve"> ($3.8M) and </w:t>
      </w:r>
      <w:r w:rsidRPr="00721BB4">
        <w:rPr>
          <w:b/>
          <w:bCs/>
        </w:rPr>
        <w:t>Publishing</w:t>
      </w:r>
      <w:r w:rsidRPr="00721BB4">
        <w:t xml:space="preserve"> ($3.1M), reflecting niche but impactful contributions. Meanwhile, </w:t>
      </w:r>
      <w:r w:rsidRPr="00721BB4">
        <w:rPr>
          <w:b/>
          <w:bCs/>
        </w:rPr>
        <w:t>Games</w:t>
      </w:r>
      <w:r w:rsidRPr="00721BB4">
        <w:t xml:space="preserve">, </w:t>
      </w:r>
      <w:r w:rsidRPr="00721BB4">
        <w:rPr>
          <w:b/>
          <w:bCs/>
        </w:rPr>
        <w:t>Food</w:t>
      </w:r>
      <w:r w:rsidRPr="00721BB4">
        <w:t xml:space="preserve">, and </w:t>
      </w:r>
      <w:r w:rsidRPr="00721BB4">
        <w:rPr>
          <w:b/>
          <w:bCs/>
        </w:rPr>
        <w:t>Photography</w:t>
      </w:r>
      <w:r w:rsidRPr="00721BB4">
        <w:t xml:space="preserve"> achieved more modest funding, with totals ranging between $1.2M and $2M. Notably, </w:t>
      </w:r>
      <w:r w:rsidRPr="00721BB4">
        <w:rPr>
          <w:b/>
          <w:bCs/>
        </w:rPr>
        <w:t>Journalism</w:t>
      </w:r>
      <w:r w:rsidRPr="00721BB4">
        <w:t xml:space="preserve"> stands out for its low pledged amount of just $36K, suggesting either </w:t>
      </w:r>
      <w:proofErr w:type="gramStart"/>
      <w:r w:rsidRPr="00721BB4">
        <w:t>limited</w:t>
      </w:r>
      <w:proofErr w:type="gramEnd"/>
      <w:r w:rsidRPr="00721BB4">
        <w:t xml:space="preserve"> campaign presence or lower audience engagement. This graph, generated through a query on our database, emphasizes the significant disparities in funding across categories and underscores the potential for targeted strategies to enhance the visibility and success of underperforming campaign types.</w:t>
      </w:r>
    </w:p>
    <w:p w14:paraId="5B23AF0D" w14:textId="3988809B" w:rsidR="00721BB4" w:rsidRDefault="00721BB4" w:rsidP="00721BB4">
      <w:r>
        <w:t xml:space="preserve">Jason created a graph that </w:t>
      </w:r>
      <w:r w:rsidR="00E97B51">
        <w:t xml:space="preserve">illustrates </w:t>
      </w:r>
      <w:r w:rsidR="00E97B51" w:rsidRPr="00E97B51">
        <w:t xml:space="preserve">the distribution of crowdfunding campaign outcomes, comparing the counts of </w:t>
      </w:r>
      <w:r w:rsidR="00E97B51" w:rsidRPr="00E97B51">
        <w:rPr>
          <w:b/>
          <w:bCs/>
        </w:rPr>
        <w:t>Successful</w:t>
      </w:r>
      <w:r w:rsidR="00E97B51" w:rsidRPr="00E97B51">
        <w:t xml:space="preserve"> and </w:t>
      </w:r>
      <w:r w:rsidR="00E97B51" w:rsidRPr="00E97B51">
        <w:rPr>
          <w:b/>
          <w:bCs/>
        </w:rPr>
        <w:t>Failed</w:t>
      </w:r>
      <w:r w:rsidR="00E97B51" w:rsidRPr="00E97B51">
        <w:t xml:space="preserve"> campaigns. The data reveals that </w:t>
      </w:r>
      <w:r w:rsidR="00E97B51" w:rsidRPr="00E97B51">
        <w:rPr>
          <w:b/>
          <w:bCs/>
        </w:rPr>
        <w:t>Successful</w:t>
      </w:r>
      <w:r w:rsidR="00E97B51" w:rsidRPr="00E97B51">
        <w:t xml:space="preserve"> campaigns outnumber </w:t>
      </w:r>
      <w:r w:rsidR="00E97B51" w:rsidRPr="00E97B51">
        <w:rPr>
          <w:b/>
          <w:bCs/>
        </w:rPr>
        <w:t>Failed</w:t>
      </w:r>
      <w:r w:rsidR="00E97B51" w:rsidRPr="00E97B51">
        <w:t xml:space="preserve"> campaigns, highlighting a positive trend in achieving funding goals. The x-axis represents the two outcome categories, while the y-axis shows the count of campaigns in each. This visualization emphasizes the relative success rate of crowdfunding efforts and provides a clear overview of how often campaigns meet their objectives versus falling short.</w:t>
      </w:r>
    </w:p>
    <w:p w14:paraId="790FD739" w14:textId="2574A53D" w:rsidR="00721BB4" w:rsidRPr="00721BB4" w:rsidRDefault="00721BB4" w:rsidP="00721BB4">
      <w:r>
        <w:rPr>
          <w:noProof/>
        </w:rPr>
        <w:drawing>
          <wp:inline distT="0" distB="0" distL="0" distR="0" wp14:anchorId="06F3D261" wp14:editId="0DDEA43F">
            <wp:extent cx="5943600" cy="3933825"/>
            <wp:effectExtent l="0" t="0" r="0" b="9525"/>
            <wp:docPr id="114942793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27939" name="Picture 1" descr="A graph of a graph&#10;&#10;AI-generated content may be incorrect."/>
                    <pic:cNvPicPr/>
                  </pic:nvPicPr>
                  <pic:blipFill>
                    <a:blip r:embed="rId6"/>
                    <a:stretch>
                      <a:fillRect/>
                    </a:stretch>
                  </pic:blipFill>
                  <pic:spPr>
                    <a:xfrm>
                      <a:off x="0" y="0"/>
                      <a:ext cx="5943600" cy="3933825"/>
                    </a:xfrm>
                    <a:prstGeom prst="rect">
                      <a:avLst/>
                    </a:prstGeom>
                  </pic:spPr>
                </pic:pic>
              </a:graphicData>
            </a:graphic>
          </wp:inline>
        </w:drawing>
      </w:r>
    </w:p>
    <w:p w14:paraId="38BC8D5D" w14:textId="77777777" w:rsidR="00721BB4" w:rsidRPr="00721BB4" w:rsidRDefault="00721BB4" w:rsidP="00721BB4">
      <w:r w:rsidRPr="00721BB4">
        <w:t xml:space="preserve">This project leveraged several technologies to achieve its objectives. </w:t>
      </w:r>
      <w:r w:rsidRPr="00721BB4">
        <w:rPr>
          <w:b/>
          <w:bCs/>
        </w:rPr>
        <w:t>Python</w:t>
      </w:r>
      <w:r w:rsidRPr="00721BB4">
        <w:t xml:space="preserve"> was used for data extraction and transformation, while </w:t>
      </w:r>
      <w:r w:rsidRPr="00721BB4">
        <w:rPr>
          <w:b/>
          <w:bCs/>
        </w:rPr>
        <w:t>Pandas</w:t>
      </w:r>
      <w:r w:rsidRPr="00721BB4">
        <w:t xml:space="preserve"> streamlined the manipulation of tabular data. The relational database, </w:t>
      </w:r>
      <w:r w:rsidRPr="00721BB4">
        <w:rPr>
          <w:b/>
          <w:bCs/>
        </w:rPr>
        <w:t>PostgreSQL</w:t>
      </w:r>
      <w:r w:rsidRPr="00721BB4">
        <w:t xml:space="preserve">, provided a reliable and efficient platform for data storage and querying, and </w:t>
      </w:r>
      <w:proofErr w:type="spellStart"/>
      <w:r w:rsidRPr="00721BB4">
        <w:rPr>
          <w:b/>
          <w:bCs/>
        </w:rPr>
        <w:t>Jupyter</w:t>
      </w:r>
      <w:proofErr w:type="spellEnd"/>
      <w:r w:rsidRPr="00721BB4">
        <w:rPr>
          <w:b/>
          <w:bCs/>
        </w:rPr>
        <w:t xml:space="preserve"> Notebooks</w:t>
      </w:r>
      <w:r w:rsidRPr="00721BB4">
        <w:t xml:space="preserve"> enabled interactive coding and analysis. For data visualization, </w:t>
      </w:r>
      <w:r w:rsidRPr="00721BB4">
        <w:rPr>
          <w:b/>
          <w:bCs/>
        </w:rPr>
        <w:t>Matplotlib</w:t>
      </w:r>
      <w:r w:rsidRPr="00721BB4">
        <w:t xml:space="preserve"> helped create impactful charts and graphs to convey findings effectively.</w:t>
      </w:r>
    </w:p>
    <w:p w14:paraId="34880912" w14:textId="77777777" w:rsidR="00721BB4" w:rsidRPr="00721BB4" w:rsidRDefault="00721BB4" w:rsidP="00721BB4">
      <w:r w:rsidRPr="00721BB4">
        <w:lastRenderedPageBreak/>
        <w:t xml:space="preserve">Throughout the project, we encountered and addressed several challenges. Handling missing data </w:t>
      </w:r>
      <w:proofErr w:type="gramStart"/>
      <w:r w:rsidRPr="00721BB4">
        <w:t>required</w:t>
      </w:r>
      <w:proofErr w:type="gramEnd"/>
      <w:r w:rsidRPr="00721BB4">
        <w:t xml:space="preserve"> careful preprocessing to ensure data integrity before loading it into the database. Designing a relational schema that </w:t>
      </w:r>
      <w:proofErr w:type="gramStart"/>
      <w:r w:rsidRPr="00721BB4">
        <w:t>enforced</w:t>
      </w:r>
      <w:proofErr w:type="gramEnd"/>
      <w:r w:rsidRPr="00721BB4">
        <w:t xml:space="preserve"> consistency while remaining scalable was another key challenge, which we solved by incorporating well-structured foreign keys. Additionally, optimizing SQL queries for large datasets ensured smooth performance during the analysis phase.</w:t>
      </w:r>
    </w:p>
    <w:p w14:paraId="20E83DAC" w14:textId="280DE393" w:rsidR="00E97B51" w:rsidRDefault="00E97B51" w:rsidP="00721BB4">
      <w:r w:rsidRPr="00E97B51">
        <w:t>This project lays the foundation for future expansion into a fully automated and scalable ETL pipeline suitable for routine data processing within a company. To enhance its functionality, the pipeline could integrate scheduling tools like Apache Airflow or Cron to automate the extraction, transformation, and loading processes at regular intervals. Additionally, incorporating real-time data streaming capabilities using platforms like Kafka could enable businesses to handle dynamic datasets. This project also demonstrates a practical framework that could be applied to a company's routine ETL operations. For example, organizations could adapt the pipeline to process and analyze customer data, track sales performance, or manage inventory systems. By leveraging its ability to transform raw data into actionable insights, companies can streamline decision-making processes and maintain a competitive edge. Expanding the pipeline with robust error handling, data validation, and monitoring systems would ensure reliability and scalability in production environments.</w:t>
      </w:r>
    </w:p>
    <w:p w14:paraId="61D0BAAC" w14:textId="29043168" w:rsidR="00721BB4" w:rsidRPr="00721BB4" w:rsidRDefault="00721BB4" w:rsidP="00721BB4">
      <w:r w:rsidRPr="00721BB4">
        <w:t xml:space="preserve">In conclusion, this project successfully demonstrates the end-to-end workflow of an ETL pipeline, showcasing how raw data can be transformed into actionable insights. By effectively managing the </w:t>
      </w:r>
      <w:proofErr w:type="gramStart"/>
      <w:r w:rsidRPr="00721BB4">
        <w:t>lifecycle</w:t>
      </w:r>
      <w:proofErr w:type="gramEnd"/>
      <w:r w:rsidRPr="00721BB4">
        <w:t xml:space="preserve"> of data and applying technical tools and best practices, this project highlights the importance of ETL pipelines in making data usable and valuable. It not only underscores our ability to handle real-world data workflows but also serves as a testament to our teamwork and technical expertise.</w:t>
      </w:r>
    </w:p>
    <w:p w14:paraId="1095899A" w14:textId="77777777" w:rsidR="00C02CD7" w:rsidRPr="007E718A" w:rsidRDefault="00C02CD7" w:rsidP="007E718A"/>
    <w:sectPr w:rsidR="00C02CD7" w:rsidRPr="007E71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18A"/>
    <w:rsid w:val="00177950"/>
    <w:rsid w:val="001B4AA9"/>
    <w:rsid w:val="00293489"/>
    <w:rsid w:val="00464A3C"/>
    <w:rsid w:val="00506B83"/>
    <w:rsid w:val="00721BB4"/>
    <w:rsid w:val="007E718A"/>
    <w:rsid w:val="00C02CD7"/>
    <w:rsid w:val="00E9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2EE37"/>
  <w15:chartTrackingRefBased/>
  <w15:docId w15:val="{79C841A0-C4EF-4270-A69D-D8D9CF4CA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BB4"/>
  </w:style>
  <w:style w:type="paragraph" w:styleId="Heading1">
    <w:name w:val="heading 1"/>
    <w:basedOn w:val="Normal"/>
    <w:next w:val="Normal"/>
    <w:link w:val="Heading1Char"/>
    <w:uiPriority w:val="9"/>
    <w:qFormat/>
    <w:rsid w:val="007E71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1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1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1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1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1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1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1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1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1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1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1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1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1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1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1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1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18A"/>
    <w:rPr>
      <w:rFonts w:eastAsiaTheme="majorEastAsia" w:cstheme="majorBidi"/>
      <w:color w:val="272727" w:themeColor="text1" w:themeTint="D8"/>
    </w:rPr>
  </w:style>
  <w:style w:type="paragraph" w:styleId="Title">
    <w:name w:val="Title"/>
    <w:basedOn w:val="Normal"/>
    <w:next w:val="Normal"/>
    <w:link w:val="TitleChar"/>
    <w:uiPriority w:val="10"/>
    <w:qFormat/>
    <w:rsid w:val="007E71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1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1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1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18A"/>
    <w:pPr>
      <w:spacing w:before="160"/>
      <w:jc w:val="center"/>
    </w:pPr>
    <w:rPr>
      <w:i/>
      <w:iCs/>
      <w:color w:val="404040" w:themeColor="text1" w:themeTint="BF"/>
    </w:rPr>
  </w:style>
  <w:style w:type="character" w:customStyle="1" w:styleId="QuoteChar">
    <w:name w:val="Quote Char"/>
    <w:basedOn w:val="DefaultParagraphFont"/>
    <w:link w:val="Quote"/>
    <w:uiPriority w:val="29"/>
    <w:rsid w:val="007E718A"/>
    <w:rPr>
      <w:i/>
      <w:iCs/>
      <w:color w:val="404040" w:themeColor="text1" w:themeTint="BF"/>
    </w:rPr>
  </w:style>
  <w:style w:type="paragraph" w:styleId="ListParagraph">
    <w:name w:val="List Paragraph"/>
    <w:basedOn w:val="Normal"/>
    <w:uiPriority w:val="34"/>
    <w:qFormat/>
    <w:rsid w:val="007E718A"/>
    <w:pPr>
      <w:ind w:left="720"/>
      <w:contextualSpacing/>
    </w:pPr>
  </w:style>
  <w:style w:type="character" w:styleId="IntenseEmphasis">
    <w:name w:val="Intense Emphasis"/>
    <w:basedOn w:val="DefaultParagraphFont"/>
    <w:uiPriority w:val="21"/>
    <w:qFormat/>
    <w:rsid w:val="007E718A"/>
    <w:rPr>
      <w:i/>
      <w:iCs/>
      <w:color w:val="0F4761" w:themeColor="accent1" w:themeShade="BF"/>
    </w:rPr>
  </w:style>
  <w:style w:type="paragraph" w:styleId="IntenseQuote">
    <w:name w:val="Intense Quote"/>
    <w:basedOn w:val="Normal"/>
    <w:next w:val="Normal"/>
    <w:link w:val="IntenseQuoteChar"/>
    <w:uiPriority w:val="30"/>
    <w:qFormat/>
    <w:rsid w:val="007E71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18A"/>
    <w:rPr>
      <w:i/>
      <w:iCs/>
      <w:color w:val="0F4761" w:themeColor="accent1" w:themeShade="BF"/>
    </w:rPr>
  </w:style>
  <w:style w:type="character" w:styleId="IntenseReference">
    <w:name w:val="Intense Reference"/>
    <w:basedOn w:val="DefaultParagraphFont"/>
    <w:uiPriority w:val="32"/>
    <w:qFormat/>
    <w:rsid w:val="007E71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956271">
      <w:bodyDiv w:val="1"/>
      <w:marLeft w:val="0"/>
      <w:marRight w:val="0"/>
      <w:marTop w:val="0"/>
      <w:marBottom w:val="0"/>
      <w:divBdr>
        <w:top w:val="none" w:sz="0" w:space="0" w:color="auto"/>
        <w:left w:val="none" w:sz="0" w:space="0" w:color="auto"/>
        <w:bottom w:val="none" w:sz="0" w:space="0" w:color="auto"/>
        <w:right w:val="none" w:sz="0" w:space="0" w:color="auto"/>
      </w:divBdr>
    </w:div>
    <w:div w:id="1099832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1151</Words>
  <Characters>6562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chandler f</dc:creator>
  <cp:keywords/>
  <dc:description/>
  <cp:lastModifiedBy>George, Seven</cp:lastModifiedBy>
  <cp:revision>2</cp:revision>
  <dcterms:created xsi:type="dcterms:W3CDTF">2025-01-22T02:58:00Z</dcterms:created>
  <dcterms:modified xsi:type="dcterms:W3CDTF">2025-01-24T01:55:00Z</dcterms:modified>
</cp:coreProperties>
</file>