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数据层接口：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benchMarkDATAService</w:t>
      </w:r>
    </w:p>
    <w:p>
      <w:pPr>
        <w:pStyle w:val="Normal"/>
        <w:rPr/>
      </w:pPr>
      <w:r>
        <w:rPr/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56"/>
        <w:gridCol w:w="944"/>
        <w:gridCol w:w="3296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4056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getAllBenchMark</w:t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6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list&lt;BenchMark&gt; getAllBenchMark()</w:t>
            </w:r>
          </w:p>
        </w:tc>
      </w:tr>
      <w:tr>
        <w:trPr>
          <w:trHeight w:val="98" w:hRule="atLeast"/>
        </w:trPr>
        <w:tc>
          <w:tcPr>
            <w:tcW w:w="4056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6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无</w:t>
            </w:r>
          </w:p>
        </w:tc>
      </w:tr>
      <w:tr>
        <w:trPr>
          <w:trHeight w:val="98" w:hRule="atLeast"/>
        </w:trPr>
        <w:tc>
          <w:tcPr>
            <w:tcW w:w="4056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6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返回日期的大盘列表</w:t>
            </w:r>
          </w:p>
        </w:tc>
      </w:tr>
      <w:tr>
        <w:trPr>
          <w:trHeight w:val="98" w:hRule="atLeast"/>
        </w:trPr>
        <w:tc>
          <w:tcPr>
            <w:tcW w:w="4056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benchMarkDATAService.getBenchMarkAtDate</w:t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6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sz w:val="20"/>
                <w:szCs w:val="20"/>
              </w:rPr>
              <w:t>BenchMark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</w:trPr>
        <w:tc>
          <w:tcPr>
            <w:tcW w:w="4056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6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传入大盘名称、指定日期</w:t>
            </w:r>
          </w:p>
        </w:tc>
      </w:tr>
      <w:tr>
        <w:trPr>
          <w:trHeight w:val="257" w:hRule="atLeast"/>
        </w:trPr>
        <w:tc>
          <w:tcPr>
            <w:tcW w:w="4056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6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返回该大盘指定日期的数据</w:t>
            </w:r>
          </w:p>
        </w:tc>
      </w:tr>
      <w:tr>
        <w:trPr>
          <w:trHeight w:val="257" w:hRule="atLeast"/>
        </w:trPr>
        <w:tc>
          <w:tcPr>
            <w:tcW w:w="4056" w:type="dxa"/>
            <w:vMerge w:val="restart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lineRule="auto" w:line="276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6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list&lt;BenchMark&gt; getBenchMarkAmongDate(String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4056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6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传入大盘名称、日期区间</w:t>
            </w:r>
          </w:p>
        </w:tc>
      </w:tr>
      <w:tr>
        <w:trPr>
          <w:trHeight w:val="257" w:hRule="atLeast"/>
        </w:trPr>
        <w:tc>
          <w:tcPr>
            <w:tcW w:w="4056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6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返回该大盘指定日期内的信息</w:t>
            </w:r>
          </w:p>
        </w:tc>
      </w:tr>
    </w:tbl>
    <w:p>
      <w:pPr>
        <w:pStyle w:val="Normal"/>
        <w:rPr/>
      </w:pPr>
      <w:r>
        <w:rPr/>
        <w:t>2</w:t>
      </w:r>
      <w:r>
        <w:rPr/>
        <w:t>、</w:t>
      </w:r>
      <w:r>
        <w:rPr/>
        <w:t>stockListDATAService</w:t>
      </w:r>
    </w:p>
    <w:p>
      <w:pPr>
        <w:pStyle w:val="Normal"/>
        <w:rPr/>
      </w:pPr>
      <w:r>
        <w:rPr/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0"/>
        <w:gridCol w:w="1417"/>
        <w:gridCol w:w="3199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getAllStocks</w:t>
            </w:r>
          </w:p>
        </w:tc>
        <w:tc>
          <w:tcPr>
            <w:tcW w:w="141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list&lt;String&gt; getAllStocks(Calendar date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， </w:t>
            </w:r>
            <w:r>
              <w:rPr>
                <w:rFonts w:cs="Consolas" w:ascii="Consolas" w:hAnsi="Consolas"/>
                <w:sz w:val="20"/>
                <w:szCs w:val="20"/>
              </w:rPr>
              <w:t>Exchange exchange)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传入指定年份、指定交易所的信息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返回股票名称</w:t>
            </w:r>
            <w:bookmarkStart w:id="0" w:name="_GoBack"/>
            <w:bookmarkEnd w:id="0"/>
            <w:r>
              <w:rPr>
                <w:rFonts w:ascii="Calibri" w:hAnsi="Calibri" w:cs="Times New Roman" w:eastAsia="宋体"/>
                <w:sz w:val="18"/>
                <w:szCs w:val="18"/>
              </w:rPr>
              <w:t>列表</w:t>
            </w:r>
          </w:p>
        </w:tc>
      </w:tr>
    </w:tbl>
    <w:p>
      <w:pPr>
        <w:pStyle w:val="Normal"/>
        <w:rPr/>
      </w:pPr>
      <w:r>
        <w:rPr/>
        <w:t>3</w:t>
      </w:r>
      <w:r>
        <w:rPr/>
        <w:t>、</w:t>
      </w:r>
      <w:r>
        <w:rPr/>
        <w:t>singleStockDATAService</w:t>
      </w:r>
    </w:p>
    <w:p>
      <w:pPr>
        <w:pStyle w:val="Normal"/>
        <w:rPr/>
      </w:pPr>
      <w:r>
        <w:rPr/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4"/>
        <w:gridCol w:w="1327"/>
        <w:gridCol w:w="3295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3674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benchMarkDATAService.getStockAtDate</w:t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Stock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传入股票名称、指定日期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返回该股票指定日期的数据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restart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lineRule="auto" w:line="276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benchMarkDATAService.getStockAmongDate</w:t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list&lt;Stock&gt; get</w:t>
            </w:r>
            <w:r>
              <w:rPr>
                <w:rFonts w:cs="Consolas" w:ascii="Consolas" w:hAnsi="Consolas"/>
                <w:sz w:val="20"/>
                <w:szCs w:val="20"/>
              </w:rPr>
              <w:t>Stock</w:t>
            </w:r>
            <w:r>
              <w:rPr>
                <w:rFonts w:cs="Consolas" w:ascii="Consolas" w:hAnsi="Consolas"/>
                <w:sz w:val="20"/>
                <w:szCs w:val="20"/>
              </w:rPr>
              <w:t>AmongDate(String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传入股票名称、日期区间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返回该股票指定日期内的信息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>
    <w:compatSetting w:name="compatibilityMode" w:uri="http://schemas.microsoft.com/office/word" w:val="12"/>
  </w:compat>
  <w:themeFontLang w:val="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Droid Sans Fallback" w:eastAsiaTheme="minorEastAsia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eastAsia="Droid Sans Fallback" w:ascii="Liberation Serif" w:hAnsi="Liberation Serif" w:cs="Droid Sans Fallback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 w:customStyle="1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Style19">
    <w:name w:val="大标题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 w:customStyle="1">
    <w:name w:val="表格内容"/>
    <w:basedOn w:val="Normal"/>
    <w:qFormat/>
    <w:pPr/>
    <w:rPr/>
  </w:style>
  <w:style w:type="paragraph" w:styleId="Style21" w:customStyle="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LibreOffice/5.0.5.2$Linux_X86_64 LibreOffice_project/00m0$Build-2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2016-03-01T23:37:00Z</dcterms:created>
  <dc:language>zh-CN</dc:language>
  <dcterms:modified xsi:type="dcterms:W3CDTF">2016-03-03T19:48:28Z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