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数据层接口：</w:t>
      </w:r>
    </w:p>
    <w:p>
      <w:pPr>
        <w:pStyle w:val="Normal"/>
        <w:rPr/>
      </w:pPr>
      <w:r>
        <w:rPr/>
        <w:t>1</w:t>
      </w:r>
      <w:r>
        <w:rPr/>
        <w:t>、</w:t>
      </w:r>
      <w:r>
        <w:rPr/>
        <w:t>benchMarkDATAService</w:t>
      </w:r>
    </w:p>
    <w:p>
      <w:pPr>
        <w:pStyle w:val="Normal"/>
        <w:rPr/>
      </w:pPr>
      <w:r>
        <w:rPr/>
      </w:r>
    </w:p>
    <w:tbl>
      <w:tblPr>
        <w:tblStyle w:val="5-51"/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0"/>
        <w:gridCol w:w="1417"/>
        <w:gridCol w:w="319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bCs/>
              </w:rPr>
            </w:pPr>
            <w:r>
              <w:rPr>
                <w:rFonts w:ascii="Calibri" w:hAnsi="Calibri" w:cs="Times New Roman" w:eastAsia="宋体"/>
                <w:b/>
                <w:bCs/>
                <w:color w:val="FFFFFF"/>
                <w:sz w:val="18"/>
                <w:szCs w:val="18"/>
              </w:rPr>
              <w:t>提供的服务（供接口）</w:t>
            </w:r>
          </w:p>
        </w:tc>
      </w:tr>
      <w:tr>
        <w:trPr>
          <w:trHeight w:val="9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宋体" w:cs="Times New Roman" w:asciiTheme="majorHAnsi" w:hAnsiTheme="majorHAnsi"/>
                <w:b/>
                <w:bCs/>
                <w:color w:val="FFFFFF"/>
                <w:sz w:val="18"/>
                <w:szCs w:val="18"/>
              </w:rPr>
              <w:t>benchMarkDATAService</w:t>
            </w:r>
            <w:r>
              <w:rPr>
                <w:rFonts w:eastAsia="宋体" w:cs="Times New Roman" w:ascii="Calibri" w:hAnsi="Calibri"/>
                <w:b/>
                <w:bCs/>
                <w:color w:val="FFFFFF"/>
                <w:sz w:val="18"/>
                <w:szCs w:val="18"/>
              </w:rPr>
              <w:t>.</w:t>
            </w:r>
            <w:r>
              <w:rPr>
                <w:rFonts w:eastAsia="宋体" w:cs="Times New Roman" w:asciiTheme="majorHAnsi" w:hAnsiTheme="majorHAnsi"/>
                <w:b/>
                <w:bCs/>
                <w:color w:val="FFFFFF"/>
                <w:sz w:val="18"/>
                <w:szCs w:val="18"/>
              </w:rPr>
              <w:t>getAll</w:t>
            </w:r>
            <w:r>
              <w:rPr>
                <w:rFonts w:eastAsia="宋体" w:cs="Times New Roman" w:asciiTheme="majorHAnsi" w:hAnsiTheme="majorHAnsi"/>
                <w:b/>
                <w:bCs/>
                <w:color w:val="FFFFFF"/>
                <w:sz w:val="18"/>
                <w:szCs w:val="18"/>
              </w:rPr>
              <w:t>BenchMark</w:t>
            </w:r>
          </w:p>
        </w:tc>
        <w:tc>
          <w:tcPr>
            <w:tcW w:w="1417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3199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onsolas" w:ascii="Consolas" w:hAnsi="Consolas"/>
                <w:b w:val="false"/>
                <w:bCs w:val="false"/>
                <w:sz w:val="20"/>
                <w:szCs w:val="20"/>
              </w:rPr>
              <w:t xml:space="preserve">public </w:t>
            </w:r>
            <w:r>
              <w:rPr>
                <w:rFonts w:cs="Consolas" w:ascii="Consolas" w:hAnsi="Consolas"/>
                <w:b w:val="false"/>
                <w:bCs w:val="false"/>
                <w:sz w:val="20"/>
                <w:szCs w:val="20"/>
              </w:rPr>
              <w:t>list&lt;BenchMark&gt;</w:t>
            </w:r>
            <w:r>
              <w:rPr>
                <w:rFonts w:cs="Consolas" w:ascii="Consolas" w:hAnsi="Consolas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sz w:val="20"/>
                <w:szCs w:val="20"/>
              </w:rPr>
              <w:t>ge</w:t>
            </w:r>
            <w:r>
              <w:rPr>
                <w:rFonts w:cs="Consolas" w:ascii="Consolas" w:hAnsi="Consolas"/>
                <w:sz w:val="20"/>
                <w:szCs w:val="20"/>
              </w:rPr>
              <w:t>tAllBenchMark</w:t>
            </w:r>
            <w:r>
              <w:rPr>
                <w:rFonts w:cs="Consolas" w:ascii="Consolas" w:hAnsi="Consolas"/>
                <w:sz w:val="20"/>
                <w:szCs w:val="20"/>
              </w:rPr>
              <w:t>()</w:t>
            </w:r>
          </w:p>
        </w:tc>
      </w:tr>
      <w:tr>
        <w:trPr>
          <w:trHeight w:val="98" w:hRule="atLeast"/>
        </w:trPr>
        <w:tc>
          <w:tcPr>
            <w:tcW w:w="368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417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9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无</w:t>
            </w:r>
          </w:p>
        </w:tc>
      </w:tr>
      <w:tr>
        <w:trPr>
          <w:trHeight w:val="9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417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9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返回日期的大盘列表</w:t>
            </w:r>
          </w:p>
        </w:tc>
      </w:tr>
      <w:tr>
        <w:trPr>
          <w:trHeight w:val="98" w:hRule="atLeast"/>
        </w:trPr>
        <w:tc>
          <w:tcPr>
            <w:tcW w:w="368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rFonts w:eastAsia="宋体" w:cs="Times New Roman" w:asciiTheme="majorHAnsi" w:hAnsiTheme="majorHAnsi"/>
                <w:b/>
                <w:bCs/>
                <w:color w:val="FFFFFF"/>
                <w:sz w:val="18"/>
                <w:szCs w:val="18"/>
              </w:rPr>
              <w:t>benchMarkDATAService.getBenchMarkAtDate</w:t>
            </w:r>
          </w:p>
        </w:tc>
        <w:tc>
          <w:tcPr>
            <w:tcW w:w="1417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3199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onsolas" w:ascii="Consolas" w:hAnsi="Consolas"/>
                <w:b w:val="false"/>
                <w:bCs w:val="false"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sz w:val="20"/>
                <w:szCs w:val="20"/>
              </w:rPr>
              <w:t>BenchMark getOperation(String name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cs="Consolas" w:ascii="Consolas" w:hAnsi="Consolas"/>
                <w:sz w:val="20"/>
                <w:szCs w:val="20"/>
              </w:rPr>
              <w:t>Calendar date)</w:t>
            </w:r>
          </w:p>
        </w:tc>
      </w:tr>
      <w:tr>
        <w:trPr>
          <w:trHeight w:val="47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417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9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传入大盘名称、指定日期</w:t>
            </w:r>
          </w:p>
        </w:tc>
      </w:tr>
      <w:tr>
        <w:trPr>
          <w:trHeight w:val="257" w:hRule="atLeast"/>
        </w:trPr>
        <w:tc>
          <w:tcPr>
            <w:tcW w:w="368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417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9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返回该大盘指定日期的数据</w:t>
            </w:r>
          </w:p>
        </w:tc>
      </w:tr>
      <w:tr>
        <w:trPr>
          <w:trHeight w:val="257" w:hRule="atLeast"/>
        </w:trPr>
        <w:tc>
          <w:tcPr>
            <w:tcW w:w="368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widowControl/>
              <w:spacing w:lineRule="auto" w:line="276"/>
              <w:jc w:val="left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Theme="majorHAnsi" w:hAnsiTheme="majorHAnsi"/>
                <w:b/>
                <w:bCs/>
                <w:color w:val="FFFFFF" w:themeColor="background1"/>
                <w:sz w:val="18"/>
                <w:szCs w:val="18"/>
              </w:rPr>
              <w:t>benchMarkDATAService.getBenchMarkAmongDate</w:t>
            </w:r>
          </w:p>
        </w:tc>
        <w:tc>
          <w:tcPr>
            <w:tcW w:w="1417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3199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onsolas" w:ascii="Consolas" w:hAnsi="Consolas"/>
                <w:b w:val="false"/>
                <w:bCs w:val="false"/>
                <w:sz w:val="20"/>
                <w:szCs w:val="20"/>
              </w:rPr>
              <w:t xml:space="preserve">public </w:t>
            </w:r>
            <w:r>
              <w:rPr>
                <w:rFonts w:cs="Consolas" w:ascii="Consolas" w:hAnsi="Consolas"/>
                <w:b w:val="false"/>
                <w:bCs w:val="false"/>
                <w:sz w:val="20"/>
                <w:szCs w:val="20"/>
              </w:rPr>
              <w:t>list&lt;BenchMark&gt;</w:t>
            </w:r>
            <w:r>
              <w:rPr>
                <w:rFonts w:cs="Consolas" w:ascii="Consolas" w:hAnsi="Consolas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sz w:val="20"/>
                <w:szCs w:val="20"/>
              </w:rPr>
              <w:t>ge</w:t>
            </w:r>
            <w:r>
              <w:rPr>
                <w:rFonts w:cs="Consolas" w:ascii="Consolas" w:hAnsi="Consolas"/>
                <w:sz w:val="20"/>
                <w:szCs w:val="20"/>
              </w:rPr>
              <w:t>tBenchMarkAmongDate</w:t>
            </w:r>
            <w:r>
              <w:rPr>
                <w:rFonts w:cs="Consolas" w:ascii="Consolas" w:hAnsi="Consolas"/>
                <w:sz w:val="20"/>
                <w:szCs w:val="20"/>
              </w:rPr>
              <w:t>(String name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cs="Consolas" w:ascii="Consolas" w:hAnsi="Consolas"/>
                <w:sz w:val="20"/>
                <w:szCs w:val="20"/>
              </w:rPr>
              <w:t>Calendar start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cs="Consolas" w:ascii="Consolas" w:hAnsi="Consolas"/>
                <w:sz w:val="20"/>
                <w:szCs w:val="20"/>
              </w:rPr>
              <w:t>Calendar end)</w:t>
            </w:r>
          </w:p>
        </w:tc>
      </w:tr>
      <w:tr>
        <w:trPr>
          <w:trHeight w:val="257" w:hRule="atLeast"/>
        </w:trPr>
        <w:tc>
          <w:tcPr>
            <w:tcW w:w="368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417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9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宋体" w:cs="Times New Roman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ascii="Calibri" w:hAnsi="Calibri" w:cs="Times New Roman" w:eastAsia="宋体"/>
                <w:color w:val="00000A"/>
                <w:sz w:val="18"/>
                <w:szCs w:val="18"/>
                <w:lang w:val="en-US" w:eastAsia="zh-CN" w:bidi="hi-IN"/>
              </w:rPr>
              <w:t>传入大盘名称、日期区间</w:t>
            </w:r>
          </w:p>
        </w:tc>
      </w:tr>
      <w:tr>
        <w:trPr>
          <w:trHeight w:val="257" w:hRule="atLeast"/>
        </w:trPr>
        <w:tc>
          <w:tcPr>
            <w:tcW w:w="368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417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9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宋体" w:cs="Times New Roman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ascii="Calibri" w:hAnsi="Calibri" w:cs="Times New Roman" w:eastAsia="宋体"/>
                <w:color w:val="00000A"/>
                <w:sz w:val="18"/>
                <w:szCs w:val="18"/>
                <w:lang w:val="en-US" w:eastAsia="zh-CN" w:bidi="hi-IN"/>
              </w:rPr>
              <w:t>返回该大盘指定日期内的信息</w:t>
            </w:r>
          </w:p>
        </w:tc>
      </w:tr>
    </w:tbl>
    <w:p>
      <w:pPr>
        <w:pStyle w:val="Normal"/>
        <w:rPr/>
      </w:pPr>
      <w:r>
        <w:rPr/>
        <w:t>2</w:t>
      </w:r>
      <w:r>
        <w:rPr/>
        <w:t>、</w:t>
      </w:r>
      <w:r>
        <w:rPr/>
        <w:t>stockListDATAService</w:t>
      </w:r>
    </w:p>
    <w:p>
      <w:pPr>
        <w:pStyle w:val="Normal"/>
        <w:rPr/>
      </w:pPr>
      <w:r>
        <w:rPr/>
      </w:r>
    </w:p>
    <w:tbl>
      <w:tblPr>
        <w:tblStyle w:val="5-51"/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0"/>
        <w:gridCol w:w="1417"/>
        <w:gridCol w:w="319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ascii="Calibri" w:hAnsi="Calibri" w:cs="Times New Roman" w:eastAsia="宋体"/>
                <w:b/>
                <w:bCs/>
                <w:color w:val="FFFFFF"/>
                <w:sz w:val="18"/>
                <w:szCs w:val="18"/>
              </w:rPr>
              <w:t>提供的服务（供接口）</w:t>
            </w:r>
          </w:p>
        </w:tc>
      </w:tr>
      <w:tr>
        <w:trPr>
          <w:trHeight w:val="9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宋体" w:cs="Times New Roman" w:asciiTheme="majorHAnsi" w:hAnsiTheme="majorHAnsi"/>
                <w:b/>
                <w:bCs/>
                <w:color w:val="FFFFFF"/>
                <w:sz w:val="18"/>
                <w:szCs w:val="18"/>
              </w:rPr>
              <w:t>benchMarkDATAService</w:t>
            </w:r>
            <w:r>
              <w:rPr>
                <w:rFonts w:eastAsia="宋体" w:cs="Times New Roman" w:ascii="Calibri" w:hAnsi="Calibri"/>
                <w:b/>
                <w:bCs/>
                <w:color w:val="FFFFFF"/>
                <w:sz w:val="18"/>
                <w:szCs w:val="18"/>
              </w:rPr>
              <w:t>.</w:t>
            </w:r>
            <w:r>
              <w:rPr>
                <w:rFonts w:eastAsia="宋体" w:cs="Times New Roman" w:asciiTheme="majorHAnsi" w:hAnsiTheme="majorHAnsi"/>
                <w:b/>
                <w:bCs/>
                <w:color w:val="FFFFFF"/>
                <w:sz w:val="18"/>
                <w:szCs w:val="18"/>
              </w:rPr>
              <w:t>getAll</w:t>
            </w:r>
            <w:r>
              <w:rPr>
                <w:rFonts w:eastAsia="宋体" w:cs="Times New Roman" w:asciiTheme="majorHAnsi" w:hAnsiTheme="majorHAnsi"/>
                <w:b/>
                <w:bCs/>
                <w:color w:val="FFFFFF"/>
                <w:sz w:val="18"/>
                <w:szCs w:val="18"/>
              </w:rPr>
              <w:t>Stocks</w:t>
            </w:r>
          </w:p>
        </w:tc>
        <w:tc>
          <w:tcPr>
            <w:tcW w:w="1417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3199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onsolas" w:ascii="Consolas" w:hAnsi="Consolas"/>
                <w:b w:val="false"/>
                <w:bCs w:val="false"/>
                <w:sz w:val="20"/>
                <w:szCs w:val="20"/>
              </w:rPr>
              <w:t xml:space="preserve">public </w:t>
            </w:r>
            <w:r>
              <w:rPr>
                <w:rFonts w:cs="Consolas" w:ascii="Consolas" w:hAnsi="Consolas"/>
                <w:b w:val="false"/>
                <w:bCs w:val="false"/>
                <w:sz w:val="20"/>
                <w:szCs w:val="20"/>
              </w:rPr>
              <w:t>list&lt;Stock&gt;</w:t>
            </w:r>
            <w:r>
              <w:rPr>
                <w:rFonts w:cs="Consolas" w:ascii="Consolas" w:hAnsi="Consolas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sz w:val="20"/>
                <w:szCs w:val="20"/>
              </w:rPr>
              <w:t>ge</w:t>
            </w:r>
            <w:r>
              <w:rPr>
                <w:rFonts w:cs="Consolas" w:ascii="Consolas" w:hAnsi="Consolas"/>
                <w:sz w:val="20"/>
                <w:szCs w:val="20"/>
              </w:rPr>
              <w:t>tAllStocks</w:t>
            </w:r>
            <w:r>
              <w:rPr>
                <w:rFonts w:cs="Consolas" w:ascii="Consolas" w:hAnsi="Consolas"/>
                <w:sz w:val="20"/>
                <w:szCs w:val="20"/>
              </w:rPr>
              <w:t>(Calendar date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， </w:t>
            </w:r>
            <w:r>
              <w:rPr>
                <w:rFonts w:cs="Consolas" w:ascii="Consolas" w:hAnsi="Consolas"/>
                <w:sz w:val="20"/>
                <w:szCs w:val="20"/>
              </w:rPr>
              <w:t>Exchange exchange)</w:t>
            </w:r>
          </w:p>
        </w:tc>
      </w:tr>
      <w:tr>
        <w:trPr>
          <w:trHeight w:val="98" w:hRule="atLeast"/>
        </w:trPr>
        <w:tc>
          <w:tcPr>
            <w:tcW w:w="368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417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9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传入指定年份、指定交易所的信息</w:t>
            </w:r>
          </w:p>
        </w:tc>
      </w:tr>
      <w:tr>
        <w:trPr>
          <w:trHeight w:val="9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417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9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返回股票列表</w:t>
            </w:r>
          </w:p>
        </w:tc>
      </w:tr>
    </w:tbl>
    <w:p>
      <w:pPr>
        <w:pStyle w:val="Normal"/>
        <w:rPr/>
      </w:pPr>
      <w:r>
        <w:rPr/>
        <w:t>3</w:t>
      </w:r>
      <w:r>
        <w:rPr/>
        <w:t>、</w:t>
      </w:r>
      <w:r>
        <w:rPr/>
        <w:t>singleStockDATAService</w:t>
      </w:r>
    </w:p>
    <w:p>
      <w:pPr>
        <w:pStyle w:val="Normal"/>
        <w:rPr/>
      </w:pPr>
      <w:r>
        <w:rPr/>
      </w:r>
    </w:p>
    <w:tbl>
      <w:tblPr>
        <w:tblStyle w:val="5-51"/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0"/>
        <w:gridCol w:w="1417"/>
        <w:gridCol w:w="319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ascii="Calibri" w:hAnsi="Calibri" w:cs="Times New Roman" w:eastAsia="宋体"/>
                <w:b/>
                <w:bCs/>
                <w:color w:val="FFFFFF"/>
                <w:sz w:val="18"/>
                <w:szCs w:val="18"/>
              </w:rPr>
              <w:t>提供的服务（供接口）</w:t>
            </w:r>
          </w:p>
        </w:tc>
      </w:tr>
      <w:tr>
        <w:trPr>
          <w:trHeight w:val="98" w:hRule="atLeast"/>
        </w:trPr>
        <w:tc>
          <w:tcPr>
            <w:tcW w:w="368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rFonts w:eastAsia="宋体" w:cs="Times New Roman" w:asciiTheme="majorHAnsi" w:hAnsiTheme="majorHAnsi"/>
                <w:b/>
                <w:bCs/>
                <w:color w:val="FFFFFF"/>
                <w:sz w:val="18"/>
                <w:szCs w:val="18"/>
              </w:rPr>
              <w:t>benchMarkDATAService.getStockAtDate</w:t>
            </w:r>
          </w:p>
        </w:tc>
        <w:tc>
          <w:tcPr>
            <w:tcW w:w="1417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3199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onsolas" w:ascii="Consolas" w:hAnsi="Consolas"/>
                <w:b w:val="false"/>
                <w:bCs w:val="false"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b/>
                <w:bCs/>
                <w:sz w:val="20"/>
                <w:szCs w:val="20"/>
              </w:rPr>
              <w:t xml:space="preserve"> Stock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getOperation(String name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cs="Consolas" w:ascii="Consolas" w:hAnsi="Consolas"/>
                <w:sz w:val="20"/>
                <w:szCs w:val="20"/>
              </w:rPr>
              <w:t>Calendar date)</w:t>
            </w:r>
          </w:p>
        </w:tc>
      </w:tr>
      <w:tr>
        <w:trPr>
          <w:trHeight w:val="47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417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9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传入股票名称、指定日期</w:t>
            </w:r>
          </w:p>
        </w:tc>
      </w:tr>
      <w:tr>
        <w:trPr>
          <w:trHeight w:val="257" w:hRule="atLeast"/>
        </w:trPr>
        <w:tc>
          <w:tcPr>
            <w:tcW w:w="368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417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9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返回该股票指定日期的数据</w:t>
            </w:r>
          </w:p>
        </w:tc>
      </w:tr>
      <w:tr>
        <w:trPr>
          <w:trHeight w:val="257" w:hRule="atLeast"/>
        </w:trPr>
        <w:tc>
          <w:tcPr>
            <w:tcW w:w="368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widowControl/>
              <w:spacing w:lineRule="auto" w:line="276"/>
              <w:jc w:val="left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Theme="majorHAnsi" w:hAnsiTheme="majorHAnsi"/>
                <w:b/>
                <w:bCs/>
                <w:color w:val="FFFFFF" w:themeColor="background1"/>
                <w:sz w:val="18"/>
                <w:szCs w:val="18"/>
              </w:rPr>
              <w:t>benchMarkDATAService.getStockAmongDate</w:t>
            </w:r>
          </w:p>
        </w:tc>
        <w:tc>
          <w:tcPr>
            <w:tcW w:w="1417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3199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onsolas" w:ascii="Consolas" w:hAnsi="Consolas"/>
                <w:b w:val="false"/>
                <w:bCs w:val="false"/>
                <w:sz w:val="20"/>
                <w:szCs w:val="20"/>
              </w:rPr>
              <w:t xml:space="preserve">public </w:t>
            </w:r>
            <w:r>
              <w:rPr>
                <w:rFonts w:cs="Consolas" w:ascii="Consolas" w:hAnsi="Consolas"/>
                <w:b w:val="false"/>
                <w:bCs w:val="false"/>
                <w:sz w:val="20"/>
                <w:szCs w:val="20"/>
              </w:rPr>
              <w:t>list&lt;Stock&gt;</w:t>
            </w:r>
            <w:r>
              <w:rPr>
                <w:rFonts w:cs="Consolas" w:ascii="Consolas" w:hAnsi="Consolas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sz w:val="20"/>
                <w:szCs w:val="20"/>
              </w:rPr>
              <w:t>ge</w:t>
            </w:r>
            <w:r>
              <w:rPr>
                <w:rFonts w:cs="Consolas" w:ascii="Consolas" w:hAnsi="Consolas"/>
                <w:sz w:val="20"/>
                <w:szCs w:val="20"/>
              </w:rPr>
              <w:t>tBenchMarkAmongDate</w:t>
            </w:r>
            <w:r>
              <w:rPr>
                <w:rFonts w:cs="Consolas" w:ascii="Consolas" w:hAnsi="Consolas"/>
                <w:sz w:val="20"/>
                <w:szCs w:val="20"/>
              </w:rPr>
              <w:t>(String name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cs="Consolas" w:ascii="Consolas" w:hAnsi="Consolas"/>
                <w:sz w:val="20"/>
                <w:szCs w:val="20"/>
              </w:rPr>
              <w:t>Calendar start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cs="Consolas" w:ascii="Consolas" w:hAnsi="Consolas"/>
                <w:sz w:val="20"/>
                <w:szCs w:val="20"/>
              </w:rPr>
              <w:t>Calendar end)</w:t>
            </w:r>
          </w:p>
        </w:tc>
      </w:tr>
      <w:tr>
        <w:trPr>
          <w:trHeight w:val="257" w:hRule="atLeast"/>
        </w:trPr>
        <w:tc>
          <w:tcPr>
            <w:tcW w:w="368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417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9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宋体" w:cs="Times New Roman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ascii="Calibri" w:hAnsi="Calibri" w:cs="Times New Roman" w:eastAsia="宋体"/>
                <w:color w:val="00000A"/>
                <w:sz w:val="18"/>
                <w:szCs w:val="18"/>
                <w:lang w:val="en-US" w:eastAsia="zh-CN" w:bidi="hi-IN"/>
              </w:rPr>
              <w:t>传入股票名称、日期区间</w:t>
            </w:r>
          </w:p>
        </w:tc>
      </w:tr>
      <w:tr>
        <w:trPr>
          <w:trHeight w:val="257" w:hRule="atLeast"/>
        </w:trPr>
        <w:tc>
          <w:tcPr>
            <w:tcW w:w="368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417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9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宋体" w:cs="Times New Roman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ascii="Calibri" w:hAnsi="Calibri" w:cs="Times New Roman" w:eastAsia="宋体"/>
                <w:color w:val="00000A"/>
                <w:sz w:val="18"/>
                <w:szCs w:val="18"/>
                <w:lang w:val="en-US" w:eastAsia="zh-CN" w:bidi="hi-IN"/>
              </w:rPr>
              <w:t>返回该股票指定日期内的信息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表格内容"/>
    <w:basedOn w:val="Normal"/>
    <w:qFormat/>
    <w:pPr/>
    <w:rPr/>
  </w:style>
  <w:style w:type="paragraph" w:styleId="Style20">
    <w:name w:val="表格标题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33</TotalTime>
  <Application>LibreOffice/5.0.5.2$Linux_X86_64 LibreOffice_project/00m0$Build-2</Application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2016-03-01T23:37:50Z</dcterms:created>
  <dc:language>zh-CN</dc:language>
  <dcterms:modified xsi:type="dcterms:W3CDTF">2016-03-02T09:07:28Z</dcterms:modified>
  <cp:revision>2</cp:revision>
</cp:coreProperties>
</file>