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软雅黑" w:hAnsi="微软雅黑" w:eastAsia="微软雅黑" w:cs="宋体"/>
          <w:sz w:val="56"/>
          <w:szCs w:val="52"/>
        </w:rPr>
      </w:pPr>
      <w:r>
        <w:rPr>
          <w:rFonts w:eastAsia="微软雅黑" w:cs="宋体" w:ascii="微软雅黑" w:hAnsi="微软雅黑"/>
          <w:sz w:val="56"/>
          <w:szCs w:val="52"/>
        </w:rPr>
        <w:drawing>
          <wp:anchor behindDoc="1" distT="0" distB="1270" distL="114300" distR="114300" simplePos="0" locked="0" layoutInCell="1" allowOverlap="1" relativeHeight="2">
            <wp:simplePos x="0" y="0"/>
            <wp:positionH relativeFrom="column">
              <wp:posOffset>-625475</wp:posOffset>
            </wp:positionH>
            <wp:positionV relativeFrom="paragraph">
              <wp:posOffset>440055</wp:posOffset>
            </wp:positionV>
            <wp:extent cx="7371080" cy="7371080"/>
            <wp:effectExtent l="0" t="0" r="0" b="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微软雅黑" w:hAnsi="微软雅黑" w:eastAsia="微软雅黑" w:cs="宋体"/>
          <w:sz w:val="56"/>
          <w:szCs w:val="52"/>
        </w:rPr>
      </w:pPr>
      <w:r>
        <w:rPr>
          <w:rFonts w:eastAsia="微软雅黑" w:cs="宋体" w:ascii="微软雅黑" w:hAnsi="微软雅黑"/>
          <w:sz w:val="56"/>
          <w:szCs w:val="52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微软雅黑" w:hAnsi="微软雅黑" w:cs="宋体" w:eastAsia="微软雅黑"/>
          <w:sz w:val="56"/>
          <w:szCs w:val="52"/>
        </w:rPr>
        <w:t>南京大学软件学院</w:t>
      </w:r>
    </w:p>
    <w:p>
      <w:pPr>
        <w:pStyle w:val="Normal"/>
        <w:jc w:val="center"/>
        <w:rPr/>
      </w:pPr>
      <w:r>
        <w:rPr>
          <w:rFonts w:eastAsia="微软雅黑" w:cs="宋体" w:ascii="微软雅黑" w:hAnsi="微软雅黑"/>
          <w:sz w:val="52"/>
          <w:szCs w:val="52"/>
        </w:rPr>
        <w:t xml:space="preserve">2016 </w:t>
      </w:r>
      <w:r>
        <w:rPr>
          <w:rFonts w:ascii="微软雅黑" w:hAnsi="微软雅黑" w:cs="宋体" w:eastAsia="微软雅黑"/>
          <w:sz w:val="52"/>
          <w:szCs w:val="52"/>
        </w:rPr>
        <w:t xml:space="preserve">春 软件工程 </w:t>
      </w:r>
      <w:r>
        <w:rPr>
          <w:rFonts w:eastAsia="微软雅黑" w:cs="宋体" w:ascii="微软雅黑" w:hAnsi="微软雅黑"/>
          <w:sz w:val="52"/>
          <w:szCs w:val="52"/>
        </w:rPr>
        <w:t>AnyQuant</w:t>
      </w:r>
      <w:r>
        <w:rPr>
          <w:rFonts w:ascii="微软雅黑" w:hAnsi="微软雅黑" w:cs="宋体" w:eastAsia="微软雅黑"/>
          <w:sz w:val="52"/>
          <w:szCs w:val="52"/>
        </w:rPr>
        <w:t>项目实践</w:t>
      </w:r>
    </w:p>
    <w:p>
      <w:pPr>
        <w:pStyle w:val="Normal"/>
        <w:jc w:val="center"/>
        <w:rPr/>
      </w:pPr>
      <w:r>
        <w:rPr>
          <w:rFonts w:ascii="微软雅黑" w:hAnsi="微软雅黑" w:cs="宋体" w:eastAsia="微软雅黑"/>
          <w:b/>
          <w:sz w:val="96"/>
          <w:szCs w:val="52"/>
        </w:rPr>
        <w:t>软件详细设计文档</w:t>
      </w:r>
    </w:p>
    <w:p>
      <w:pPr>
        <w:pStyle w:val="Normal"/>
        <w:jc w:val="center"/>
        <w:rPr>
          <w:rFonts w:ascii="微软雅黑" w:hAnsi="微软雅黑" w:eastAsia="微软雅黑" w:cs="宋体"/>
          <w:b/>
          <w:b/>
          <w:sz w:val="96"/>
          <w:szCs w:val="52"/>
        </w:rPr>
      </w:pPr>
      <w:r>
        <w:rPr>
          <w:rFonts w:eastAsia="微软雅黑" w:cs="宋体" w:ascii="微软雅黑" w:hAnsi="微软雅黑"/>
          <w:b/>
          <w:sz w:val="96"/>
          <w:szCs w:val="52"/>
        </w:rPr>
      </w:r>
    </w:p>
    <w:p>
      <w:pPr>
        <w:pStyle w:val="Normal"/>
        <w:rPr>
          <w:rFonts w:ascii="微软雅黑" w:hAnsi="微软雅黑" w:eastAsia="微软雅黑" w:cs="宋体"/>
          <w:b/>
          <w:b/>
          <w:sz w:val="96"/>
          <w:szCs w:val="52"/>
        </w:rPr>
      </w:pPr>
      <w:r>
        <w:rPr>
          <w:rFonts w:eastAsia="微软雅黑" w:cs="宋体" w:ascii="微软雅黑" w:hAnsi="微软雅黑"/>
          <w:b/>
          <w:sz w:val="96"/>
          <w:szCs w:val="52"/>
        </w:rPr>
      </w:r>
    </w:p>
    <w:p>
      <w:pPr>
        <w:pStyle w:val="Normal"/>
        <w:jc w:val="center"/>
        <w:rPr>
          <w:sz w:val="55"/>
          <w:szCs w:val="55"/>
        </w:rPr>
      </w:pPr>
      <w:r>
        <w:rPr>
          <w:rFonts w:eastAsia="微软雅黑" w:cs="宋体" w:ascii="微软雅黑" w:hAnsi="微软雅黑"/>
          <w:b/>
          <w:sz w:val="55"/>
          <w:szCs w:val="55"/>
        </w:rPr>
        <w:tab/>
        <w:tab/>
        <w:tab/>
        <w:tab/>
        <w:tab/>
        <w:tab/>
        <w:tab/>
        <w:tab/>
        <w:tab/>
        <w:tab/>
        <w:tab/>
        <w:tab/>
        <w:t>Chicer</w:t>
      </w:r>
    </w:p>
    <w:p>
      <w:pPr>
        <w:pStyle w:val="Normal"/>
        <w:jc w:val="center"/>
        <w:rPr>
          <w:sz w:val="55"/>
          <w:szCs w:val="55"/>
        </w:rPr>
      </w:pPr>
      <w:r>
        <w:rPr>
          <w:rFonts w:eastAsia="微软雅黑" w:cs="宋体" w:ascii="微软雅黑" w:hAnsi="微软雅黑"/>
          <w:b/>
          <w:sz w:val="55"/>
          <w:szCs w:val="55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微软雅黑" w:hAnsi="微软雅黑" w:cs="宋体" w:eastAsia="微软雅黑"/>
          <w:b/>
          <w:sz w:val="32"/>
          <w:szCs w:val="32"/>
        </w:rPr>
        <w:t>程翔 陈天歌</w:t>
      </w:r>
    </w:p>
    <w:p>
      <w:pPr>
        <w:pStyle w:val="Normal"/>
        <w:jc w:val="center"/>
        <w:rPr>
          <w:sz w:val="55"/>
          <w:szCs w:val="55"/>
        </w:rPr>
      </w:pPr>
      <w:r>
        <w:rPr>
          <w:rFonts w:eastAsia="微软雅黑" w:cs="宋体" w:ascii="微软雅黑" w:hAnsi="微软雅黑"/>
          <w:b/>
          <w:sz w:val="32"/>
          <w:szCs w:val="32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微软雅黑" w:hAnsi="微软雅黑" w:cs="宋体" w:eastAsia="微软雅黑"/>
          <w:b/>
          <w:sz w:val="32"/>
          <w:szCs w:val="32"/>
        </w:rPr>
        <w:t>韩奇 韩梦虞</w:t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/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/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/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/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/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/>
      </w:r>
    </w:p>
    <w:p>
      <w:pPr>
        <w:pStyle w:val="Normal"/>
        <w:jc w:val="center"/>
        <w:rPr>
          <w:rFonts w:ascii="宋体" w:hAnsi="宋体" w:cs="Times New Roman"/>
          <w:b/>
          <w:b/>
          <w:sz w:val="21"/>
          <w:szCs w:val="21"/>
        </w:rPr>
      </w:pPr>
      <w:r>
        <w:rPr/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/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jc w:val="center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b/>
          <w:b/>
          <w:sz w:val="44"/>
          <w:szCs w:val="44"/>
        </w:rPr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一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引言</w:t>
      </w:r>
    </w:p>
    <w:p>
      <w:pPr>
        <w:pStyle w:val="Normal"/>
        <w:ind w:firstLine="420"/>
        <w:rPr>
          <w:rFonts w:ascii="宋体" w:hAnsi="宋体" w:cs="Times New Roman"/>
          <w:b/>
          <w:b/>
          <w:sz w:val="32"/>
          <w:szCs w:val="32"/>
        </w:rPr>
      </w:pPr>
      <w:bookmarkStart w:id="0" w:name="目的"/>
      <w:bookmarkEnd w:id="0"/>
      <w:r>
        <w:rPr>
          <w:rFonts w:cs="Times New Roman" w:ascii="Times New Roman" w:hAnsi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编制</w:t>
      </w:r>
      <w:r>
        <w:rPr>
          <w:rFonts w:ascii="宋体" w:hAnsi="宋体" w:cs="Times New Roman"/>
          <w:b/>
          <w:sz w:val="32"/>
          <w:szCs w:val="32"/>
        </w:rPr>
        <w:t>目的</w:t>
      </w:r>
    </w:p>
    <w:p>
      <w:pPr>
        <w:pStyle w:val="Normal"/>
        <w:ind w:left="4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本报告详细描述了对</w:t>
      </w:r>
      <w:r>
        <w:rPr>
          <w:rFonts w:cs="Times New Roman" w:ascii="宋体" w:hAnsi="宋体"/>
          <w:sz w:val="21"/>
          <w:szCs w:val="21"/>
        </w:rPr>
        <w:t>AnyQuant</w:t>
      </w:r>
      <w:r>
        <w:rPr>
          <w:rFonts w:ascii="宋体" w:hAnsi="宋体" w:cs="Times New Roman"/>
          <w:sz w:val="21"/>
          <w:szCs w:val="21"/>
        </w:rPr>
        <w:t>系统的详细设计，达到指导后续软件构造的目的，同时实现和测试人员及用户的沟通。</w:t>
      </w:r>
    </w:p>
    <w:p>
      <w:pPr>
        <w:pStyle w:val="Normal"/>
        <w:ind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 xml:space="preserve">    </w:t>
      </w:r>
      <w:r>
        <w:rPr>
          <w:rFonts w:ascii="宋体" w:hAnsi="宋体" w:cs="Times New Roman"/>
          <w:sz w:val="21"/>
          <w:szCs w:val="21"/>
        </w:rPr>
        <w:t>本报告面向开发人员、测试人员及最终用户而编写，是了解系统的导航。</w:t>
      </w:r>
    </w:p>
    <w:p>
      <w:pPr>
        <w:pStyle w:val="Normal"/>
        <w:ind w:firstLine="420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</w:r>
    </w:p>
    <w:p>
      <w:pPr>
        <w:pStyle w:val="Normal"/>
        <w:ind w:firstLine="42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历史版本</w:t>
      </w:r>
    </w:p>
    <w:tbl>
      <w:tblPr>
        <w:tblStyle w:val="af0"/>
        <w:tblW w:w="9207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04"/>
        <w:gridCol w:w="2204"/>
        <w:gridCol w:w="2382"/>
        <w:gridCol w:w="2416"/>
      </w:tblGrid>
      <w:tr>
        <w:trPr>
          <w:trHeight w:val="269" w:hRule="atLeast"/>
        </w:trPr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4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更改人员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4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日期</w:t>
            </w:r>
          </w:p>
        </w:tc>
        <w:tc>
          <w:tcPr>
            <w:tcW w:w="2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4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变更内容</w:t>
            </w:r>
          </w:p>
        </w:tc>
        <w:tc>
          <w:tcPr>
            <w:tcW w:w="2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40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版本</w:t>
            </w:r>
          </w:p>
        </w:tc>
      </w:tr>
      <w:tr>
        <w:trPr/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40"/>
              <w:rPr>
                <w:rFonts w:ascii="Calibri" w:hAnsi="Calibri" w:eastAsia="宋体" w:cs="宋体" w:asciiTheme="minorHAnsi" w:cstheme="minorBidi" w:eastAsiaTheme="minorEastAsia" w:hAnsiTheme="minorHAnsi"/>
                <w:sz w:val="21"/>
                <w:szCs w:val="22"/>
                <w:lang w:bidi="ar-SA"/>
              </w:rPr>
            </w:pPr>
            <w:r>
              <w:rPr>
                <w:rFonts w:ascii="Calibri" w:hAnsi="Calibri" w:cs="宋体" w:asciiTheme="minorHAnsi" w:cstheme="minorBidi" w:hAnsiTheme="minorHAnsi"/>
                <w:sz w:val="21"/>
                <w:szCs w:val="22"/>
                <w:lang w:bidi="ar-SA"/>
              </w:rPr>
              <w:t>程翔</w:t>
            </w:r>
          </w:p>
        </w:tc>
        <w:tc>
          <w:tcPr>
            <w:tcW w:w="22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40"/>
              <w:rPr>
                <w:rFonts w:ascii="Calibri" w:hAnsi="Calibri" w:eastAsia="宋体" w:cs="宋体" w:asciiTheme="minorHAnsi" w:cstheme="minorBidi" w:eastAsiaTheme="minorEastAsia" w:hAnsiTheme="minorHAnsi"/>
                <w:sz w:val="21"/>
                <w:szCs w:val="22"/>
                <w:lang w:bidi="ar-SA"/>
              </w:rPr>
            </w:pPr>
            <w:r>
              <w:rPr>
                <w:rFonts w:eastAsia="宋体" w:cs="宋体" w:cstheme="minorBidi" w:eastAsiaTheme="minorEastAsia" w:ascii="Calibri" w:hAnsi="Calibri"/>
                <w:sz w:val="21"/>
                <w:szCs w:val="22"/>
                <w:lang w:bidi="ar-SA"/>
              </w:rPr>
              <w:t>2016-</w:t>
            </w:r>
          </w:p>
        </w:tc>
        <w:tc>
          <w:tcPr>
            <w:tcW w:w="23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40"/>
              <w:rPr>
                <w:rFonts w:ascii="Calibri" w:hAnsi="Calibri" w:eastAsia="宋体" w:cs="宋体" w:asciiTheme="minorHAnsi" w:cstheme="minorBidi" w:eastAsiaTheme="minorEastAsia" w:hAnsiTheme="minorHAnsi"/>
                <w:sz w:val="21"/>
                <w:szCs w:val="22"/>
                <w:lang w:bidi="ar-SA"/>
              </w:rPr>
            </w:pPr>
            <w:r>
              <w:rPr>
                <w:rFonts w:eastAsia="宋体" w:cs="宋体" w:cstheme="minorBidi" w:eastAsiaTheme="minorEastAsia" w:ascii="Calibri" w:hAnsi="Calibri"/>
                <w:sz w:val="21"/>
                <w:szCs w:val="22"/>
                <w:lang w:bidi="ar-SA"/>
              </w:rPr>
            </w:r>
          </w:p>
        </w:tc>
        <w:tc>
          <w:tcPr>
            <w:tcW w:w="2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40"/>
              <w:rPr>
                <w:rFonts w:ascii="Calibri" w:hAnsi="Calibri" w:eastAsia="宋体" w:cs="宋体" w:asciiTheme="minorHAnsi" w:cstheme="minorBidi" w:eastAsiaTheme="minorEastAsia" w:hAnsiTheme="minorHAnsi"/>
                <w:sz w:val="21"/>
                <w:szCs w:val="22"/>
                <w:lang w:bidi="ar-SA"/>
              </w:rPr>
            </w:pPr>
            <w:r>
              <w:rPr>
                <w:rFonts w:eastAsia="宋体" w:cs="宋体" w:cstheme="minorBidi" w:eastAsiaTheme="minorEastAsia" w:ascii="Calibri" w:hAnsi="Calibri"/>
                <w:sz w:val="21"/>
                <w:szCs w:val="22"/>
                <w:lang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42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参考资料</w:t>
      </w:r>
    </w:p>
    <w:p>
      <w:pPr>
        <w:pStyle w:val="Normal"/>
        <w:ind w:left="420" w:firstLine="420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  <w:t>1</w:t>
      </w:r>
      <w:r>
        <w:rPr>
          <w:rFonts w:ascii="宋体" w:hAnsi="宋体" w:cs="Times New Roman"/>
          <w:sz w:val="21"/>
          <w:szCs w:val="21"/>
        </w:rPr>
        <w:t>）</w:t>
      </w:r>
      <w:r>
        <w:rPr>
          <w:rFonts w:cs="Times New Roman" w:ascii="宋体" w:hAnsi="宋体"/>
          <w:sz w:val="21"/>
          <w:szCs w:val="21"/>
        </w:rPr>
        <w:t>IEEE</w:t>
      </w:r>
      <w:r>
        <w:rPr>
          <w:rFonts w:ascii="宋体" w:hAnsi="宋体" w:cs="Times New Roman"/>
          <w:sz w:val="21"/>
          <w:szCs w:val="21"/>
        </w:rPr>
        <w:t>标准</w:t>
      </w:r>
    </w:p>
    <w:p>
      <w:pPr>
        <w:pStyle w:val="Normal"/>
        <w:ind w:left="420" w:firstLine="420"/>
        <w:rPr>
          <w:rFonts w:ascii="宋体" w:hAnsi="宋体" w:cs="Times New Roman"/>
          <w:sz w:val="21"/>
          <w:szCs w:val="21"/>
        </w:rPr>
      </w:pPr>
      <w:r>
        <w:rPr>
          <w:rFonts w:cs="Times New Roman" w:ascii="宋体" w:hAnsi="宋体"/>
          <w:sz w:val="21"/>
          <w:szCs w:val="21"/>
        </w:rPr>
        <w:t>2</w:t>
      </w:r>
      <w:r>
        <w:rPr>
          <w:rFonts w:ascii="宋体" w:hAnsi="宋体" w:cs="Times New Roman"/>
          <w:sz w:val="21"/>
          <w:szCs w:val="21"/>
        </w:rPr>
        <w:t>）《需求规格说明文档》</w:t>
      </w:r>
    </w:p>
    <w:p>
      <w:pPr>
        <w:pStyle w:val="Normal"/>
        <w:ind w:firstLine="420"/>
        <w:rPr>
          <w:rFonts w:ascii="宋体" w:hAnsi="宋体" w:cs="Times New Roman" w:asciiTheme="minorEastAsia" w:hAnsiTheme="minorEastAsia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ab/>
        <w:t>3</w:t>
      </w:r>
      <w:r>
        <w:rPr>
          <w:rFonts w:ascii="Times New Roman" w:hAnsi="Times New Roman" w:cs="Times New Roman"/>
          <w:sz w:val="21"/>
          <w:szCs w:val="21"/>
        </w:rPr>
        <w:t>）《软件工程与计算（卷三）》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二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产品概述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参考</w:t>
      </w:r>
      <w:r>
        <w:rPr>
          <w:sz w:val="21"/>
          <w:szCs w:val="21"/>
        </w:rPr>
        <w:t>AnyQuant</w:t>
      </w:r>
      <w:r>
        <w:rPr>
          <w:sz w:val="21"/>
          <w:szCs w:val="21"/>
        </w:rPr>
        <w:t>需求规格说明文档对产品的概括描述。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ind w:hanging="0"/>
        <w:rPr/>
      </w:pPr>
      <w:r>
        <w:rPr>
          <w:b/>
          <w:sz w:val="44"/>
          <w:szCs w:val="44"/>
        </w:rPr>
        <w:t>三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架构风格</w:t>
      </w:r>
    </w:p>
    <w:p>
      <w:pPr>
        <w:pStyle w:val="ListParagraph"/>
        <w:ind w:left="420"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AnyQuant</w:t>
      </w:r>
      <w:r>
        <w:rPr>
          <w:rFonts w:ascii="宋体" w:hAnsi="宋体"/>
          <w:sz w:val="21"/>
          <w:szCs w:val="21"/>
        </w:rPr>
        <w:t>系统中，选择了分层体系结构风格，将系统分为</w:t>
      </w:r>
      <w:r>
        <w:rPr>
          <w:rFonts w:ascii="宋体" w:hAnsi="宋体"/>
          <w:sz w:val="21"/>
          <w:szCs w:val="21"/>
        </w:rPr>
        <w:t>3</w:t>
      </w:r>
      <w:r>
        <w:rPr>
          <w:rFonts w:ascii="宋体" w:hAnsi="宋体"/>
          <w:sz w:val="21"/>
          <w:szCs w:val="21"/>
        </w:rPr>
        <w:t>层（展示层、业务逻辑层、数据层）能够很好地示意整个高层抽象。展示层包含</w:t>
      </w:r>
      <w:r>
        <w:rPr>
          <w:rFonts w:ascii="宋体" w:hAnsi="宋体"/>
          <w:sz w:val="21"/>
          <w:szCs w:val="21"/>
        </w:rPr>
        <w:t>GUI</w:t>
      </w:r>
      <w:r>
        <w:rPr>
          <w:rFonts w:ascii="宋体" w:hAnsi="宋体"/>
          <w:sz w:val="21"/>
          <w:szCs w:val="21"/>
        </w:rPr>
        <w:t>页面的实现，业务逻辑层包含业务逻辑处理的实现，数据层负责数据的持久化和访问。分层体系结构的逻辑视角和逻辑设计方案如下图所示（即其架构风格）。</w:t>
      </w:r>
    </w:p>
    <w:p>
      <w:pPr>
        <w:pStyle w:val="ListParagraph"/>
        <w:ind w:left="420" w:firstLine="420"/>
        <w:rPr>
          <w:rFonts w:ascii="宋体" w:hAnsi="宋体"/>
          <w:b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drawing>
          <wp:anchor behindDoc="0" distT="0" distB="8890" distL="114300" distR="12319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2734310" cy="2810510"/>
            <wp:effectExtent l="0" t="0" r="0" b="0"/>
            <wp:wrapSquare wrapText="bothSides"/>
            <wp:docPr id="2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>
          <w:rFonts w:cs="宋体" w:ascii="宋体" w:hAnsi="宋体"/>
          <w:b/>
          <w:sz w:val="32"/>
          <w:szCs w:val="32"/>
        </w:rPr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cs="宋体" w:ascii="宋体" w:hAnsi="宋体"/>
          <w:b/>
          <w:sz w:val="32"/>
          <w:szCs w:val="32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宋体" w:ascii="宋体" w:hAnsi="宋体"/>
          <w:b w:val="false"/>
          <w:bCs w:val="false"/>
          <w:sz w:val="32"/>
          <w:szCs w:val="32"/>
        </w:rPr>
        <w:tab/>
        <w:tab/>
      </w:r>
      <w:r>
        <w:rPr>
          <w:rFonts w:ascii="宋体" w:hAnsi="宋体" w:cs="宋体"/>
          <w:b w:val="false"/>
          <w:bCs w:val="false"/>
          <w:sz w:val="18"/>
          <w:szCs w:val="21"/>
        </w:rPr>
        <w:t>具体的详细设计图如下：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754495" cy="4802505"/>
            <wp:effectExtent l="0" t="0" r="0" b="0"/>
            <wp:wrapSquare wrapText="largest"/>
            <wp:docPr id="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b/>
          <w:sz w:val="21"/>
          <w:szCs w:val="21"/>
        </w:rPr>
        <w:tab/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宋体" w:hAnsi="宋体" w:cs="宋体"/>
          <w:b/>
          <w:b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宋体" w:hAnsi="宋体" w:cs="宋体"/>
          <w:b/>
          <w:sz w:val="32"/>
          <w:szCs w:val="32"/>
        </w:rPr>
        <w:t>四．系统设计描述主体</w:t>
      </w:r>
    </w:p>
    <w:p>
      <w:pPr>
        <w:pStyle w:val="2"/>
        <w:rPr/>
      </w:pPr>
      <w:bookmarkStart w:id="1" w:name="__RefHeading___Toc1214_1349765768"/>
      <w:bookmarkEnd w:id="1"/>
      <w:r>
        <w:rPr/>
        <w:t>1</w:t>
      </w:r>
      <w:r>
        <w:rPr/>
        <w:t>、逻辑层部分：</w:t>
      </w:r>
    </w:p>
    <w:p>
      <w:pPr>
        <w:pStyle w:val="Normal"/>
        <w:rPr/>
      </w:pPr>
      <w:r>
        <w:rPr>
          <w:rFonts w:cs="宋体" w:ascii="宋体" w:hAnsi="宋体"/>
          <w:b w:val="false"/>
          <w:bCs w:val="false"/>
          <w:sz w:val="24"/>
          <w:szCs w:val="24"/>
        </w:rPr>
        <w:tab/>
        <w:t>1</w:t>
      </w:r>
      <w:r>
        <w:rPr>
          <w:rFonts w:ascii="宋体" w:hAnsi="宋体" w:cs="宋体"/>
          <w:b w:val="false"/>
          <w:bCs w:val="false"/>
          <w:sz w:val="21"/>
          <w:szCs w:val="24"/>
        </w:rPr>
        <w:t>、</w:t>
      </w:r>
      <w:r>
        <w:rPr>
          <w:rFonts w:cs="宋体" w:ascii="宋体" w:hAnsi="宋体"/>
          <w:b w:val="false"/>
          <w:bCs w:val="false"/>
          <w:sz w:val="24"/>
          <w:szCs w:val="24"/>
        </w:rPr>
        <w:t>benchMarkBLService</w:t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69"/>
        <w:gridCol w:w="1125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getAllBanchMark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List&lt;BenchMark&gt;  getAllBanchMark()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无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 xml:space="preserve">返回大盘信息列表  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getBenchMarkInfo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List&lt;BenchMark&gt; getBenchMarkInfo(String name, Calendar year)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传入指定的大盘名称、年份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返回信息列表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ind w:firstLine="40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7" w:type="dxa"/>
            <w:gridSpan w:val="2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</w:t>
            </w:r>
            <w:r>
              <w:rPr>
                <w:rFonts w:eastAsia="宋体" w:cs="Times New Roman" w:ascii="Calibri" w:hAnsi="Calibri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getAllBenchMark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获得所有大盘名称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benchMarkDATAService.getBenchMarkAtDate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获得指定日期、名称的大盘数据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spacing w:lineRule="auto" w:line="276" w:before="0" w:after="140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benchMarkDATAService.getBenchMarkAmongDate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获得日期区间内的大盘数据</w:t>
            </w:r>
          </w:p>
        </w:tc>
      </w:tr>
    </w:tbl>
    <w:p>
      <w:pPr>
        <w:pStyle w:val="Normal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ab/>
        <w:t>2</w:t>
      </w:r>
      <w:r>
        <w:rPr>
          <w:rFonts w:ascii="宋体" w:hAnsi="宋体" w:cs="宋体"/>
          <w:b w:val="false"/>
          <w:bCs w:val="false"/>
          <w:sz w:val="21"/>
          <w:szCs w:val="24"/>
        </w:rPr>
        <w:t>、</w:t>
      </w:r>
      <w:r>
        <w:rPr>
          <w:rFonts w:cs="宋体" w:ascii="宋体" w:hAnsi="宋体"/>
          <w:b w:val="false"/>
          <w:bCs w:val="false"/>
          <w:sz w:val="24"/>
          <w:szCs w:val="24"/>
        </w:rPr>
        <w:t>favoriteBLService</w:t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69"/>
        <w:gridCol w:w="1125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getMyFavor()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  getMyFavor()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无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返回喜爱的股票列表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favorStock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OperationResult favorStock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String name</w:t>
            </w:r>
            <w:r>
              <w:rPr>
                <w:rFonts w:ascii="微软雅黑" w:hAnsi="微软雅黑" w:eastAsia="微软雅黑"/>
              </w:rPr>
              <w:t>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传入关注的股票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返回操作结果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unFavorStock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OperationResultunFavorStock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String name</w:t>
            </w:r>
            <w:r>
              <w:rPr>
                <w:rFonts w:ascii="微软雅黑" w:hAnsi="微软雅黑" w:eastAsia="微软雅黑"/>
              </w:rPr>
              <w:t>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取消关注的股票名称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返回操作结果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ind w:firstLine="40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7" w:type="dxa"/>
            <w:gridSpan w:val="2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singleStockDATAService.getStockAtDate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获得指定日期的喜爱股票信息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stockListBLService</w:t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69"/>
        <w:gridCol w:w="1125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getAllStocks()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  getAllStocks()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无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返回所有股票的列表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ind w:firstLine="40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7" w:type="dxa"/>
            <w:gridSpan w:val="2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stockListDATAService</w:t>
            </w:r>
            <w:r>
              <w:rPr>
                <w:rFonts w:eastAsia="宋体" w:cs="Times New Roman" w:ascii="Calibri" w:hAnsi="Calibri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getAllStocks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获得所有股票名称列表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singleStockDATAService.getStockAtDate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获得指定日期的喜爱股票信息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4</w:t>
      </w:r>
      <w:r>
        <w:rPr>
          <w:sz w:val="24"/>
          <w:szCs w:val="24"/>
        </w:rPr>
        <w:t>、</w:t>
      </w:r>
      <w:r>
        <w:rPr>
          <w:sz w:val="24"/>
          <w:szCs w:val="24"/>
        </w:rPr>
        <w:t>listFilterBLService</w:t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69"/>
        <w:gridCol w:w="1125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OrderStocks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  OrderStocks(List&lt;Stock&gt; srcStocks,String columnName, boolean orderType)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源数据、比较对象，排序类型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返回排序后股票的列表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filterStrocksByFieldAmong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   filterStrocksByFieldAmong(List&lt;Stock&gt; srcStocks ,String columnName, double min,double max)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源数据、比较对象，最大、最小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filterStrocksByFieldGreater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 xml:space="preserve">List&lt;Stock&gt;   filterStrocksByFieldGreater 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List&lt;Stock&gt; srcStocks ,String columnName, double min)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源数据、比较对象、最小值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filterStrocksByFieldLess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   filterStrocksByFieldLess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List&lt;Stock&gt; srcStocks ,String columnName, double max)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源数据、比较对象，最大值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filterStrocksByFieldEqual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   filterStrocksByFieldEqual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List&lt;Stock&gt; srcStocks ,String columnName, double target)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源数据、比较对象，目标值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filterAllStrocksByDateAmong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 xml:space="preserve">List&lt;Stock&gt;   filterAllStrocksByDateAmong ( List&lt;Stock&gt; srcStocks ,String columnName, </w:t>
            </w:r>
            <w:bookmarkStart w:id="2" w:name="__DdeLink__18018_291727640"/>
            <w:r>
              <w:rPr>
                <w:rFonts w:eastAsia="微软雅黑" w:ascii="微软雅黑" w:hAnsi="微软雅黑"/>
              </w:rPr>
              <w:t>Calender</w:t>
            </w:r>
            <w:bookmarkEnd w:id="2"/>
            <w:r>
              <w:rPr>
                <w:rFonts w:eastAsia="微软雅黑" w:ascii="微软雅黑" w:hAnsi="微软雅黑"/>
              </w:rPr>
              <w:t xml:space="preserve"> min, Calender max)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源数据、日期区间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filterAllStrocksByDateGreater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 xml:space="preserve">List&lt;Stock&gt;   filterAllStrocksByDateGreater ( List&lt;Stock&gt; srcStocks ,String columnName, </w:t>
            </w:r>
            <w:bookmarkStart w:id="3" w:name="__DdeLink__18018_2917276401"/>
            <w:r>
              <w:rPr>
                <w:rFonts w:eastAsia="微软雅黑" w:ascii="微软雅黑" w:hAnsi="微软雅黑"/>
              </w:rPr>
              <w:t>Calender</w:t>
            </w:r>
            <w:bookmarkEnd w:id="3"/>
            <w:r>
              <w:rPr>
                <w:rFonts w:eastAsia="微软雅黑" w:ascii="微软雅黑" w:hAnsi="微软雅黑"/>
              </w:rPr>
              <w:t xml:space="preserve"> min)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源数据、最早日期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1406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filterAllStrocksByDateLess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   filterAllStrocksByDateLess ( List&lt;Stock&gt; srcStocks ,String columnName, Calender max)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源数据、最晚日期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filterAllStrocksByDateEqual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 xml:space="preserve">List&lt;Stock&gt;   filterAllStrocksByDateEqual ( List&lt;Stock&gt; srcStocks ,String columnName, </w:t>
            </w:r>
            <w:bookmarkStart w:id="4" w:name="__DdeLink__18018_2917276403"/>
            <w:r>
              <w:rPr>
                <w:rFonts w:eastAsia="微软雅黑" w:ascii="微软雅黑" w:hAnsi="微软雅黑"/>
              </w:rPr>
              <w:t>Calender</w:t>
            </w:r>
            <w:bookmarkEnd w:id="4"/>
            <w:r>
              <w:rPr>
                <w:rFonts w:eastAsia="微软雅黑" w:ascii="微软雅黑" w:hAnsi="微软雅黑"/>
              </w:rPr>
              <w:t xml:space="preserve"> target)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源数据、目标日期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过滤后的股票列表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5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singleStockInfoBLService</w:t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69"/>
        <w:gridCol w:w="1125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ind w:left="1260" w:hanging="126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getSingleStockInfo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ind w:left="1260" w:hanging="12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Stock getSingleStockInfo</w:t>
            </w:r>
            <w:r>
              <w:rPr>
                <w:rFonts w:ascii="微软雅黑" w:hAnsi="微软雅黑" w:eastAsia="微软雅黑"/>
              </w:rPr>
              <w:t>（</w:t>
            </w:r>
            <w:r>
              <w:rPr>
                <w:rFonts w:eastAsia="微软雅黑" w:ascii="微软雅黑" w:hAnsi="微软雅黑"/>
              </w:rPr>
              <w:t>String name</w:t>
            </w:r>
            <w:r>
              <w:rPr>
                <w:rFonts w:ascii="微软雅黑" w:hAnsi="微软雅黑" w:eastAsia="微软雅黑"/>
              </w:rPr>
              <w:t>）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股票名称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返回股票的信息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ind w:firstLine="40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7" w:type="dxa"/>
            <w:gridSpan w:val="2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spacing w:lineRule="auto" w:line="276" w:before="0" w:after="14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singleStockDATAService.getStockAmongDate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获得日期内的股票信息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6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singleStockDealBLService</w:t>
      </w:r>
    </w:p>
    <w:tbl>
      <w:tblPr>
        <w:tblStyle w:val="5-513"/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69"/>
        <w:gridCol w:w="1125"/>
        <w:gridCol w:w="420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restart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ind w:left="1260" w:hanging="126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  <w:t>getSingleStockDeal</w:t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ind w:left="1260" w:hanging="12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eastAsia="微软雅黑" w:ascii="微软雅黑" w:hAnsi="微软雅黑"/>
              </w:rPr>
              <w:t>List&lt;Stock&gt;getSingleStockDeal(Stringname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eastAsia="微软雅黑" w:ascii="微软雅黑" w:hAnsi="微软雅黑"/>
              </w:rPr>
              <w:t>Calendar year)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ind w:left="1260" w:hanging="12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传入该支股票的名称、年份</w:t>
            </w:r>
          </w:p>
        </w:tc>
      </w:tr>
      <w:tr>
        <w:trPr>
          <w:trHeight w:val="554" w:hRule="atLeast"/>
        </w:trPr>
        <w:tc>
          <w:tcPr>
            <w:tcW w:w="2969" w:type="dxa"/>
            <w:vMerge w:val="continue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rPr>
                <w:rFonts w:ascii="微软雅黑" w:hAnsi="微软雅黑" w:eastAsia="微软雅黑"/>
                <w:b/>
                <w:b/>
                <w:bCs/>
                <w:color w:val="FFFFFF" w:themeColor="background1"/>
              </w:rPr>
            </w:pPr>
            <w:r>
              <w:rPr>
                <w:rFonts w:eastAsia="微软雅黑" w:ascii="微软雅黑" w:hAnsi="微软雅黑"/>
                <w:b/>
                <w:bCs/>
                <w:color w:val="FFFFFF" w:themeColor="background1"/>
              </w:rPr>
            </w:r>
          </w:p>
        </w:tc>
        <w:tc>
          <w:tcPr>
            <w:tcW w:w="1125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ind w:left="1260" w:hanging="12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返回单支股票的交易信息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96" w:type="dxa"/>
            <w:gridSpan w:val="3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ind w:firstLine="40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 w:val="20"/>
              </w:rPr>
              <w:t>需要的服务（需接口）</w:t>
            </w:r>
          </w:p>
        </w:tc>
      </w:tr>
      <w:tr>
        <w:trPr/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微软雅黑" w:hAnsi="微软雅黑" w:eastAsia="微软雅黑"/>
                <w:b/>
                <w:bCs/>
                <w:color w:val="FFFFFF" w:themeColor="background1"/>
                <w:szCs w:val="21"/>
              </w:rPr>
              <w:t>服务名</w:t>
            </w:r>
          </w:p>
        </w:tc>
        <w:tc>
          <w:tcPr>
            <w:tcW w:w="5327" w:type="dxa"/>
            <w:gridSpan w:val="2"/>
            <w:tcBorders/>
            <w:shd w:color="auto" w:fill="D9E2F3" w:themeFill="accent5" w:themeFillTint="33" w:val="clear"/>
            <w:vAlign w:val="center"/>
          </w:tcPr>
          <w:p>
            <w:pPr>
              <w:pStyle w:val="Normal"/>
              <w:spacing w:lineRule="auto" w:line="276" w:before="0" w:after="1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微软雅黑" w:hAnsi="微软雅黑" w:eastAsia="微软雅黑"/>
              </w:rPr>
              <w:t>服务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472C4" w:themeFill="accent5" w:val="clear"/>
            <w:vAlign w:val="center"/>
          </w:tcPr>
          <w:p>
            <w:pPr>
              <w:pStyle w:val="Normal"/>
              <w:widowControl/>
              <w:spacing w:lineRule="auto" w:line="276" w:before="0" w:after="140"/>
              <w:jc w:val="left"/>
              <w:rPr>
                <w:rFonts w:ascii="微软雅黑" w:hAnsi="微软雅黑" w:eastAsia="微软雅黑"/>
              </w:rPr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singleStockDATAService.getStockAmongDate</w:t>
            </w:r>
          </w:p>
        </w:tc>
        <w:tc>
          <w:tcPr>
            <w:tcW w:w="5327" w:type="dxa"/>
            <w:gridSpan w:val="2"/>
            <w:tcBorders/>
            <w:shd w:color="auto" w:fill="B4C6E7" w:themeFill="accent5" w:themeFillTint="66" w:val="clear"/>
            <w:vAlign w:val="center"/>
          </w:tcPr>
          <w:p>
            <w:pPr>
              <w:pStyle w:val="Normal"/>
              <w:spacing w:lineRule="auto" w:line="276" w:before="0" w:after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获得日期内的股票信息</w:t>
            </w:r>
          </w:p>
        </w:tc>
      </w:tr>
    </w:tbl>
    <w:p>
      <w:pPr>
        <w:pStyle w:val="Normal"/>
        <w:rPr>
          <w:rFonts w:ascii="宋体" w:hAnsi="宋体" w:cs="宋体"/>
        </w:rPr>
      </w:pPr>
      <w:r>
        <w:rPr>
          <w:b w:val="false"/>
          <w:bCs w:val="false"/>
          <w:sz w:val="24"/>
          <w:szCs w:val="24"/>
        </w:rPr>
      </w:r>
    </w:p>
    <w:p>
      <w:pPr>
        <w:pStyle w:val="2"/>
        <w:rPr/>
      </w:pPr>
      <w:bookmarkStart w:id="5" w:name="__RefHeading___Toc1216_1349765768"/>
      <w:bookmarkEnd w:id="5"/>
      <w:r>
        <w:rPr/>
        <w:t>2</w:t>
      </w:r>
      <w:r>
        <w:rPr/>
        <w:t>、数据层部分：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benchMarkDATAService</w:t>
      </w:r>
    </w:p>
    <w:tbl>
      <w:tblPr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55"/>
        <w:gridCol w:w="944"/>
        <w:gridCol w:w="3297"/>
      </w:tblGrid>
      <w:tr>
        <w:trPr/>
        <w:tc>
          <w:tcPr>
            <w:tcW w:w="8296" w:type="dxa"/>
            <w:gridSpan w:val="3"/>
            <w:tcBorders/>
            <w:shd w:color="auto" w:fill="4BACC6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</w:trPr>
        <w:tc>
          <w:tcPr>
            <w:tcW w:w="4055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</w:t>
            </w:r>
            <w:r>
              <w:rPr>
                <w:rFonts w:eastAsia="宋体" w:cs="Times New Roman" w:ascii="Calibri" w:hAnsi="Calibri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getAllBenchMark</w:t>
            </w:r>
          </w:p>
        </w:tc>
        <w:tc>
          <w:tcPr>
            <w:tcW w:w="944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list&lt;BenchMark&gt; getAllBenchMark()</w:t>
            </w:r>
          </w:p>
        </w:tc>
      </w:tr>
      <w:tr>
        <w:trPr>
          <w:trHeight w:val="98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无</w:t>
            </w:r>
          </w:p>
        </w:tc>
      </w:tr>
      <w:tr>
        <w:trPr>
          <w:trHeight w:val="98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返回日期的大盘列表</w:t>
            </w:r>
          </w:p>
        </w:tc>
      </w:tr>
      <w:tr>
        <w:trPr>
          <w:trHeight w:val="98" w:hRule="atLeast"/>
        </w:trPr>
        <w:tc>
          <w:tcPr>
            <w:tcW w:w="4055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benchMarkDATAService.getBenchMarkAtDate</w:t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sz w:val="20"/>
                <w:szCs w:val="20"/>
              </w:rPr>
              <w:t>BenchMark getOperation(String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date)</w:t>
            </w:r>
          </w:p>
        </w:tc>
      </w:tr>
      <w:tr>
        <w:trPr>
          <w:trHeight w:val="471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传入大盘名称、指定日期</w:t>
            </w:r>
          </w:p>
        </w:tc>
      </w:tr>
      <w:tr>
        <w:trPr>
          <w:trHeight w:val="257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返回该大盘指定日期的数据</w:t>
            </w:r>
          </w:p>
        </w:tc>
      </w:tr>
      <w:tr>
        <w:trPr>
          <w:trHeight w:val="257" w:hRule="atLeast"/>
        </w:trPr>
        <w:tc>
          <w:tcPr>
            <w:tcW w:w="4055" w:type="dxa"/>
            <w:vMerge w:val="restart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lineRule="auto" w:line="276" w:before="0" w:after="140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benchMarkDATAService.getBenchMarkAmongDate</w:t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list&lt;BenchMark&gt; getBenchMarkAmongDate(String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start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end)</w:t>
            </w:r>
          </w:p>
        </w:tc>
      </w:tr>
      <w:tr>
        <w:trPr>
          <w:trHeight w:val="257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传入大盘名称、日期区间</w:t>
            </w:r>
          </w:p>
        </w:tc>
      </w:tr>
      <w:tr>
        <w:trPr>
          <w:trHeight w:val="257" w:hRule="atLeast"/>
        </w:trPr>
        <w:tc>
          <w:tcPr>
            <w:tcW w:w="4055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944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返回该大盘指定日期内的信息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stockListDATAService</w:t>
      </w:r>
    </w:p>
    <w:tbl>
      <w:tblPr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0"/>
        <w:gridCol w:w="1417"/>
        <w:gridCol w:w="3199"/>
      </w:tblGrid>
      <w:tr>
        <w:trPr/>
        <w:tc>
          <w:tcPr>
            <w:tcW w:w="8296" w:type="dxa"/>
            <w:gridSpan w:val="3"/>
            <w:tcBorders/>
            <w:shd w:color="auto" w:fill="4BACC6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stockListDATAService</w:t>
            </w:r>
            <w:r>
              <w:rPr>
                <w:rFonts w:eastAsia="宋体" w:cs="Times New Roman" w:ascii="Calibri" w:hAnsi="Calibri"/>
                <w:b/>
                <w:bCs/>
                <w:color w:val="FFFFFF"/>
                <w:sz w:val="18"/>
                <w:szCs w:val="18"/>
              </w:rPr>
              <w:t>.</w:t>
            </w: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getAllStocks</w:t>
            </w:r>
          </w:p>
        </w:tc>
        <w:tc>
          <w:tcPr>
            <w:tcW w:w="141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99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list&lt;String&gt; getAllStocks(Calendar date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， </w:t>
            </w:r>
            <w:r>
              <w:rPr>
                <w:rFonts w:cs="Consolas" w:ascii="Consolas" w:hAnsi="Consolas"/>
                <w:sz w:val="20"/>
                <w:szCs w:val="20"/>
              </w:rPr>
              <w:t>Exchange exchange)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99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传入指定年份、指定交易所的信息</w:t>
            </w:r>
          </w:p>
        </w:tc>
      </w:tr>
      <w:tr>
        <w:trPr>
          <w:trHeight w:val="98" w:hRule="atLeast"/>
        </w:trPr>
        <w:tc>
          <w:tcPr>
            <w:tcW w:w="3680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41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99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返回股票名称</w:t>
            </w:r>
            <w:bookmarkStart w:id="6" w:name="_GoBack1"/>
            <w:bookmarkEnd w:id="6"/>
            <w:r>
              <w:rPr>
                <w:rFonts w:ascii="Calibri" w:hAnsi="Calibri" w:cs="Times New Roman"/>
                <w:sz w:val="18"/>
                <w:szCs w:val="18"/>
              </w:rPr>
              <w:t>列表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singleStockDATAService</w:t>
      </w:r>
    </w:p>
    <w:tbl>
      <w:tblPr>
        <w:tblW w:w="829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74"/>
        <w:gridCol w:w="1327"/>
        <w:gridCol w:w="3295"/>
      </w:tblGrid>
      <w:tr>
        <w:trPr/>
        <w:tc>
          <w:tcPr>
            <w:tcW w:w="8296" w:type="dxa"/>
            <w:gridSpan w:val="3"/>
            <w:tcBorders/>
            <w:shd w:color="auto" w:fill="4BACC6" w:themeFill="accent5" w:val="clear"/>
          </w:tcPr>
          <w:p>
            <w:pPr>
              <w:pStyle w:val="Normal"/>
              <w:spacing w:lineRule="auto" w:line="276" w:before="0" w:after="140"/>
              <w:jc w:val="center"/>
              <w:rPr/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>
        <w:trPr>
          <w:trHeight w:val="98" w:hRule="atLeast"/>
        </w:trPr>
        <w:tc>
          <w:tcPr>
            <w:tcW w:w="3674" w:type="dxa"/>
            <w:vMerge w:val="restart"/>
            <w:tcBorders/>
            <w:shd w:color="auto" w:fill="4BACC6" w:themeFill="accent5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/>
                <w:sz w:val="18"/>
                <w:szCs w:val="18"/>
              </w:rPr>
              <w:t>singleStockDATAService.getStockAtDate</w:t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b/>
                <w:bCs/>
                <w:sz w:val="20"/>
                <w:szCs w:val="20"/>
              </w:rPr>
              <w:t xml:space="preserve"> Stock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getOperation(String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date)</w:t>
            </w:r>
          </w:p>
        </w:tc>
      </w:tr>
      <w:tr>
        <w:trPr>
          <w:trHeight w:val="471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5" w:type="dxa"/>
            <w:tcBorders/>
            <w:shd w:color="auto" w:fill="B6DDE8" w:themeFill="accent5" w:themeFillTint="66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传入股票名称、指定日期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返回该股票指定日期的数据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restart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lineRule="auto" w:line="276" w:before="0" w:after="140"/>
              <w:rPr/>
            </w:pPr>
            <w:r>
              <w:rPr>
                <w:rFonts w:eastAsia="宋体" w:cs="Times New Roman" w:ascii="Calibri" w:hAnsi="Calibri" w:asciiTheme="majorHAnsi" w:hAnsiTheme="majorHAnsi"/>
                <w:b/>
                <w:bCs/>
                <w:color w:val="FFFFFF" w:themeColor="background1"/>
                <w:sz w:val="18"/>
                <w:szCs w:val="18"/>
              </w:rPr>
              <w:t>singleStockDATAService.getStockAmongDate</w:t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cs="Consolas" w:ascii="Consolas" w:hAnsi="Consolas"/>
                <w:sz w:val="20"/>
                <w:szCs w:val="20"/>
              </w:rPr>
              <w:t>public list&lt;Stock&gt; getStockAmongDate(String name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start</w:t>
            </w:r>
            <w:r>
              <w:rPr>
                <w:rFonts w:ascii="Consolas" w:hAnsi="Consolas" w:cs="Consolas"/>
                <w:sz w:val="20"/>
                <w:szCs w:val="20"/>
              </w:rPr>
              <w:t>，</w:t>
            </w:r>
            <w:r>
              <w:rPr>
                <w:rFonts w:cs="Consolas" w:ascii="Consolas" w:hAnsi="Consolas"/>
                <w:sz w:val="20"/>
                <w:szCs w:val="20"/>
              </w:rPr>
              <w:t>Calendar end)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传入股票名称、日期区间</w:t>
            </w:r>
          </w:p>
        </w:tc>
      </w:tr>
      <w:tr>
        <w:trPr>
          <w:trHeight w:val="257" w:hRule="atLeast"/>
        </w:trPr>
        <w:tc>
          <w:tcPr>
            <w:tcW w:w="3674" w:type="dxa"/>
            <w:vMerge w:val="continue"/>
            <w:tcBorders/>
            <w:shd w:color="auto" w:fill="4BACC6" w:themeFill="accent5" w:val="clear"/>
            <w:vAlign w:val="center"/>
          </w:tcPr>
          <w:p>
            <w:pPr>
              <w:pStyle w:val="Normal"/>
              <w:widowControl/>
              <w:spacing w:before="0" w:after="140"/>
              <w:rPr>
                <w:rFonts w:ascii="Calibri" w:hAnsi="Calibri" w:eastAsia="宋体" w:cs="Times New Roman"/>
                <w:b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eastAsia="宋体" w:cs="Times New Roman" w:ascii="Calibri" w:hAnsi="Calibri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tcW w:w="1327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5" w:type="dxa"/>
            <w:tcBorders/>
            <w:shd w:color="auto" w:fill="DAEEF3" w:themeFill="accent5" w:themeFillTint="33" w:val="clear"/>
          </w:tcPr>
          <w:p>
            <w:pPr>
              <w:pStyle w:val="Normal"/>
              <w:spacing w:lineRule="auto" w:line="276" w:before="0" w:after="140"/>
              <w:rPr/>
            </w:pPr>
            <w:r>
              <w:rPr>
                <w:rFonts w:ascii="Calibri" w:hAnsi="Calibri" w:cs="Times New Roman"/>
                <w:sz w:val="18"/>
                <w:szCs w:val="18"/>
              </w:rPr>
              <w:t>返回该股票指定日期内的信息</w:t>
            </w:r>
          </w:p>
        </w:tc>
      </w:tr>
    </w:tbl>
    <w:p>
      <w:pPr>
        <w:pStyle w:val="2"/>
        <w:rPr/>
      </w:pPr>
      <w:r>
        <w:rPr/>
        <w:t>3</w:t>
      </w:r>
      <w:r>
        <w:rPr/>
        <w:t>、自定义数据结构：</w:t>
      </w:r>
    </w:p>
    <w:p>
      <w:pPr>
        <w:pStyle w:val="Normal"/>
        <w:pageBreakBefore w:val="false"/>
        <w:rPr/>
      </w:pPr>
      <w:r>
        <w:rPr/>
        <w:t>AbstractStock:</w:t>
        <w:tab/>
        <w:tab/>
        <w:t>String name</w:t>
      </w:r>
    </w:p>
    <w:p>
      <w:pPr>
        <w:pStyle w:val="Normal"/>
        <w:rPr/>
      </w:pPr>
      <w:r>
        <w:rPr/>
        <w:tab/>
        <w:tab/>
        <w:tab/>
        <w:tab/>
        <w:t xml:space="preserve">boolean isFavor     </w:t>
      </w:r>
      <w:r>
        <w:rPr/>
        <w:t>是否被关注</w:t>
      </w:r>
    </w:p>
    <w:p>
      <w:pPr>
        <w:pStyle w:val="Normal"/>
        <w:rPr/>
      </w:pPr>
      <w:r>
        <w:rPr/>
        <w:tab/>
        <w:tab/>
        <w:tab/>
        <w:tab/>
        <w:t xml:space="preserve">Calender   date       </w:t>
      </w:r>
      <w:r>
        <w:rPr/>
        <w:t>数据日期</w:t>
      </w:r>
    </w:p>
    <w:p>
      <w:pPr>
        <w:pStyle w:val="Normal"/>
        <w:rPr/>
      </w:pPr>
      <w:r>
        <w:rPr/>
        <w:tab/>
        <w:tab/>
        <w:tab/>
        <w:tab/>
        <w:t xml:space="preserve">double open </w:t>
        <w:tab/>
        <w:tab/>
      </w:r>
      <w:r>
        <w:rPr/>
        <w:t>开盘价</w:t>
      </w:r>
    </w:p>
    <w:p>
      <w:pPr>
        <w:pStyle w:val="Normal"/>
        <w:rPr/>
      </w:pPr>
      <w:r>
        <w:rPr/>
        <w:tab/>
        <w:tab/>
        <w:tab/>
        <w:tab/>
        <w:t xml:space="preserve">double high </w:t>
        <w:tab/>
        <w:tab/>
      </w:r>
      <w:r>
        <w:rPr/>
        <w:t>最高价</w:t>
      </w:r>
    </w:p>
    <w:p>
      <w:pPr>
        <w:pStyle w:val="Normal"/>
        <w:rPr/>
      </w:pPr>
      <w:r>
        <w:rPr/>
        <w:tab/>
        <w:tab/>
        <w:tab/>
        <w:tab/>
        <w:t>double low</w:t>
        <w:tab/>
        <w:tab/>
      </w:r>
      <w:r>
        <w:rPr/>
        <w:t>最低价</w:t>
      </w:r>
    </w:p>
    <w:p>
      <w:pPr>
        <w:pStyle w:val="Normal"/>
        <w:rPr/>
      </w:pPr>
      <w:r>
        <w:rPr/>
        <w:tab/>
        <w:tab/>
        <w:tab/>
        <w:tab/>
        <w:t>double close</w:t>
        <w:tab/>
        <w:tab/>
      </w:r>
      <w:r>
        <w:rPr/>
        <w:t>收盘价</w:t>
      </w:r>
    </w:p>
    <w:p>
      <w:pPr>
        <w:pStyle w:val="Normal"/>
        <w:rPr/>
      </w:pPr>
      <w:r>
        <w:rPr/>
        <w:tab/>
        <w:tab/>
        <w:tab/>
        <w:tab/>
        <w:t>int</w:t>
        <w:tab/>
        <w:t>volume</w:t>
        <w:tab/>
        <w:tab/>
      </w:r>
      <w:r>
        <w:rPr/>
        <w:t>成交量</w:t>
      </w:r>
    </w:p>
    <w:p>
      <w:pPr>
        <w:pStyle w:val="Normal"/>
        <w:rPr/>
      </w:pPr>
      <w:r>
        <w:rPr/>
        <w:tab/>
        <w:tab/>
        <w:tab/>
        <w:tab/>
        <w:t>double adj_price</w:t>
        <w:tab/>
      </w:r>
      <w:r>
        <w:rPr/>
        <w:t>后复权价</w:t>
      </w:r>
    </w:p>
    <w:p>
      <w:pPr>
        <w:pStyle w:val="Normal"/>
        <w:rPr/>
      </w:pPr>
      <w:r>
        <w:rPr/>
        <w:tab/>
        <w:tab/>
        <w:tab/>
        <w:tab/>
        <w:t>long marketvalue</w:t>
        <w:tab/>
      </w:r>
      <w:r>
        <w:rPr/>
        <w:t>市值</w:t>
      </w:r>
    </w:p>
    <w:p>
      <w:pPr>
        <w:pStyle w:val="Normal"/>
        <w:rPr/>
      </w:pPr>
      <w:r>
        <w:rPr/>
        <w:tab/>
        <w:tab/>
        <w:tab/>
        <w:tab/>
        <w:t>long flow</w:t>
        <w:tab/>
        <w:tab/>
        <w:tab/>
      </w:r>
      <w:r>
        <w:rPr/>
        <w:t>流通</w:t>
      </w:r>
    </w:p>
    <w:p>
      <w:pPr>
        <w:pStyle w:val="Normal"/>
        <w:rPr/>
      </w:pPr>
      <w:r>
        <w:rPr/>
        <w:t>Stock(</w:t>
      </w:r>
      <w:r>
        <w:rPr/>
        <w:t>股票</w:t>
      </w:r>
      <w:r>
        <w:rPr/>
        <w:t>):</w:t>
        <w:tab/>
        <w:tab/>
        <w:t>double turnover</w:t>
        <w:tab/>
        <w:tab/>
      </w:r>
      <w:r>
        <w:rPr/>
        <w:t>换手率</w:t>
      </w:r>
    </w:p>
    <w:p>
      <w:pPr>
        <w:pStyle w:val="Normal"/>
        <w:rPr/>
      </w:pPr>
      <w:r>
        <w:rPr/>
        <w:tab/>
        <w:tab/>
        <w:tab/>
        <w:tab/>
        <w:t>double pe</w:t>
        <w:tab/>
        <w:tab/>
        <w:tab/>
      </w:r>
      <w:r>
        <w:rPr/>
        <w:t>市盈率</w:t>
      </w:r>
    </w:p>
    <w:p>
      <w:pPr>
        <w:pStyle w:val="Normal"/>
        <w:rPr/>
      </w:pPr>
      <w:r>
        <w:rPr/>
        <w:tab/>
        <w:tab/>
        <w:tab/>
        <w:tab/>
        <w:t>double pb</w:t>
        <w:tab/>
        <w:tab/>
        <w:tab/>
      </w:r>
      <w:r>
        <w:rPr/>
        <w:t>市净率</w:t>
      </w:r>
    </w:p>
    <w:p>
      <w:pPr>
        <w:pStyle w:val="Normal"/>
        <w:rPr/>
      </w:pPr>
      <w:r>
        <w:rPr/>
        <w:t>Benchmark(</w:t>
      </w:r>
      <w:r>
        <w:rPr/>
        <w:t>大盘</w:t>
      </w:r>
      <w:r>
        <w:rPr/>
        <w:t>):</w:t>
        <w:tab/>
        <w:t>long  transaction</w:t>
        <w:tab/>
      </w:r>
      <w:r>
        <w:rPr/>
        <w:t>成交额</w:t>
      </w:r>
    </w:p>
    <w:p>
      <w:pPr>
        <w:pStyle w:val="Normal"/>
        <w:rPr/>
      </w:pPr>
      <w:r>
        <w:rPr/>
        <w:t>User(</w:t>
      </w:r>
      <w:r>
        <w:rPr/>
        <w:t>用户</w:t>
      </w:r>
      <w:r>
        <w:rPr/>
        <w:t>)</w:t>
      </w:r>
      <w:r>
        <w:rPr/>
        <w:t>：</w:t>
      </w:r>
      <w:r>
        <w:rPr/>
        <w:tab/>
        <w:tab/>
        <w:t>String username</w:t>
        <w:tab/>
        <w:tab/>
        <w:tab/>
        <w:tab/>
      </w:r>
      <w:r>
        <w:rPr/>
        <w:t>用户名</w:t>
      </w:r>
    </w:p>
    <w:p>
      <w:pPr>
        <w:pStyle w:val="Normal"/>
        <w:rPr/>
      </w:pPr>
      <w:r>
        <w:rPr/>
        <w:tab/>
        <w:tab/>
        <w:tab/>
        <w:tab/>
        <w:t>String password</w:t>
        <w:tab/>
        <w:tab/>
        <w:tab/>
        <w:tab/>
        <w:tab/>
      </w:r>
      <w:r>
        <w:rPr/>
        <w:t>密码</w:t>
      </w:r>
    </w:p>
    <w:p>
      <w:pPr>
        <w:pStyle w:val="Normal"/>
        <w:rPr/>
      </w:pPr>
      <w:r>
        <w:rPr/>
        <w:tab/>
        <w:tab/>
        <w:tab/>
        <w:tab/>
        <w:t>List&lt;String&gt; preferredStocks</w:t>
        <w:tab/>
      </w:r>
      <w:r>
        <w:rPr/>
        <w:t>关注的股票</w:t>
      </w:r>
    </w:p>
    <w:p>
      <w:pPr>
        <w:pStyle w:val="2"/>
        <w:rPr/>
      </w:pPr>
      <w:bookmarkStart w:id="7" w:name="__RefHeading___Toc1220_1349765768"/>
      <w:bookmarkEnd w:id="7"/>
      <w:r>
        <w:rPr/>
        <w:t>4</w:t>
      </w:r>
      <w:r>
        <w:rPr/>
        <w:t>、文件格式：</w:t>
      </w:r>
    </w:p>
    <w:p>
      <w:pPr>
        <w:pStyle w:val="Style14"/>
        <w:spacing w:lineRule="auto" w:line="288" w:before="0" w:after="140"/>
        <w:rPr/>
      </w:pPr>
      <w:r>
        <w:rPr/>
        <w:tab/>
      </w:r>
      <w:r>
        <w:rPr/>
        <w:t>所有文件均以</w:t>
      </w:r>
      <w:r>
        <w:rPr/>
        <w:t>.</w:t>
      </w:r>
      <w:r>
        <w:rPr/>
        <w:t>chicer</w:t>
      </w:r>
      <w:r>
        <w:rPr/>
        <w:t>结尾</w:t>
      </w:r>
    </w:p>
    <w:sectPr>
      <w:footerReference w:type="default" r:id="rId5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49463679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Style23"/>
      <w:spacing w:before="0" w:after="14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Droid Sans Fallback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88" w:before="0" w:after="140"/>
      <w:jc w:val="left"/>
    </w:pPr>
    <w:rPr>
      <w:rFonts w:ascii="Liberation Serif" w:hAnsi="Liberation Serif" w:eastAsia="宋体" w:cs="Droid Sans Fallback"/>
      <w:color w:val="auto"/>
      <w:sz w:val="20"/>
      <w:szCs w:val="24"/>
      <w:lang w:val="en-US" w:eastAsia="zh-CN" w:bidi="hi-IN"/>
    </w:rPr>
  </w:style>
  <w:style w:type="paragraph" w:styleId="1">
    <w:name w:val="标题 1"/>
    <w:basedOn w:val="Style18"/>
    <w:pPr>
      <w:outlineLvl w:val="0"/>
    </w:pPr>
    <w:rPr>
      <w:b/>
      <w:bCs/>
      <w:sz w:val="36"/>
      <w:szCs w:val="36"/>
    </w:rPr>
  </w:style>
  <w:style w:type="paragraph" w:styleId="2">
    <w:name w:val="标题 2"/>
    <w:basedOn w:val="Style18"/>
    <w:pPr>
      <w:outlineLvl w:val="1"/>
    </w:pPr>
    <w:rPr/>
  </w:style>
  <w:style w:type="paragraph" w:styleId="3">
    <w:name w:val="标题 3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basedOn w:val="Normal"/>
    <w:pPr>
      <w:keepNext/>
      <w:keepLines/>
      <w:spacing w:lineRule="auto" w:line="374" w:before="280" w:after="290"/>
      <w:outlineLvl w:val="3"/>
    </w:pPr>
    <w:rPr>
      <w:rFonts w:ascii="Calibri Light" w:hAnsi="Calibri Light" w:eastAsia="黑体" w:cs="宋体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项目符号"/>
    <w:qFormat/>
    <w:rPr>
      <w:rFonts w:ascii="OpenSymbol" w:hAnsi="OpenSymbol" w:eastAsia="OpenSymbol" w:cs="OpenSymbol"/>
    </w:rPr>
  </w:style>
  <w:style w:type="character" w:styleId="Style11" w:customStyle="1">
    <w:name w:val="编号符号"/>
    <w:qFormat/>
    <w:rPr/>
  </w:style>
  <w:style w:type="character" w:styleId="Char" w:customStyle="1">
    <w:name w:val="页眉 Char"/>
    <w:basedOn w:val="DefaultParagraphFont"/>
    <w:link w:val="ad"/>
    <w:uiPriority w:val="99"/>
    <w:qFormat/>
    <w:rsid w:val="00e61208"/>
    <w:rPr>
      <w:rFonts w:cs="Mangal"/>
      <w:sz w:val="18"/>
      <w:szCs w:val="16"/>
    </w:rPr>
  </w:style>
  <w:style w:type="character" w:styleId="Char1" w:customStyle="1">
    <w:name w:val="页脚 Char"/>
    <w:basedOn w:val="DefaultParagraphFont"/>
    <w:link w:val="ae"/>
    <w:uiPriority w:val="99"/>
    <w:qFormat/>
    <w:rsid w:val="00e61208"/>
    <w:rPr>
      <w:rFonts w:cs="Mangal"/>
      <w:sz w:val="18"/>
      <w:szCs w:val="16"/>
    </w:rPr>
  </w:style>
  <w:style w:type="character" w:styleId="Internet">
    <w:name w:val="Internet 链接"/>
    <w:basedOn w:val="DefaultParagraphFont"/>
    <w:rsid w:val="00e61208"/>
    <w:rPr>
      <w:color w:val="0000FF"/>
      <w:u w:val="single"/>
    </w:rPr>
  </w:style>
  <w:style w:type="character" w:styleId="Style12">
    <w:name w:val="索引链接"/>
    <w:qFormat/>
    <w:rPr/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Normal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 w:customStyle="1">
    <w:name w:val="索引"/>
    <w:basedOn w:val="Normal"/>
    <w:qFormat/>
    <w:pPr>
      <w:suppressLineNumbers/>
    </w:pPr>
    <w:rPr/>
  </w:style>
  <w:style w:type="paragraph" w:styleId="Style18">
    <w:name w:val="大标题"/>
    <w:basedOn w:val="Normal"/>
    <w:qFormat/>
    <w:pPr>
      <w:keepNext/>
      <w:spacing w:before="240" w:after="120"/>
    </w:pPr>
    <w:rPr>
      <w:rFonts w:ascii="Liberation Sans" w:hAnsi="Liberation Sans" w:eastAsia="Droid Sans Fallback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Style19" w:customStyle="1">
    <w:name w:val="分标题"/>
    <w:basedOn w:val="Style18"/>
    <w:pPr>
      <w:spacing w:before="60" w:after="120"/>
      <w:jc w:val="center"/>
    </w:pPr>
    <w:rPr>
      <w:sz w:val="36"/>
      <w:szCs w:val="36"/>
    </w:rPr>
  </w:style>
  <w:style w:type="paragraph" w:styleId="Style20" w:customStyle="1">
    <w:name w:val="表格内容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paragraph" w:styleId="11" w:customStyle="1">
    <w:name w:val="列出段落1"/>
    <w:basedOn w:val="Normal"/>
    <w:qFormat/>
    <w:pPr>
      <w:ind w:firstLine="420"/>
    </w:pPr>
    <w:rPr/>
  </w:style>
  <w:style w:type="paragraph" w:styleId="Style21" w:customStyle="1">
    <w:name w:val="表格标题"/>
    <w:basedOn w:val="Style20"/>
    <w:qFormat/>
    <w:pPr/>
    <w:rPr/>
  </w:style>
  <w:style w:type="paragraph" w:styleId="Style22">
    <w:name w:val="页眉"/>
    <w:basedOn w:val="Normal"/>
    <w:link w:val="Char"/>
    <w:uiPriority w:val="99"/>
    <w:unhideWhenUsed/>
    <w:rsid w:val="00e6120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spacing w:lineRule="auto" w:line="240"/>
      <w:jc w:val="center"/>
    </w:pPr>
    <w:rPr>
      <w:rFonts w:cs="Mangal"/>
      <w:sz w:val="18"/>
      <w:szCs w:val="16"/>
    </w:rPr>
  </w:style>
  <w:style w:type="paragraph" w:styleId="Style23">
    <w:name w:val="页脚"/>
    <w:basedOn w:val="Normal"/>
    <w:link w:val="Char0"/>
    <w:uiPriority w:val="99"/>
    <w:unhideWhenUsed/>
    <w:rsid w:val="00e61208"/>
    <w:pPr>
      <w:tabs>
        <w:tab w:val="center" w:pos="4153" w:leader="none"/>
        <w:tab w:val="right" w:pos="8306" w:leader="none"/>
      </w:tabs>
      <w:snapToGrid w:val="false"/>
      <w:spacing w:lineRule="auto" w:line="240"/>
    </w:pPr>
    <w:rPr>
      <w:rFonts w:cs="Mangal"/>
      <w:sz w:val="18"/>
      <w:szCs w:val="16"/>
    </w:rPr>
  </w:style>
  <w:style w:type="paragraph" w:styleId="Style24">
    <w:name w:val="内容目录标题"/>
    <w:basedOn w:val="Style13"/>
    <w:pPr/>
    <w:rPr/>
  </w:style>
  <w:style w:type="paragraph" w:styleId="21">
    <w:name w:val="内容目录 2"/>
    <w:basedOn w:val="Style17"/>
    <w:pPr/>
    <w:rPr/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2"/>
    <w:uiPriority w:val="99"/>
    <w:rsid w:val="005e4cc3"/>
    <w:rPr>
      <w:rFonts w:asciiTheme="minorHAnsi" w:hAnsiTheme="minorHAnsi" w:eastAsiaTheme="minorEastAsia" w:cstheme="minorBidi"/>
      <w:lang w:bidi="ar-SA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LibreOffice/5.0.5.2$Linux_X86_64 LibreOffice_project/00m0$Build-2</Application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2016-03-01T15:16:00Z</dcterms:created>
  <dc:creator>qi han</dc:creator>
  <dc:language>zh-CN</dc:language>
  <dcterms:modified xsi:type="dcterms:W3CDTF">2016-03-05T09:09:42Z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