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0CA67" w14:textId="323A835C" w:rsidR="00C95523" w:rsidRPr="00604651" w:rsidRDefault="00C95523">
      <w:pPr>
        <w:rPr>
          <w:rFonts w:cstheme="minorHAnsi"/>
          <w:b/>
          <w:bCs/>
          <w:color w:val="131413"/>
          <w:lang w:val="en-US"/>
        </w:rPr>
      </w:pPr>
      <w:r w:rsidRPr="00604651">
        <w:rPr>
          <w:rFonts w:cstheme="minorHAnsi"/>
          <w:b/>
          <w:bCs/>
          <w:color w:val="131413"/>
          <w:lang w:val="en-US"/>
        </w:rPr>
        <w:t xml:space="preserve">UDS-based </w:t>
      </w:r>
      <w:r w:rsidR="00FC3F2C">
        <w:rPr>
          <w:rFonts w:cstheme="minorHAnsi"/>
          <w:b/>
          <w:bCs/>
          <w:color w:val="131413"/>
          <w:lang w:val="en-US"/>
        </w:rPr>
        <w:t>primary endpoints</w:t>
      </w:r>
      <w:r w:rsidRPr="00604651">
        <w:rPr>
          <w:rFonts w:cstheme="minorHAnsi"/>
          <w:b/>
          <w:bCs/>
          <w:color w:val="131413"/>
          <w:lang w:val="en-US"/>
        </w:rPr>
        <w:t xml:space="preserve"> used to establish effectiveness for trials in opioid use disorder</w:t>
      </w:r>
    </w:p>
    <w:p w14:paraId="6BBB8D20" w14:textId="77777777" w:rsidR="004A4ED1" w:rsidRDefault="0007083B" w:rsidP="0007083B">
      <w:pPr>
        <w:pStyle w:val="ListParagraph"/>
        <w:numPr>
          <w:ilvl w:val="0"/>
          <w:numId w:val="1"/>
        </w:numPr>
        <w:rPr>
          <w:rFonts w:cstheme="minorHAnsi"/>
          <w:color w:val="131413"/>
          <w:lang w:val="en-US"/>
        </w:rPr>
      </w:pPr>
      <w:r w:rsidRPr="00604651">
        <w:rPr>
          <w:rFonts w:cstheme="minorHAnsi"/>
          <w:color w:val="131413"/>
          <w:lang w:val="en-US"/>
        </w:rPr>
        <w:t>RELAPSE: these outcomes seem to ignore what happens after the relapse</w:t>
      </w:r>
    </w:p>
    <w:p w14:paraId="6E5C2FCE" w14:textId="2766FC58" w:rsidR="0007083B" w:rsidRDefault="004A4ED1" w:rsidP="0007083B">
      <w:pPr>
        <w:pStyle w:val="ListParagraph"/>
        <w:numPr>
          <w:ilvl w:val="0"/>
          <w:numId w:val="1"/>
        </w:numPr>
        <w:rPr>
          <w:rFonts w:cstheme="minorHAnsi"/>
          <w:color w:val="131413"/>
          <w:lang w:val="en-US"/>
        </w:rPr>
      </w:pPr>
      <w:r>
        <w:rPr>
          <w:rFonts w:cstheme="minorHAnsi"/>
          <w:color w:val="131413"/>
          <w:lang w:val="en-US"/>
        </w:rPr>
        <w:t>Every relapse o</w:t>
      </w:r>
      <w:r w:rsidR="0007083B" w:rsidRPr="00604651">
        <w:rPr>
          <w:rFonts w:cstheme="minorHAnsi"/>
          <w:color w:val="131413"/>
          <w:lang w:val="en-US"/>
        </w:rPr>
        <w:t>utcome requires a period of abstinence</w:t>
      </w:r>
      <w:r w:rsidR="00175580">
        <w:rPr>
          <w:rFonts w:cstheme="minorHAnsi"/>
          <w:color w:val="131413"/>
          <w:lang w:val="en-US"/>
        </w:rPr>
        <w:t xml:space="preserve"> </w:t>
      </w:r>
      <w:r w:rsidR="00175580" w:rsidRPr="00175580">
        <w:rPr>
          <w:rFonts w:cstheme="minorHAnsi"/>
          <w:color w:val="131413"/>
          <w:lang w:val="en-US"/>
        </w:rPr>
        <w:sym w:font="Wingdings" w:char="F0E0"/>
      </w:r>
      <w:r w:rsidR="00175580">
        <w:rPr>
          <w:rFonts w:cstheme="minorHAnsi"/>
          <w:color w:val="131413"/>
          <w:lang w:val="en-US"/>
        </w:rPr>
        <w:t xml:space="preserve"> Relapse and Abstinence outcomes are always linked (sine qua non) </w:t>
      </w:r>
      <w:r w:rsidR="00175580" w:rsidRPr="00175580">
        <w:rPr>
          <w:rFonts w:cstheme="minorHAnsi"/>
          <w:color w:val="131413"/>
          <w:lang w:val="en-US"/>
        </w:rPr>
        <w:sym w:font="Wingdings" w:char="F0E0"/>
      </w:r>
      <w:r w:rsidR="00175580">
        <w:rPr>
          <w:rFonts w:cstheme="minorHAnsi"/>
          <w:color w:val="131413"/>
          <w:lang w:val="en-US"/>
        </w:rPr>
        <w:t xml:space="preserve"> can any relapse outcome be re-conceptualized as an abstinence outcome (or vice versa)?</w:t>
      </w:r>
    </w:p>
    <w:p w14:paraId="541069CC" w14:textId="1885CFF0" w:rsidR="00175580" w:rsidRDefault="00175580" w:rsidP="0007083B">
      <w:pPr>
        <w:pStyle w:val="ListParagraph"/>
        <w:numPr>
          <w:ilvl w:val="0"/>
          <w:numId w:val="1"/>
        </w:numPr>
        <w:rPr>
          <w:rFonts w:cstheme="minorHAnsi"/>
          <w:color w:val="131413"/>
          <w:lang w:val="en-US"/>
        </w:rPr>
      </w:pPr>
      <w:r>
        <w:rPr>
          <w:rFonts w:cstheme="minorHAnsi"/>
          <w:color w:val="131413"/>
          <w:lang w:val="en-US"/>
        </w:rPr>
        <w:t>Reduction/non-abstinence</w:t>
      </w:r>
      <w:r w:rsidR="00A15D82">
        <w:rPr>
          <w:rFonts w:cstheme="minorHAnsi"/>
          <w:color w:val="131413"/>
          <w:lang w:val="en-US"/>
        </w:rPr>
        <w:t xml:space="preserve"> (or “not necessarily abstinent”)</w:t>
      </w:r>
      <w:r>
        <w:rPr>
          <w:rFonts w:cstheme="minorHAnsi"/>
          <w:color w:val="131413"/>
          <w:lang w:val="en-US"/>
        </w:rPr>
        <w:t xml:space="preserve"> outcomes can be measured independently of abstinence</w:t>
      </w:r>
      <w:r w:rsidR="004A4ED1">
        <w:rPr>
          <w:rFonts w:cstheme="minorHAnsi"/>
          <w:color w:val="131413"/>
          <w:lang w:val="en-US"/>
        </w:rPr>
        <w:t>; reduction outcomes should be considered to account for what happens after a relapse, or to have a measurement for those who never fully achieve abstinence (and can therefore not relapse)</w:t>
      </w:r>
    </w:p>
    <w:p w14:paraId="1ABF3702" w14:textId="1ACE0114" w:rsidR="009916FC" w:rsidRDefault="009916FC" w:rsidP="0007083B">
      <w:pPr>
        <w:pStyle w:val="ListParagraph"/>
        <w:numPr>
          <w:ilvl w:val="0"/>
          <w:numId w:val="1"/>
        </w:numPr>
        <w:rPr>
          <w:rFonts w:cstheme="minorHAnsi"/>
          <w:color w:val="131413"/>
          <w:lang w:val="en-US"/>
        </w:rPr>
      </w:pPr>
      <w:r>
        <w:rPr>
          <w:rFonts w:cstheme="minorHAnsi"/>
          <w:color w:val="131413"/>
          <w:lang w:val="en-US"/>
        </w:rPr>
        <w:t>Retention = non-dropout; is this a “higher-level” outcome? A certain retention (e.g., at least 4 weeks) in the trial is a pre-condition to measure UDS-based outcomes. Do we have to set a “minimum” time in treatment for other outcomes to “count” (e.g., opioid use based on only 1 measurement point is not very meaningful) or can retention be simply treated as a covariate?</w:t>
      </w:r>
    </w:p>
    <w:p w14:paraId="6C0C0A1F" w14:textId="0543C219" w:rsidR="009916FC" w:rsidRDefault="009916FC" w:rsidP="0007083B">
      <w:pPr>
        <w:pStyle w:val="ListParagraph"/>
        <w:numPr>
          <w:ilvl w:val="0"/>
          <w:numId w:val="1"/>
        </w:numPr>
        <w:rPr>
          <w:rFonts w:cstheme="minorHAnsi"/>
          <w:color w:val="131413"/>
          <w:lang w:val="en-US"/>
        </w:rPr>
      </w:pPr>
      <w:r>
        <w:rPr>
          <w:rFonts w:cstheme="minorHAnsi"/>
          <w:color w:val="131413"/>
          <w:lang w:val="en-US"/>
        </w:rPr>
        <w:t xml:space="preserve">What about adherence? Is retention = adherence in the three CTN studies? A minimum adherence to the medication is a pre-requisite for the medication to take effect and to have an effect on UDS-based outcomes. Even in the absence of adherence, there can be variation in UDS-based outcomes (this is quite likely) but in this case, the UDS-based measures are no longer efficacy outcomes. Thus, the question arises how sensitive are UDS-based outcomes to the effect of treatment? </w:t>
      </w:r>
    </w:p>
    <w:p w14:paraId="1379EEA9" w14:textId="498BAFF3" w:rsidR="0079129F" w:rsidRDefault="0079129F" w:rsidP="0007083B">
      <w:pPr>
        <w:pStyle w:val="ListParagraph"/>
        <w:numPr>
          <w:ilvl w:val="0"/>
          <w:numId w:val="1"/>
        </w:numPr>
        <w:rPr>
          <w:rFonts w:cstheme="minorHAnsi"/>
          <w:color w:val="131413"/>
          <w:lang w:val="en-US"/>
        </w:rPr>
      </w:pPr>
      <w:r>
        <w:rPr>
          <w:rFonts w:cstheme="minorHAnsi"/>
          <w:color w:val="131413"/>
          <w:lang w:val="en-US"/>
        </w:rPr>
        <w:t>Measurement frequency of UDS measures varies quite a bit between studies. But it’s the same for the 3 CTN studies (?)</w:t>
      </w:r>
    </w:p>
    <w:p w14:paraId="0ECB8621" w14:textId="68C17822" w:rsidR="00FC3F2C" w:rsidRPr="00FC3F2C" w:rsidRDefault="00FC3F2C" w:rsidP="00FC3F2C">
      <w:pPr>
        <w:rPr>
          <w:rFonts w:cstheme="minorHAnsi"/>
          <w:color w:val="131413"/>
          <w:lang w:val="en-US"/>
        </w:rPr>
      </w:pPr>
      <w:r>
        <w:rPr>
          <w:rFonts w:cstheme="minorHAnsi"/>
          <w:color w:val="131413"/>
          <w:lang w:val="en-US"/>
        </w:rPr>
        <w:t xml:space="preserve">Variables and studies in Table identified from </w:t>
      </w:r>
      <w:r>
        <w:rPr>
          <w:rFonts w:cstheme="minorHAnsi"/>
          <w:color w:val="131413"/>
          <w:lang w:val="en-US"/>
        </w:rPr>
        <w:fldChar w:fldCharType="begin" w:fldLock="1"/>
      </w:r>
      <w:r>
        <w:rPr>
          <w:rFonts w:cstheme="minorHAnsi"/>
          <w:color w:val="131413"/>
          <w:lang w:val="en-US"/>
        </w:rPr>
        <w:instrText>ADDIN CSL_CITATION {"citationItems":[{"id":"ITEM-1","itemData":{"DOI":"10.1111/ajad.13051","ISSN":"1055-0496","author":[{"dropping-particle":"","family":"Biondi","given":"Breanne E.","non-dropping-particle":"","parse-names":false,"suffix":""},{"dropping-particle":"","family":"Zheng","given":"Xiaoying","non-dropping-particle":"","parse-names":false,"suffix":""},{"dropping-particle":"","family":"Frank","given":"Cynthia A.","non-dropping-particle":"","parse-names":false,"suffix":""},{"dropping-particle":"","family":"Petrakis","given":"Ismene","non-dropping-particle":"","parse-names":false,"suffix":""},{"dropping-particle":"","family":"Springer","given":"Sandra A.","non-dropping-particle":"","parse-names":false,"suffix":""}],"container-title":"The American Journal on Addictions","id":"ITEM-1","issue":"4","issued":{"date-parts":[["2020","7","29"]]},"page":"249-267","title":"A Literature Review Examining Primary Outcomes of Medication Treatment Studies for Opioid Use Disorder: What Outcome Should Be Used to Measure Opioid Treatment Success?","type":"article-journal","volume":"29"},"uris":["http://www.mendeley.com/documents/?uuid=e64ee79f-8e07-4cb5-a51e-77371417f464"]},{"id":"ITEM-2","itemData":{"DOI":"10.1186/s13063-019-3995-y","ISSN":"1745-6215","author":[{"dropping-particle":"","family":"Dennis","given":"Brittany B.","non-dropping-particle":"","parse-names":false,"suffix":""},{"dropping-particle":"","family":"Sanger","given":"Nitika","non-dropping-particle":"","parse-names":false,"suffix":""},{"dropping-particle":"","family":"Bawor","given":"Monica","non-dropping-particle":"","parse-names":false,"suffix":""},{"dropping-particle":"","family":"Naji","given":"Leen","non-dropping-particle":"","parse-names":false,"suffix":""},{"dropping-particle":"","family":"Plater","given":"Carolyn","non-dropping-particle":"","parse-names":false,"suffix":""},{"dropping-particle":"","family":"Worster","given":"Andrew","non-dropping-particle":"","parse-names":false,"suffix":""},{"dropping-particle":"","family":"Woo","given":"Julia","non-dropping-particle":"","parse-names":false,"suffix":""},{"dropping-particle":"","family":"Bhalerao","given":"Anuja","non-dropping-particle":"","parse-names":false,"suffix":""},{"dropping-particle":"","family":"Baptist-Mohseni","given":"Natasha","non-dropping-particle":"","parse-names":false,"suffix":""},{"dropping-particle":"","family":"Hillmer","given":"Alannah","non-dropping-particle":"","parse-names":false,"suffix":""},{"dropping-particle":"","family":"Rice","given":"Danielle","non-dropping-particle":"","parse-names":false,"suffix":""},{"dropping-particle":"","family":"Corace","given":"Kim","non-dropping-particle":"","parse-names":false,"suffix":""},{"dropping-particle":"","family":"Hutton","given":"Brian","non-dropping-particle":"","parse-names":false,"suffix":""},{"dropping-particle":"","family":"Tugwell","given":"Peter","non-dropping-particle":"","parse-names":false,"suffix":""},{"dropping-particle":"","family":"Thabane","given":"Lehana","non-dropping-particle":"","parse-names":false,"suffix":""},{"dropping-particle":"","family":"Samaan","given":"Zainab","non-dropping-particle":"","parse-names":false,"suffix":""}],"container-title":"Trials","id":"ITEM-2","issue":"1","issued":{"date-parts":[["2020","12","6"]]},"page":"30","title":"A call for consensus in defining efficacy in clinical trials for opioid addiction: combined results from a systematic review and qualitative study in patients receiving pharmacological assisted therapy for opioid use disorder","type":"article-journal","volume":"21"},"uris":["http://www.mendeley.com/documents/?uuid=1e3aa620-5e17-4a48-acc7-5e838a79bc49"]}],"mendeley":{"formattedCitation":"(Biondi, Zheng, Frank, Petrakis, &amp; Springer, 2020; Dennis et al., 2020)","plainTextFormattedCitation":"(Biondi, Zheng, Frank, Petrakis, &amp; Springer, 2020; Dennis et al., 2020)"},"properties":{"noteIndex":0},"schema":"https://github.com/citation-style-language/schema/raw/master/csl-citation.json"}</w:instrText>
      </w:r>
      <w:r>
        <w:rPr>
          <w:rFonts w:cstheme="minorHAnsi"/>
          <w:color w:val="131413"/>
          <w:lang w:val="en-US"/>
        </w:rPr>
        <w:fldChar w:fldCharType="separate"/>
      </w:r>
      <w:r w:rsidRPr="00FC3F2C">
        <w:rPr>
          <w:rFonts w:cstheme="minorHAnsi"/>
          <w:noProof/>
          <w:color w:val="131413"/>
          <w:lang w:val="en-US"/>
        </w:rPr>
        <w:t>(Biondi, Zheng, Frank, Petrakis, &amp; Springer, 2020; Dennis et al., 2020)</w:t>
      </w:r>
      <w:r>
        <w:rPr>
          <w:rFonts w:cstheme="minorHAnsi"/>
          <w:color w:val="131413"/>
          <w:lang w:val="en-US"/>
        </w:rPr>
        <w:fldChar w:fldCharType="end"/>
      </w:r>
      <w:r>
        <w:rPr>
          <w:rFonts w:cstheme="minorHAnsi"/>
          <w:color w:val="131413"/>
          <w:lang w:val="en-US"/>
        </w:rPr>
        <w:t xml:space="preserve">. </w:t>
      </w:r>
    </w:p>
    <w:tbl>
      <w:tblPr>
        <w:tblStyle w:val="TableGrid"/>
        <w:tblW w:w="14215" w:type="dxa"/>
        <w:tblLook w:val="04A0" w:firstRow="1" w:lastRow="0" w:firstColumn="1" w:lastColumn="0" w:noHBand="0" w:noVBand="1"/>
      </w:tblPr>
      <w:tblGrid>
        <w:gridCol w:w="2760"/>
        <w:gridCol w:w="7272"/>
        <w:gridCol w:w="4183"/>
      </w:tblGrid>
      <w:tr w:rsidR="000521C8" w:rsidRPr="00604651" w14:paraId="3F53B6CD" w14:textId="10056487" w:rsidTr="00F838A4">
        <w:tc>
          <w:tcPr>
            <w:tcW w:w="2760" w:type="dxa"/>
          </w:tcPr>
          <w:p w14:paraId="67F66021" w14:textId="435E8075" w:rsidR="000521C8" w:rsidRPr="00604651" w:rsidRDefault="00F838A4" w:rsidP="00683BE1">
            <w:pPr>
              <w:rPr>
                <w:rFonts w:cstheme="minorHAnsi"/>
                <w:b/>
                <w:bCs/>
                <w:lang w:val="en-US"/>
              </w:rPr>
            </w:pPr>
            <w:r>
              <w:rPr>
                <w:rFonts w:cstheme="minorHAnsi"/>
                <w:b/>
                <w:bCs/>
                <w:lang w:val="en-US"/>
              </w:rPr>
              <w:t>Primary Endpoint</w:t>
            </w:r>
          </w:p>
        </w:tc>
        <w:tc>
          <w:tcPr>
            <w:tcW w:w="7272" w:type="dxa"/>
          </w:tcPr>
          <w:p w14:paraId="71D2B677" w14:textId="1C60B571" w:rsidR="000521C8" w:rsidRPr="00604651" w:rsidRDefault="000521C8" w:rsidP="00683BE1">
            <w:pPr>
              <w:rPr>
                <w:rFonts w:cstheme="minorHAnsi"/>
                <w:b/>
                <w:bCs/>
                <w:lang w:val="en-US"/>
              </w:rPr>
            </w:pPr>
            <w:r w:rsidRPr="00604651">
              <w:rPr>
                <w:rFonts w:cstheme="minorHAnsi"/>
                <w:b/>
                <w:bCs/>
                <w:lang w:val="en-US"/>
              </w:rPr>
              <w:t>Definition/Assessment</w:t>
            </w:r>
            <w:r>
              <w:rPr>
                <w:rFonts w:cstheme="minorHAnsi"/>
                <w:b/>
                <w:bCs/>
                <w:lang w:val="en-US"/>
              </w:rPr>
              <w:t xml:space="preserve"> of Outcome</w:t>
            </w:r>
          </w:p>
        </w:tc>
        <w:tc>
          <w:tcPr>
            <w:tcW w:w="4183" w:type="dxa"/>
          </w:tcPr>
          <w:p w14:paraId="3BAEE353" w14:textId="77777777" w:rsidR="000521C8" w:rsidRPr="00604651" w:rsidRDefault="000521C8" w:rsidP="00683BE1">
            <w:pPr>
              <w:rPr>
                <w:rFonts w:cstheme="minorHAnsi"/>
                <w:b/>
                <w:bCs/>
                <w:lang w:val="en-US"/>
              </w:rPr>
            </w:pPr>
            <w:r w:rsidRPr="00604651">
              <w:rPr>
                <w:rFonts w:cstheme="minorHAnsi"/>
                <w:b/>
                <w:bCs/>
                <w:lang w:val="en-US"/>
              </w:rPr>
              <w:t>Category</w:t>
            </w:r>
          </w:p>
        </w:tc>
      </w:tr>
      <w:tr w:rsidR="000521C8" w:rsidRPr="00604651" w14:paraId="039FF5D7" w14:textId="04BFB6E3" w:rsidTr="00F838A4">
        <w:tc>
          <w:tcPr>
            <w:tcW w:w="2760" w:type="dxa"/>
            <w:tcBorders>
              <w:top w:val="single" w:sz="12" w:space="0" w:color="auto"/>
            </w:tcBorders>
          </w:tcPr>
          <w:p w14:paraId="6C133E34" w14:textId="77777777" w:rsidR="000521C8" w:rsidRPr="00604651" w:rsidRDefault="000521C8" w:rsidP="00683BE1">
            <w:pPr>
              <w:rPr>
                <w:rFonts w:cstheme="minorHAnsi"/>
                <w:lang w:val="en-US"/>
              </w:rPr>
            </w:pPr>
            <w:r w:rsidRPr="00604651">
              <w:rPr>
                <w:rFonts w:cstheme="minorHAnsi"/>
                <w:lang w:val="en-US"/>
              </w:rPr>
              <w:t>Abstinence from heroin</w:t>
            </w:r>
          </w:p>
        </w:tc>
        <w:tc>
          <w:tcPr>
            <w:tcW w:w="7272" w:type="dxa"/>
            <w:tcBorders>
              <w:top w:val="single" w:sz="12" w:space="0" w:color="auto"/>
            </w:tcBorders>
          </w:tcPr>
          <w:p w14:paraId="39464D7F" w14:textId="77777777" w:rsidR="000521C8" w:rsidRPr="00604651" w:rsidRDefault="000521C8" w:rsidP="00683BE1">
            <w:pPr>
              <w:rPr>
                <w:rFonts w:cstheme="minorHAnsi"/>
                <w:lang w:val="en-US"/>
              </w:rPr>
            </w:pPr>
            <w:r w:rsidRPr="00604651">
              <w:rPr>
                <w:rFonts w:cstheme="minorHAnsi"/>
                <w:lang w:val="en-US"/>
              </w:rPr>
              <w:t xml:space="preserve"> Zero use (4 negative UDS, no missing) in the past 30 days</w:t>
            </w:r>
          </w:p>
        </w:tc>
        <w:tc>
          <w:tcPr>
            <w:tcW w:w="4183" w:type="dxa"/>
            <w:tcBorders>
              <w:top w:val="single" w:sz="12" w:space="0" w:color="auto"/>
            </w:tcBorders>
          </w:tcPr>
          <w:p w14:paraId="5917DDAC" w14:textId="081ECACD" w:rsidR="000521C8" w:rsidRPr="00604651" w:rsidRDefault="000521C8" w:rsidP="00683BE1">
            <w:pPr>
              <w:rPr>
                <w:rFonts w:cstheme="minorHAnsi"/>
                <w:lang w:val="en-US"/>
              </w:rPr>
            </w:pPr>
            <w:r w:rsidRPr="00604651">
              <w:rPr>
                <w:rFonts w:cstheme="minorHAnsi"/>
                <w:lang w:val="en-US"/>
              </w:rPr>
              <w:t>Abstinence (period)</w:t>
            </w:r>
          </w:p>
        </w:tc>
      </w:tr>
      <w:tr w:rsidR="000521C8" w:rsidRPr="00604651" w14:paraId="5B8EAF15" w14:textId="7A92F510" w:rsidTr="00F838A4">
        <w:tc>
          <w:tcPr>
            <w:tcW w:w="2760" w:type="dxa"/>
          </w:tcPr>
          <w:p w14:paraId="2AA6F13A" w14:textId="77777777" w:rsidR="000521C8" w:rsidRPr="00604651" w:rsidRDefault="000521C8" w:rsidP="00683BE1">
            <w:pPr>
              <w:rPr>
                <w:rFonts w:cstheme="minorHAnsi"/>
                <w:lang w:val="en-US"/>
              </w:rPr>
            </w:pPr>
            <w:r w:rsidRPr="00604651">
              <w:rPr>
                <w:rFonts w:cstheme="minorHAnsi"/>
                <w:lang w:val="en-US"/>
              </w:rPr>
              <w:t>Near Abstinence</w:t>
            </w:r>
          </w:p>
        </w:tc>
        <w:tc>
          <w:tcPr>
            <w:tcW w:w="7272" w:type="dxa"/>
          </w:tcPr>
          <w:p w14:paraId="618119C8" w14:textId="497EC7B7" w:rsidR="000521C8" w:rsidRPr="00604651" w:rsidRDefault="000521C8" w:rsidP="00683BE1">
            <w:pPr>
              <w:rPr>
                <w:rFonts w:cstheme="minorHAnsi"/>
                <w:lang w:val="en-US"/>
              </w:rPr>
            </w:pPr>
            <w:r w:rsidRPr="00604651">
              <w:rPr>
                <w:rFonts w:cstheme="minorHAnsi"/>
                <w:lang w:val="en-US"/>
              </w:rPr>
              <w:t>&lt;2 positive UDS</w:t>
            </w:r>
          </w:p>
        </w:tc>
        <w:tc>
          <w:tcPr>
            <w:tcW w:w="4183" w:type="dxa"/>
          </w:tcPr>
          <w:p w14:paraId="30C6F416" w14:textId="19B9EE0A" w:rsidR="000521C8" w:rsidRPr="00604651" w:rsidRDefault="000521C8" w:rsidP="00683BE1">
            <w:pPr>
              <w:rPr>
                <w:rFonts w:cstheme="minorHAnsi"/>
                <w:lang w:val="en-US"/>
              </w:rPr>
            </w:pPr>
            <w:r w:rsidRPr="00604651">
              <w:rPr>
                <w:rFonts w:cstheme="minorHAnsi"/>
                <w:lang w:val="en-US"/>
              </w:rPr>
              <w:t>Abstinence (with “allowance” of pos. UDS)</w:t>
            </w:r>
          </w:p>
        </w:tc>
      </w:tr>
      <w:tr w:rsidR="000521C8" w:rsidRPr="00605DBB" w14:paraId="46C43ED2" w14:textId="77777777" w:rsidTr="00F838A4">
        <w:tc>
          <w:tcPr>
            <w:tcW w:w="2760" w:type="dxa"/>
          </w:tcPr>
          <w:p w14:paraId="62DEA22D" w14:textId="77777777" w:rsidR="000521C8" w:rsidRPr="00604651" w:rsidRDefault="000521C8" w:rsidP="004806A7">
            <w:pPr>
              <w:rPr>
                <w:rFonts w:cstheme="minorHAnsi"/>
                <w:lang w:val="en-US"/>
              </w:rPr>
            </w:pPr>
            <w:r w:rsidRPr="00604651">
              <w:rPr>
                <w:rFonts w:cstheme="minorHAnsi"/>
                <w:lang w:val="en-US"/>
              </w:rPr>
              <w:t>% of participants continuously abstinent</w:t>
            </w:r>
          </w:p>
        </w:tc>
        <w:tc>
          <w:tcPr>
            <w:tcW w:w="7272" w:type="dxa"/>
          </w:tcPr>
          <w:p w14:paraId="12008BF7" w14:textId="77777777" w:rsidR="000521C8" w:rsidRPr="00604651" w:rsidRDefault="000521C8" w:rsidP="004806A7">
            <w:pPr>
              <w:autoSpaceDE w:val="0"/>
              <w:autoSpaceDN w:val="0"/>
              <w:adjustRightInd w:val="0"/>
              <w:rPr>
                <w:rFonts w:cstheme="minorHAnsi"/>
                <w:lang w:val="en-US"/>
              </w:rPr>
            </w:pPr>
            <w:r w:rsidRPr="00604651">
              <w:rPr>
                <w:rFonts w:cstheme="minorHAnsi"/>
                <w:lang w:val="en-US"/>
              </w:rPr>
              <w:t xml:space="preserve">Percentage of participants per treatment arm who maintained 12 </w:t>
            </w:r>
            <w:proofErr w:type="gramStart"/>
            <w:r w:rsidRPr="00604651">
              <w:rPr>
                <w:rFonts w:cstheme="minorHAnsi"/>
                <w:lang w:val="en-US"/>
              </w:rPr>
              <w:t>consecutive</w:t>
            </w:r>
            <w:proofErr w:type="gramEnd"/>
            <w:r w:rsidRPr="00604651">
              <w:rPr>
                <w:rFonts w:cstheme="minorHAnsi"/>
                <w:lang w:val="en-US"/>
              </w:rPr>
              <w:t xml:space="preserve"> negative UDS</w:t>
            </w:r>
          </w:p>
        </w:tc>
        <w:tc>
          <w:tcPr>
            <w:tcW w:w="4183" w:type="dxa"/>
          </w:tcPr>
          <w:p w14:paraId="3A06409F" w14:textId="77777777" w:rsidR="000521C8" w:rsidRPr="00604651" w:rsidRDefault="000521C8" w:rsidP="004806A7">
            <w:pPr>
              <w:rPr>
                <w:rFonts w:cstheme="minorHAnsi"/>
                <w:lang w:val="en-US"/>
              </w:rPr>
            </w:pPr>
            <w:r w:rsidRPr="00604651">
              <w:rPr>
                <w:rFonts w:cstheme="minorHAnsi"/>
                <w:lang w:val="en-US"/>
              </w:rPr>
              <w:t>Abstinence (continuous)</w:t>
            </w:r>
          </w:p>
        </w:tc>
      </w:tr>
      <w:tr w:rsidR="000521C8" w:rsidRPr="00605DBB" w14:paraId="78019AD6" w14:textId="77777777" w:rsidTr="00F838A4">
        <w:tc>
          <w:tcPr>
            <w:tcW w:w="2760" w:type="dxa"/>
            <w:tcBorders>
              <w:bottom w:val="single" w:sz="4" w:space="0" w:color="auto"/>
            </w:tcBorders>
          </w:tcPr>
          <w:p w14:paraId="71AAD341" w14:textId="77777777" w:rsidR="000521C8" w:rsidRPr="00604651" w:rsidRDefault="000521C8" w:rsidP="004806A7">
            <w:pPr>
              <w:rPr>
                <w:rFonts w:cstheme="minorHAnsi"/>
                <w:lang w:val="en-US"/>
              </w:rPr>
            </w:pPr>
            <w:r w:rsidRPr="00604651">
              <w:rPr>
                <w:rFonts w:cstheme="minorHAnsi"/>
                <w:lang w:val="en-US"/>
              </w:rPr>
              <w:t>Slip/Occasional heroin use</w:t>
            </w:r>
          </w:p>
        </w:tc>
        <w:tc>
          <w:tcPr>
            <w:tcW w:w="7272" w:type="dxa"/>
            <w:tcBorders>
              <w:bottom w:val="single" w:sz="4" w:space="0" w:color="auto"/>
            </w:tcBorders>
          </w:tcPr>
          <w:p w14:paraId="41776411" w14:textId="77777777" w:rsidR="000521C8" w:rsidRPr="00604651" w:rsidRDefault="000521C8" w:rsidP="004806A7">
            <w:pPr>
              <w:autoSpaceDE w:val="0"/>
              <w:autoSpaceDN w:val="0"/>
              <w:adjustRightInd w:val="0"/>
              <w:rPr>
                <w:rFonts w:cstheme="minorHAnsi"/>
                <w:lang w:val="en-US"/>
              </w:rPr>
            </w:pPr>
            <w:r w:rsidRPr="00604651">
              <w:rPr>
                <w:rFonts w:cstheme="minorHAnsi"/>
                <w:lang w:val="en-US"/>
              </w:rPr>
              <w:t>&lt;3 consecutive positive UDS (and no symptoms of withdrawal)</w:t>
            </w:r>
          </w:p>
        </w:tc>
        <w:tc>
          <w:tcPr>
            <w:tcW w:w="4183" w:type="dxa"/>
            <w:tcBorders>
              <w:bottom w:val="single" w:sz="4" w:space="0" w:color="auto"/>
            </w:tcBorders>
          </w:tcPr>
          <w:p w14:paraId="1C46B8F8" w14:textId="77777777" w:rsidR="000521C8" w:rsidRPr="00604651" w:rsidRDefault="000521C8" w:rsidP="004806A7">
            <w:pPr>
              <w:rPr>
                <w:rFonts w:cstheme="minorHAnsi"/>
                <w:lang w:val="en-US"/>
              </w:rPr>
            </w:pPr>
            <w:r w:rsidRPr="00604651">
              <w:rPr>
                <w:rFonts w:cstheme="minorHAnsi"/>
                <w:lang w:val="en-US"/>
              </w:rPr>
              <w:t>Abstinence (with “allowance” of pos. UDS)</w:t>
            </w:r>
          </w:p>
        </w:tc>
      </w:tr>
      <w:tr w:rsidR="000521C8" w:rsidRPr="00605DBB" w14:paraId="6276CB61" w14:textId="77777777" w:rsidTr="00F838A4">
        <w:tc>
          <w:tcPr>
            <w:tcW w:w="2760" w:type="dxa"/>
            <w:tcBorders>
              <w:bottom w:val="single" w:sz="4" w:space="0" w:color="auto"/>
            </w:tcBorders>
          </w:tcPr>
          <w:p w14:paraId="709E00CB" w14:textId="77777777" w:rsidR="000521C8" w:rsidRPr="00604651" w:rsidRDefault="000521C8" w:rsidP="004806A7">
            <w:pPr>
              <w:rPr>
                <w:rFonts w:cstheme="minorHAnsi"/>
                <w:lang w:val="en-US"/>
              </w:rPr>
            </w:pPr>
            <w:r w:rsidRPr="00604651">
              <w:rPr>
                <w:rFonts w:cstheme="minorHAnsi"/>
                <w:lang w:val="en-US"/>
              </w:rPr>
              <w:t>Longest period of abstinence</w:t>
            </w:r>
          </w:p>
        </w:tc>
        <w:tc>
          <w:tcPr>
            <w:tcW w:w="7272" w:type="dxa"/>
            <w:tcBorders>
              <w:bottom w:val="single" w:sz="4" w:space="0" w:color="auto"/>
            </w:tcBorders>
          </w:tcPr>
          <w:p w14:paraId="78917217" w14:textId="77777777" w:rsidR="000521C8" w:rsidRPr="00604651" w:rsidRDefault="000521C8" w:rsidP="004806A7">
            <w:pPr>
              <w:autoSpaceDE w:val="0"/>
              <w:autoSpaceDN w:val="0"/>
              <w:adjustRightInd w:val="0"/>
              <w:rPr>
                <w:rFonts w:cstheme="minorHAnsi"/>
                <w:lang w:val="en-US"/>
              </w:rPr>
            </w:pPr>
            <w:r w:rsidRPr="00604651">
              <w:rPr>
                <w:rFonts w:cstheme="minorHAnsi"/>
                <w:lang w:val="en-US"/>
              </w:rPr>
              <w:t xml:space="preserve">Longest period of negative UDS between two positive UDS </w:t>
            </w:r>
          </w:p>
        </w:tc>
        <w:tc>
          <w:tcPr>
            <w:tcW w:w="4183" w:type="dxa"/>
            <w:tcBorders>
              <w:bottom w:val="single" w:sz="4" w:space="0" w:color="auto"/>
            </w:tcBorders>
          </w:tcPr>
          <w:p w14:paraId="7ED2D06A" w14:textId="77777777" w:rsidR="000521C8" w:rsidRPr="00604651" w:rsidRDefault="000521C8" w:rsidP="004806A7">
            <w:pPr>
              <w:rPr>
                <w:rFonts w:cstheme="minorHAnsi"/>
                <w:lang w:val="en-US"/>
              </w:rPr>
            </w:pPr>
            <w:r w:rsidRPr="00604651">
              <w:rPr>
                <w:rFonts w:cstheme="minorHAnsi"/>
                <w:lang w:val="en-US"/>
              </w:rPr>
              <w:t>Abstinence (period)</w:t>
            </w:r>
          </w:p>
        </w:tc>
      </w:tr>
      <w:tr w:rsidR="000521C8" w:rsidRPr="00605DBB" w14:paraId="31EF71DD" w14:textId="3CC57BF7" w:rsidTr="00F838A4">
        <w:tc>
          <w:tcPr>
            <w:tcW w:w="2760" w:type="dxa"/>
            <w:shd w:val="clear" w:color="auto" w:fill="EEECE1" w:themeFill="background2"/>
          </w:tcPr>
          <w:p w14:paraId="19CCE609" w14:textId="77777777" w:rsidR="000521C8" w:rsidRDefault="000521C8" w:rsidP="00683BE1">
            <w:pPr>
              <w:rPr>
                <w:rFonts w:cstheme="minorHAnsi"/>
                <w:lang w:val="en-US"/>
              </w:rPr>
            </w:pPr>
            <w:r w:rsidRPr="00604651">
              <w:rPr>
                <w:rFonts w:cstheme="minorHAnsi"/>
                <w:lang w:val="en-US"/>
              </w:rPr>
              <w:t>Complete Abstinence</w:t>
            </w:r>
            <w:r>
              <w:rPr>
                <w:rFonts w:cstheme="minorHAnsi"/>
                <w:lang w:val="en-US"/>
              </w:rPr>
              <w:t xml:space="preserve"> </w:t>
            </w:r>
            <w:r>
              <w:rPr>
                <w:rFonts w:cstheme="minorHAnsi"/>
                <w:lang w:val="en-US"/>
              </w:rPr>
              <w:fldChar w:fldCharType="begin" w:fldLock="1"/>
            </w:r>
            <w:r>
              <w:rPr>
                <w:rFonts w:cstheme="minorHAnsi"/>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trial","type":"article-journal"},"uris":["http://www.mendeley.com/documents/?uuid=b631ad6b-377d-47b6-b2ec-4c29b54a7ce7"]}],"mendeley":{"formattedCitation":"(Krupitsky et al., 2011)","plainTextFormattedCitation":"(Krupitsky et al., 2011)","previouslyFormattedCitation":"(Krupitsky et al., 2011)"},"properties":{"noteIndex":0},"schema":"https://github.com/citation-style-language/schema/raw/master/csl-citation.json"}</w:instrText>
            </w:r>
            <w:r>
              <w:rPr>
                <w:rFonts w:cstheme="minorHAnsi"/>
                <w:lang w:val="en-US"/>
              </w:rPr>
              <w:fldChar w:fldCharType="separate"/>
            </w:r>
            <w:r w:rsidRPr="00322FE2">
              <w:rPr>
                <w:rFonts w:cstheme="minorHAnsi"/>
                <w:noProof/>
                <w:lang w:val="en-US"/>
              </w:rPr>
              <w:t>(Krupitsky et al., 2011)</w:t>
            </w:r>
            <w:r>
              <w:rPr>
                <w:rFonts w:cstheme="minorHAnsi"/>
                <w:lang w:val="en-US"/>
              </w:rPr>
              <w:fldChar w:fldCharType="end"/>
            </w:r>
          </w:p>
          <w:p w14:paraId="2AFBD20C" w14:textId="77777777" w:rsidR="000521C8" w:rsidRDefault="000521C8" w:rsidP="00683BE1">
            <w:pPr>
              <w:rPr>
                <w:rFonts w:cstheme="minorHAnsi"/>
                <w:lang w:val="en-US"/>
              </w:rPr>
            </w:pPr>
            <w:r>
              <w:rPr>
                <w:rFonts w:cstheme="minorHAnsi"/>
                <w:lang w:val="en-US"/>
              </w:rPr>
              <w:fldChar w:fldCharType="begin" w:fldLock="1"/>
            </w:r>
            <w:r>
              <w:rPr>
                <w:rFonts w:cstheme="minorHAnsi"/>
                <w:lang w:val="en-US"/>
              </w:rPr>
              <w:instrText>ADDIN CSL_CITATION {"citationItems":[{"id":"ITEM-1","itemData":{"DOI":"10.1001/jama.2016.9382","ISSN":"15383598","PMID":"27434441","abstract":"IMPORTANCE: The effectiveness of buprenorphine treatment of opioid dependence is limited by suboptimal medication adherence, abuse, and diversion. OBJECTIVE: To determine whether 6-month buprenorphine implants are noninferior to daily sublingual buprenorphine as maintenance treatment for opioid-dependent patients with stable abstinence. DESIGN, SETTING, AND PARTICIPANTS: Outpatient, randomized, active-controlled, 24-week, double-blind, double-dummy study conducted at 21 US sites from June 26, 2014, through May 18, 2015. Outpatients were prescribed daily sublingual buprenorphine for 6 months or more, were abstinent while taking 8 mg/d or less of sublingual buprenorphine for 90 days or longer, and were determined to be clinically stable by their physician. INTERVENTIONS: Participants were randomized to receive sublingual buprenorphine plus 4 placebo implants or sublingual placebo plus four 80-mg buprenorphine hydrochloride implants (expected efficacy, 24 weeks). MAIN OUTCOME MEASURE: The primary end point was between-group difference in proportion of responders (≥4 of 6 months without opioid-positive urine test result [monthly and 4 times randomly] and self-report). The noninferiority established for the lower bound of the 95% confidence interval was greater than -0.20 (P &lt;.025). Secondary end points included cumulative percentage of negative opioid urine results, abstinence, and time to first illicit opioid use. Safety was assessed by adverse event reporting. RESULTS: Of 177 participants (mean age, 39 years; 40.9% female), 90 were randomized to sublingual buprenorphine with placebo implants and 87 to buprenorphine implants with sublingual placebo; 165 of 177 (93.2%) completed the trial. Eighty-one of 84 (96.4%) receiving buprenorphine implants and 78 of 89 (87.6%) receiving sublingual buprenorphine were responders, an 8.8% difference (1-sided 97.5% CI, 0.009 to oo; P &gt;.001 for noninferiority). Over 6 months, 72 of 84 (85.7%) receiving buprenorphine implants and 64 of 89 (71.9%) receiving sublingual buprenorphine maintained opioid abstinence (hazard ratio, 13.8; 95% CI, 0.018-0.258; P =.03). Non-implant-related and implant-related adverse events occurred in 48.3% and 23% of the buprenorphine implant group and in 52.8% and 13.5% of participants in the sublingual buprenorphine group, respectively. CONCLUSIONS AND RELEVANCE: Among adults with opioid dependence maintaining abstinence with a stable dose of sublingual buprenorphine, the use of buprenorphine imp…","author":[{"dropping-particle":"","family":"Rosenthal","given":"Richard N.","non-dropping-particle":"","parse-names":false,"suffix":""},{"dropping-particle":"","family":"Lofwall","given":"Michelle R.","non-dropping-particle":"","parse-names":false,"suffix":""},{"dropping-particle":"","family":"Kim","given":"Sonnie","non-dropping-particle":"","parse-names":false,"suffix":""},{"dropping-particle":"","family":"Chen","given":"Michael","non-dropping-particle":"","parse-names":false,"suffix":""},{"dropping-particle":"","family":"Beebe","given":"Katherine L.","non-dropping-particle":"","parse-names":false,"suffix":""},{"dropping-particle":"","family":"Vocci","given":"Frank J.","non-dropping-particle":"","parse-names":false,"suffix":""}],"container-title":"JAMA - Journal of the American Medical Association","id":"ITEM-1","issued":{"date-parts":[["2016"]]},"title":"Effect of buprenorphine implants on illicit opioid use among abstinent adults with opioid dependence treated with sublingual buprenorphine a randomized clinical trial","type":"article-journal"},"uris":["http://www.mendeley.com/documents/?uuid=b6457b74-0942-4dea-a7df-697d8d48cc5c"]}],"mendeley":{"formattedCitation":"(Rosenthal et al., 2016)","plainTextFormattedCitation":"(Rosenthal et al., 2016)","previouslyFormattedCitation":"(Rosenthal et al., 2016)"},"properties":{"noteIndex":0},"schema":"https://github.com/citation-style-language/schema/raw/master/csl-citation.json"}</w:instrText>
            </w:r>
            <w:r>
              <w:rPr>
                <w:rFonts w:cstheme="minorHAnsi"/>
                <w:lang w:val="en-US"/>
              </w:rPr>
              <w:fldChar w:fldCharType="separate"/>
            </w:r>
            <w:r w:rsidRPr="0053534E">
              <w:rPr>
                <w:rFonts w:cstheme="minorHAnsi"/>
                <w:noProof/>
                <w:lang w:val="en-US"/>
              </w:rPr>
              <w:t>(Rosenthal et al., 2016)</w:t>
            </w:r>
            <w:r>
              <w:rPr>
                <w:rFonts w:cstheme="minorHAnsi"/>
                <w:lang w:val="en-US"/>
              </w:rPr>
              <w:fldChar w:fldCharType="end"/>
            </w:r>
          </w:p>
          <w:p w14:paraId="0BDF9039" w14:textId="64A1B724" w:rsidR="000521C8" w:rsidRPr="00604651" w:rsidRDefault="000521C8" w:rsidP="00683BE1">
            <w:pPr>
              <w:rPr>
                <w:rFonts w:cstheme="minorHAnsi"/>
                <w:lang w:val="en-US"/>
              </w:rPr>
            </w:pPr>
            <w:r>
              <w:rPr>
                <w:rFonts w:cstheme="minorHAnsi"/>
                <w:lang w:val="en-US"/>
              </w:rPr>
              <w:fldChar w:fldCharType="begin" w:fldLock="1"/>
            </w:r>
            <w:r>
              <w:rPr>
                <w:rFonts w:cstheme="minorHAnsi"/>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2018)","plainTextFormattedCitation":"(Lofwall et al., 2018)","previouslyFormattedCitation":"(Lofwall et al., 2018)"},"properties":{"noteIndex":0},"schema":"https://github.com/citation-style-language/schema/raw/master/csl-citation.json"}</w:instrText>
            </w:r>
            <w:r>
              <w:rPr>
                <w:rFonts w:cstheme="minorHAnsi"/>
                <w:lang w:val="en-US"/>
              </w:rPr>
              <w:fldChar w:fldCharType="separate"/>
            </w:r>
            <w:r w:rsidRPr="00E23E23">
              <w:rPr>
                <w:rFonts w:cstheme="minorHAnsi"/>
                <w:noProof/>
                <w:lang w:val="en-US"/>
              </w:rPr>
              <w:t>(Lofwall et al., 2018)</w:t>
            </w:r>
            <w:r>
              <w:rPr>
                <w:rFonts w:cstheme="minorHAnsi"/>
                <w:lang w:val="en-US"/>
              </w:rPr>
              <w:fldChar w:fldCharType="end"/>
            </w:r>
            <w:r w:rsidRPr="00604651">
              <w:rPr>
                <w:rFonts w:cstheme="minorHAnsi"/>
                <w:lang w:val="en-US"/>
              </w:rPr>
              <w:t xml:space="preserve"> </w:t>
            </w:r>
          </w:p>
        </w:tc>
        <w:tc>
          <w:tcPr>
            <w:tcW w:w="7272" w:type="dxa"/>
            <w:shd w:val="clear" w:color="auto" w:fill="EEECE1" w:themeFill="background2"/>
          </w:tcPr>
          <w:p w14:paraId="51920DF4" w14:textId="0A7F93B1" w:rsidR="000521C8" w:rsidRDefault="000521C8" w:rsidP="0053534E">
            <w:pPr>
              <w:rPr>
                <w:rFonts w:cstheme="minorHAnsi"/>
                <w:lang w:val="en-US"/>
              </w:rPr>
            </w:pPr>
            <w:proofErr w:type="spellStart"/>
            <w:r>
              <w:rPr>
                <w:rFonts w:cstheme="minorHAnsi"/>
                <w:lang w:val="en-US"/>
              </w:rPr>
              <w:t>Krupitsky</w:t>
            </w:r>
            <w:proofErr w:type="spellEnd"/>
            <w:r>
              <w:rPr>
                <w:rFonts w:cstheme="minorHAnsi"/>
                <w:lang w:val="en-US"/>
              </w:rPr>
              <w:t xml:space="preserve"> et al. (2011): No. of patients with c</w:t>
            </w:r>
            <w:r w:rsidRPr="0053534E">
              <w:rPr>
                <w:rFonts w:cstheme="minorHAnsi"/>
                <w:lang w:val="en-US"/>
              </w:rPr>
              <w:t>onfirmed opioid abstinence</w:t>
            </w:r>
            <w:r>
              <w:rPr>
                <w:rFonts w:cstheme="minorHAnsi"/>
                <w:lang w:val="en-US"/>
              </w:rPr>
              <w:t xml:space="preserve"> </w:t>
            </w:r>
            <w:r w:rsidRPr="0053534E">
              <w:rPr>
                <w:rFonts w:cstheme="minorHAnsi"/>
                <w:lang w:val="en-US"/>
              </w:rPr>
              <w:t>during weeks 5‐24,</w:t>
            </w:r>
            <w:r>
              <w:rPr>
                <w:rFonts w:cstheme="minorHAnsi"/>
                <w:lang w:val="en-US"/>
              </w:rPr>
              <w:t xml:space="preserve"> </w:t>
            </w:r>
            <w:r w:rsidRPr="0053534E">
              <w:rPr>
                <w:rFonts w:cstheme="minorHAnsi"/>
                <w:lang w:val="en-US"/>
              </w:rPr>
              <w:t xml:space="preserve">assessed by </w:t>
            </w:r>
            <w:r>
              <w:rPr>
                <w:rFonts w:cstheme="minorHAnsi"/>
                <w:lang w:val="en-US"/>
              </w:rPr>
              <w:t xml:space="preserve">UDS </w:t>
            </w:r>
            <w:r w:rsidRPr="0053534E">
              <w:rPr>
                <w:rFonts w:cstheme="minorHAnsi"/>
                <w:lang w:val="en-US"/>
              </w:rPr>
              <w:t>(obtained weekly) and self‐report</w:t>
            </w:r>
            <w:r>
              <w:rPr>
                <w:rFonts w:cstheme="minorHAnsi"/>
                <w:lang w:val="en-US"/>
              </w:rPr>
              <w:t xml:space="preserve"> </w:t>
            </w:r>
            <w:r w:rsidRPr="0053534E">
              <w:rPr>
                <w:rFonts w:cstheme="minorHAnsi"/>
                <w:lang w:val="en-US"/>
              </w:rPr>
              <w:t>of nonuse (TLFB)</w:t>
            </w:r>
          </w:p>
          <w:p w14:paraId="67E82B41" w14:textId="77777777" w:rsidR="000521C8" w:rsidRDefault="000521C8" w:rsidP="0053534E">
            <w:pPr>
              <w:rPr>
                <w:rFonts w:cstheme="minorHAnsi"/>
                <w:lang w:val="en-US"/>
              </w:rPr>
            </w:pPr>
          </w:p>
          <w:p w14:paraId="36AE9078" w14:textId="77777777" w:rsidR="000521C8" w:rsidRDefault="000521C8" w:rsidP="0053534E">
            <w:pPr>
              <w:rPr>
                <w:rFonts w:cstheme="minorHAnsi"/>
                <w:lang w:val="en-US"/>
              </w:rPr>
            </w:pPr>
            <w:r>
              <w:rPr>
                <w:rFonts w:cstheme="minorHAnsi"/>
                <w:lang w:val="en-US"/>
              </w:rPr>
              <w:lastRenderedPageBreak/>
              <w:t xml:space="preserve">Rosenthal et al. (2016): Proportion of participants with no </w:t>
            </w:r>
            <w:r w:rsidRPr="0053534E">
              <w:rPr>
                <w:rFonts w:cstheme="minorHAnsi"/>
                <w:lang w:val="en-US"/>
              </w:rPr>
              <w:t>evidence of opioid use based on</w:t>
            </w:r>
            <w:r>
              <w:rPr>
                <w:rFonts w:cstheme="minorHAnsi"/>
                <w:lang w:val="en-US"/>
              </w:rPr>
              <w:t xml:space="preserve"> UDS</w:t>
            </w:r>
            <w:r w:rsidRPr="0053534E">
              <w:rPr>
                <w:rFonts w:cstheme="minorHAnsi"/>
                <w:lang w:val="en-US"/>
              </w:rPr>
              <w:t xml:space="preserve"> (1×/month + at</w:t>
            </w:r>
            <w:r>
              <w:rPr>
                <w:rFonts w:cstheme="minorHAnsi"/>
                <w:lang w:val="en-US"/>
              </w:rPr>
              <w:t xml:space="preserve"> </w:t>
            </w:r>
            <w:r w:rsidRPr="0053534E">
              <w:rPr>
                <w:rFonts w:cstheme="minorHAnsi"/>
                <w:lang w:val="en-US"/>
              </w:rPr>
              <w:t>4 random times for a total of</w:t>
            </w:r>
            <w:r>
              <w:rPr>
                <w:rFonts w:cstheme="minorHAnsi"/>
                <w:lang w:val="en-US"/>
              </w:rPr>
              <w:t xml:space="preserve"> </w:t>
            </w:r>
            <w:r w:rsidRPr="0053534E">
              <w:rPr>
                <w:rFonts w:cstheme="minorHAnsi"/>
                <w:lang w:val="en-US"/>
              </w:rPr>
              <w:t>10 samples) and self‐report</w:t>
            </w:r>
            <w:r>
              <w:rPr>
                <w:rFonts w:cstheme="minorHAnsi"/>
                <w:lang w:val="en-US"/>
              </w:rPr>
              <w:t xml:space="preserve"> </w:t>
            </w:r>
            <w:r w:rsidRPr="0053534E">
              <w:rPr>
                <w:rFonts w:cstheme="minorHAnsi"/>
                <w:lang w:val="en-US"/>
              </w:rPr>
              <w:t>(TLFB)</w:t>
            </w:r>
          </w:p>
          <w:p w14:paraId="457F4554" w14:textId="77777777" w:rsidR="000521C8" w:rsidRDefault="000521C8" w:rsidP="0053534E">
            <w:pPr>
              <w:rPr>
                <w:rFonts w:cstheme="minorHAnsi"/>
                <w:lang w:val="en-US"/>
              </w:rPr>
            </w:pPr>
          </w:p>
          <w:p w14:paraId="1AAC9B26" w14:textId="4FD84C14" w:rsidR="000521C8" w:rsidRPr="00604651" w:rsidRDefault="000521C8" w:rsidP="00E23E23">
            <w:pPr>
              <w:rPr>
                <w:rFonts w:cstheme="minorHAnsi"/>
                <w:lang w:val="en-US"/>
              </w:rPr>
            </w:pPr>
            <w:proofErr w:type="spellStart"/>
            <w:r>
              <w:rPr>
                <w:rFonts w:cstheme="minorHAnsi"/>
                <w:lang w:val="en-US"/>
              </w:rPr>
              <w:t>Lofwall</w:t>
            </w:r>
            <w:proofErr w:type="spellEnd"/>
            <w:r>
              <w:rPr>
                <w:rFonts w:cstheme="minorHAnsi"/>
                <w:lang w:val="en-US"/>
              </w:rPr>
              <w:t xml:space="preserve"> et al. (2018): Responder rate (n</w:t>
            </w:r>
            <w:r w:rsidRPr="00E23E23">
              <w:rPr>
                <w:rFonts w:cstheme="minorHAnsi"/>
                <w:lang w:val="en-US"/>
              </w:rPr>
              <w:t>o evidence of illicit</w:t>
            </w:r>
            <w:r>
              <w:rPr>
                <w:rFonts w:cstheme="minorHAnsi"/>
                <w:lang w:val="en-US"/>
              </w:rPr>
              <w:t xml:space="preserve"> </w:t>
            </w:r>
            <w:r w:rsidRPr="00E23E23">
              <w:rPr>
                <w:rFonts w:cstheme="minorHAnsi"/>
                <w:lang w:val="en-US"/>
              </w:rPr>
              <w:t>opioid use via urine test result and</w:t>
            </w:r>
            <w:r>
              <w:rPr>
                <w:rFonts w:cstheme="minorHAnsi"/>
                <w:lang w:val="en-US"/>
              </w:rPr>
              <w:t xml:space="preserve"> </w:t>
            </w:r>
            <w:r w:rsidRPr="00E23E23">
              <w:rPr>
                <w:rFonts w:cstheme="minorHAnsi"/>
                <w:lang w:val="en-US"/>
              </w:rPr>
              <w:t>self‐report‐TLFB used)</w:t>
            </w:r>
            <w:r>
              <w:rPr>
                <w:rFonts w:cstheme="minorHAnsi"/>
                <w:lang w:val="en-US"/>
              </w:rPr>
              <w:t xml:space="preserve">. Urine </w:t>
            </w:r>
            <w:r w:rsidRPr="00E23E23">
              <w:rPr>
                <w:rFonts w:cstheme="minorHAnsi"/>
                <w:lang w:val="en-US"/>
              </w:rPr>
              <w:t>samples obtained</w:t>
            </w:r>
            <w:r>
              <w:rPr>
                <w:rFonts w:cstheme="minorHAnsi"/>
                <w:lang w:val="en-US"/>
              </w:rPr>
              <w:t xml:space="preserve"> </w:t>
            </w:r>
            <w:r w:rsidRPr="00E23E23">
              <w:rPr>
                <w:rFonts w:cstheme="minorHAnsi"/>
                <w:lang w:val="en-US"/>
              </w:rPr>
              <w:t>at each study visit (weeks 1‐12,</w:t>
            </w:r>
            <w:r>
              <w:rPr>
                <w:rFonts w:cstheme="minorHAnsi"/>
                <w:lang w:val="en-US"/>
              </w:rPr>
              <w:t xml:space="preserve"> </w:t>
            </w:r>
            <w:r w:rsidRPr="00E23E23">
              <w:rPr>
                <w:rFonts w:cstheme="minorHAnsi"/>
                <w:lang w:val="en-US"/>
              </w:rPr>
              <w:t>16, 20, and 24) plus 3 random</w:t>
            </w:r>
            <w:r>
              <w:rPr>
                <w:rFonts w:cstheme="minorHAnsi"/>
                <w:lang w:val="en-US"/>
              </w:rPr>
              <w:t xml:space="preserve"> </w:t>
            </w:r>
            <w:r w:rsidRPr="00E23E23">
              <w:rPr>
                <w:rFonts w:cstheme="minorHAnsi"/>
                <w:lang w:val="en-US"/>
              </w:rPr>
              <w:t>visits during weeks 12‐24</w:t>
            </w:r>
            <w:r>
              <w:rPr>
                <w:rFonts w:cstheme="minorHAnsi"/>
                <w:lang w:val="en-US"/>
              </w:rPr>
              <w:t>.</w:t>
            </w:r>
          </w:p>
        </w:tc>
        <w:tc>
          <w:tcPr>
            <w:tcW w:w="4183" w:type="dxa"/>
            <w:shd w:val="clear" w:color="auto" w:fill="EEECE1" w:themeFill="background2"/>
          </w:tcPr>
          <w:p w14:paraId="6AC8BC5F" w14:textId="055DFA5D" w:rsidR="000521C8" w:rsidRPr="00604651" w:rsidRDefault="000521C8" w:rsidP="00683BE1">
            <w:pPr>
              <w:rPr>
                <w:rFonts w:cstheme="minorHAnsi"/>
                <w:lang w:val="en-US"/>
              </w:rPr>
            </w:pPr>
            <w:r w:rsidRPr="00604651">
              <w:rPr>
                <w:rFonts w:cstheme="minorHAnsi"/>
                <w:lang w:val="en-US"/>
              </w:rPr>
              <w:lastRenderedPageBreak/>
              <w:t>Abstinence (complete)</w:t>
            </w:r>
          </w:p>
        </w:tc>
      </w:tr>
      <w:tr w:rsidR="000521C8" w:rsidRPr="00322FE2" w14:paraId="4D08DA49" w14:textId="77777777" w:rsidTr="00F838A4">
        <w:tc>
          <w:tcPr>
            <w:tcW w:w="2760" w:type="dxa"/>
            <w:tcBorders>
              <w:top w:val="single" w:sz="4" w:space="0" w:color="auto"/>
              <w:bottom w:val="single" w:sz="4" w:space="0" w:color="auto"/>
            </w:tcBorders>
            <w:shd w:val="clear" w:color="auto" w:fill="EEECE1" w:themeFill="background2"/>
          </w:tcPr>
          <w:p w14:paraId="6FA2362D" w14:textId="77777777" w:rsidR="000521C8" w:rsidRDefault="000521C8" w:rsidP="00683BE1">
            <w:pPr>
              <w:rPr>
                <w:rFonts w:cstheme="minorHAnsi"/>
                <w:lang w:val="en-US"/>
              </w:rPr>
            </w:pPr>
            <w:r>
              <w:rPr>
                <w:rFonts w:cstheme="minorHAnsi"/>
                <w:lang w:val="en-US"/>
              </w:rPr>
              <w:t xml:space="preserve">Abstinence weeks </w:t>
            </w:r>
            <w:r>
              <w:rPr>
                <w:rFonts w:cstheme="minorHAnsi"/>
                <w:lang w:val="en-US"/>
              </w:rPr>
              <w:fldChar w:fldCharType="begin" w:fldLock="1"/>
            </w:r>
            <w:r>
              <w:rPr>
                <w:rFonts w:cstheme="minorHAnsi"/>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trial","type":"article-journal"},"uris":["http://www.mendeley.com/documents/?uuid=b631ad6b-377d-47b6-b2ec-4c29b54a7ce7"]}],"mendeley":{"formattedCitation":"(Krupitsky et al., 2011)","plainTextFormattedCitation":"(Krupitsky et al., 2011)","previouslyFormattedCitation":"(Krupitsky et al., 2011)"},"properties":{"noteIndex":0},"schema":"https://github.com/citation-style-language/schema/raw/master/csl-citation.json"}</w:instrText>
            </w:r>
            <w:r>
              <w:rPr>
                <w:rFonts w:cstheme="minorHAnsi"/>
                <w:lang w:val="en-US"/>
              </w:rPr>
              <w:fldChar w:fldCharType="separate"/>
            </w:r>
            <w:r w:rsidRPr="00322FE2">
              <w:rPr>
                <w:rFonts w:cstheme="minorHAnsi"/>
                <w:noProof/>
                <w:lang w:val="en-US"/>
              </w:rPr>
              <w:t>(Krupitsky et al., 2011)</w:t>
            </w:r>
            <w:r>
              <w:rPr>
                <w:rFonts w:cstheme="minorHAnsi"/>
                <w:lang w:val="en-US"/>
              </w:rPr>
              <w:fldChar w:fldCharType="end"/>
            </w:r>
          </w:p>
          <w:p w14:paraId="631DE1C3" w14:textId="19B5D467" w:rsidR="000521C8" w:rsidRPr="00604651" w:rsidRDefault="000521C8" w:rsidP="00683BE1">
            <w:pPr>
              <w:rPr>
                <w:rFonts w:cstheme="minorHAnsi"/>
                <w:lang w:val="en-US"/>
              </w:rPr>
            </w:pPr>
            <w:r>
              <w:rPr>
                <w:rFonts w:cstheme="minorHAnsi"/>
                <w:lang w:val="en-US"/>
              </w:rPr>
              <w:fldChar w:fldCharType="begin" w:fldLock="1"/>
            </w:r>
            <w:r>
              <w:rPr>
                <w:rFonts w:cstheme="minorHAnsi"/>
                <w:lang w:val="en-US"/>
              </w:rPr>
              <w:instrText>ADDIN CSL_CITATION {"citationItems":[{"id":"ITEM-1","itemData":{"DOI":"10.1056/nejmoa055255","ISSN":"0028-4793","PMID":"16870915","abstract":"Background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Medicine","id":"ITEM-1","issued":{"date-parts":[["2006"]]},"title":"Counseling plus Buprenorphine–Naloxone Maintenance Therapy for Opioid Dependence","type":"article-journal"},"uris":["http://www.mendeley.com/documents/?uuid=b84a083a-eb18-4c35-86b5-6129d32013e5"]}],"mendeley":{"formattedCitation":"(Fiellin et al., 2006)","plainTextFormattedCitation":"(Fiellin et al., 2006)","previouslyFormattedCitation":"(Fiellin et al., 2006)"},"properties":{"noteIndex":0},"schema":"https://github.com/citation-style-language/schema/raw/master/csl-citation.json"}</w:instrText>
            </w:r>
            <w:r>
              <w:rPr>
                <w:rFonts w:cstheme="minorHAnsi"/>
                <w:lang w:val="en-US"/>
              </w:rPr>
              <w:fldChar w:fldCharType="separate"/>
            </w:r>
            <w:r w:rsidRPr="00BD4001">
              <w:rPr>
                <w:rFonts w:cstheme="minorHAnsi"/>
                <w:noProof/>
                <w:lang w:val="en-US"/>
              </w:rPr>
              <w:t>(Fiellin et al., 2006)</w:t>
            </w:r>
            <w:r>
              <w:rPr>
                <w:rFonts w:cstheme="minorHAnsi"/>
                <w:lang w:val="en-US"/>
              </w:rPr>
              <w:fldChar w:fldCharType="end"/>
            </w:r>
          </w:p>
        </w:tc>
        <w:tc>
          <w:tcPr>
            <w:tcW w:w="7272" w:type="dxa"/>
            <w:tcBorders>
              <w:top w:val="single" w:sz="4" w:space="0" w:color="auto"/>
              <w:bottom w:val="single" w:sz="4" w:space="0" w:color="auto"/>
            </w:tcBorders>
            <w:shd w:val="clear" w:color="auto" w:fill="EEECE1" w:themeFill="background2"/>
          </w:tcPr>
          <w:p w14:paraId="0C6AD3E1" w14:textId="7B92685A" w:rsidR="000521C8" w:rsidRPr="00604651" w:rsidRDefault="000521C8" w:rsidP="00BD4001">
            <w:pPr>
              <w:autoSpaceDE w:val="0"/>
              <w:autoSpaceDN w:val="0"/>
              <w:adjustRightInd w:val="0"/>
              <w:rPr>
                <w:rFonts w:cstheme="minorHAnsi"/>
                <w:lang w:val="en-US"/>
              </w:rPr>
            </w:pPr>
            <w:r w:rsidRPr="00322FE2">
              <w:rPr>
                <w:rFonts w:cstheme="minorHAnsi"/>
                <w:lang w:val="en-US"/>
              </w:rPr>
              <w:t>No. of confirmed opioid abstinence</w:t>
            </w:r>
            <w:r>
              <w:rPr>
                <w:rFonts w:cstheme="minorHAnsi"/>
                <w:lang w:val="en-US"/>
              </w:rPr>
              <w:t xml:space="preserve"> </w:t>
            </w:r>
            <w:r w:rsidRPr="00322FE2">
              <w:rPr>
                <w:rFonts w:cstheme="minorHAnsi"/>
                <w:lang w:val="en-US"/>
              </w:rPr>
              <w:t>weeks,</w:t>
            </w:r>
            <w:r>
              <w:rPr>
                <w:rFonts w:cstheme="minorHAnsi"/>
                <w:lang w:val="en-US"/>
              </w:rPr>
              <w:t xml:space="preserve"> </w:t>
            </w:r>
            <w:r w:rsidRPr="00322FE2">
              <w:rPr>
                <w:rFonts w:cstheme="minorHAnsi"/>
                <w:lang w:val="en-US"/>
              </w:rPr>
              <w:t xml:space="preserve">assessed by </w:t>
            </w:r>
            <w:r>
              <w:rPr>
                <w:rFonts w:cstheme="minorHAnsi"/>
                <w:lang w:val="en-US"/>
              </w:rPr>
              <w:t xml:space="preserve">UDS </w:t>
            </w:r>
            <w:r w:rsidRPr="00322FE2">
              <w:rPr>
                <w:rFonts w:cstheme="minorHAnsi"/>
                <w:lang w:val="en-US"/>
              </w:rPr>
              <w:t>(obtained weekly) and self‐report</w:t>
            </w:r>
            <w:r>
              <w:rPr>
                <w:rFonts w:cstheme="minorHAnsi"/>
                <w:lang w:val="en-US"/>
              </w:rPr>
              <w:t xml:space="preserve"> </w:t>
            </w:r>
            <w:r w:rsidRPr="00322FE2">
              <w:rPr>
                <w:rFonts w:cstheme="minorHAnsi"/>
                <w:lang w:val="en-US"/>
              </w:rPr>
              <w:t>of nonuse (TLFB)</w:t>
            </w:r>
          </w:p>
        </w:tc>
        <w:tc>
          <w:tcPr>
            <w:tcW w:w="4183" w:type="dxa"/>
            <w:tcBorders>
              <w:top w:val="single" w:sz="4" w:space="0" w:color="auto"/>
              <w:bottom w:val="single" w:sz="4" w:space="0" w:color="auto"/>
            </w:tcBorders>
            <w:shd w:val="clear" w:color="auto" w:fill="EEECE1" w:themeFill="background2"/>
          </w:tcPr>
          <w:p w14:paraId="794F10A3" w14:textId="0C69A92E" w:rsidR="000521C8" w:rsidRPr="00604651" w:rsidRDefault="000521C8" w:rsidP="00683BE1">
            <w:pPr>
              <w:rPr>
                <w:rFonts w:cstheme="minorHAnsi"/>
                <w:lang w:val="en-US"/>
              </w:rPr>
            </w:pPr>
            <w:r>
              <w:rPr>
                <w:rFonts w:cstheme="minorHAnsi"/>
                <w:lang w:val="en-US"/>
              </w:rPr>
              <w:t>Abstinence (periods)</w:t>
            </w:r>
          </w:p>
        </w:tc>
      </w:tr>
      <w:tr w:rsidR="000521C8" w:rsidRPr="00605DBB" w14:paraId="46FFA887" w14:textId="1CBADF58" w:rsidTr="00F838A4">
        <w:tc>
          <w:tcPr>
            <w:tcW w:w="2760" w:type="dxa"/>
            <w:tcBorders>
              <w:top w:val="single" w:sz="12" w:space="0" w:color="auto"/>
            </w:tcBorders>
          </w:tcPr>
          <w:p w14:paraId="31A320AF" w14:textId="77777777" w:rsidR="000521C8" w:rsidRPr="00604651" w:rsidRDefault="000521C8" w:rsidP="00683BE1">
            <w:pPr>
              <w:rPr>
                <w:rFonts w:cstheme="minorHAnsi"/>
                <w:lang w:val="en-US"/>
              </w:rPr>
            </w:pPr>
            <w:r w:rsidRPr="00604651">
              <w:rPr>
                <w:rFonts w:cstheme="minorHAnsi"/>
                <w:lang w:val="en-US"/>
              </w:rPr>
              <w:t>Relapse</w:t>
            </w:r>
          </w:p>
        </w:tc>
        <w:tc>
          <w:tcPr>
            <w:tcW w:w="7272" w:type="dxa"/>
            <w:tcBorders>
              <w:top w:val="single" w:sz="12" w:space="0" w:color="auto"/>
            </w:tcBorders>
          </w:tcPr>
          <w:p w14:paraId="5A299B23" w14:textId="77777777" w:rsidR="000521C8" w:rsidRPr="00604651" w:rsidRDefault="000521C8" w:rsidP="00683BE1">
            <w:pPr>
              <w:autoSpaceDE w:val="0"/>
              <w:autoSpaceDN w:val="0"/>
              <w:adjustRightInd w:val="0"/>
              <w:rPr>
                <w:rFonts w:cstheme="minorHAnsi"/>
                <w:lang w:val="en-US"/>
              </w:rPr>
            </w:pPr>
            <w:r w:rsidRPr="00604651">
              <w:rPr>
                <w:rFonts w:cstheme="minorHAnsi"/>
                <w:lang w:val="en-US"/>
              </w:rPr>
              <w:t xml:space="preserve">3 </w:t>
            </w:r>
            <w:proofErr w:type="gramStart"/>
            <w:r w:rsidRPr="00604651">
              <w:rPr>
                <w:rFonts w:cstheme="minorHAnsi"/>
                <w:lang w:val="en-US"/>
              </w:rPr>
              <w:t>consecutive</w:t>
            </w:r>
            <w:proofErr w:type="gramEnd"/>
            <w:r w:rsidRPr="00604651">
              <w:rPr>
                <w:rFonts w:cstheme="minorHAnsi"/>
                <w:lang w:val="en-US"/>
              </w:rPr>
              <w:t xml:space="preserve"> positive UDS</w:t>
            </w:r>
          </w:p>
        </w:tc>
        <w:tc>
          <w:tcPr>
            <w:tcW w:w="4183" w:type="dxa"/>
            <w:tcBorders>
              <w:top w:val="single" w:sz="12" w:space="0" w:color="auto"/>
            </w:tcBorders>
          </w:tcPr>
          <w:p w14:paraId="09316516" w14:textId="77777777" w:rsidR="000521C8" w:rsidRPr="00604651" w:rsidRDefault="000521C8" w:rsidP="00683BE1">
            <w:pPr>
              <w:rPr>
                <w:rFonts w:cstheme="minorHAnsi"/>
                <w:lang w:val="en-US"/>
              </w:rPr>
            </w:pPr>
            <w:r w:rsidRPr="00604651">
              <w:rPr>
                <w:rFonts w:cstheme="minorHAnsi"/>
                <w:lang w:val="en-US"/>
              </w:rPr>
              <w:t>Relapse</w:t>
            </w:r>
          </w:p>
        </w:tc>
      </w:tr>
      <w:tr w:rsidR="000521C8" w:rsidRPr="00605DBB" w14:paraId="5D01B582" w14:textId="360B819D" w:rsidTr="00F838A4">
        <w:tc>
          <w:tcPr>
            <w:tcW w:w="2760" w:type="dxa"/>
          </w:tcPr>
          <w:p w14:paraId="150D4DBA" w14:textId="7576AC8B" w:rsidR="000521C8" w:rsidRPr="00604651" w:rsidRDefault="000521C8" w:rsidP="00683BE1">
            <w:pPr>
              <w:rPr>
                <w:rFonts w:cstheme="minorHAnsi"/>
                <w:lang w:val="en-US"/>
              </w:rPr>
            </w:pPr>
            <w:r w:rsidRPr="00604651">
              <w:rPr>
                <w:rFonts w:cstheme="minorHAnsi"/>
                <w:lang w:val="en-US"/>
              </w:rPr>
              <w:t>Time to relapse (strict)</w:t>
            </w:r>
          </w:p>
        </w:tc>
        <w:tc>
          <w:tcPr>
            <w:tcW w:w="7272" w:type="dxa"/>
          </w:tcPr>
          <w:p w14:paraId="3A6B9E67" w14:textId="77777777" w:rsidR="000521C8" w:rsidRPr="00604651" w:rsidRDefault="000521C8" w:rsidP="00683BE1">
            <w:pPr>
              <w:autoSpaceDE w:val="0"/>
              <w:autoSpaceDN w:val="0"/>
              <w:adjustRightInd w:val="0"/>
              <w:rPr>
                <w:rFonts w:cstheme="minorHAnsi"/>
                <w:lang w:val="en-US"/>
              </w:rPr>
            </w:pPr>
            <w:r w:rsidRPr="00604651">
              <w:rPr>
                <w:rFonts w:cstheme="minorHAnsi"/>
                <w:lang w:val="en-US"/>
              </w:rPr>
              <w:t>Number of days between baseline and occurrence of the first positive UDS</w:t>
            </w:r>
          </w:p>
        </w:tc>
        <w:tc>
          <w:tcPr>
            <w:tcW w:w="4183" w:type="dxa"/>
          </w:tcPr>
          <w:p w14:paraId="4DA8BA59" w14:textId="77777777" w:rsidR="000521C8" w:rsidRPr="00604651" w:rsidRDefault="000521C8" w:rsidP="00683BE1">
            <w:pPr>
              <w:rPr>
                <w:rFonts w:cstheme="minorHAnsi"/>
                <w:lang w:val="en-US"/>
              </w:rPr>
            </w:pPr>
            <w:r w:rsidRPr="00604651">
              <w:rPr>
                <w:rFonts w:cstheme="minorHAnsi"/>
                <w:lang w:val="en-US"/>
              </w:rPr>
              <w:t>Relapse</w:t>
            </w:r>
          </w:p>
        </w:tc>
      </w:tr>
      <w:tr w:rsidR="000521C8" w:rsidRPr="00605DBB" w14:paraId="5C06FD32" w14:textId="0B437C88" w:rsidTr="00F838A4">
        <w:tc>
          <w:tcPr>
            <w:tcW w:w="2760" w:type="dxa"/>
          </w:tcPr>
          <w:p w14:paraId="63E00068" w14:textId="40FEB68B" w:rsidR="000521C8" w:rsidRPr="00604651" w:rsidRDefault="000521C8" w:rsidP="00683BE1">
            <w:pPr>
              <w:rPr>
                <w:rFonts w:cstheme="minorHAnsi"/>
                <w:lang w:val="en-US"/>
              </w:rPr>
            </w:pPr>
            <w:r w:rsidRPr="00604651">
              <w:rPr>
                <w:rFonts w:cstheme="minorHAnsi"/>
                <w:lang w:val="en-US"/>
              </w:rPr>
              <w:t>Time to relapse (more lenient)</w:t>
            </w:r>
          </w:p>
        </w:tc>
        <w:tc>
          <w:tcPr>
            <w:tcW w:w="7272" w:type="dxa"/>
          </w:tcPr>
          <w:p w14:paraId="237C7385" w14:textId="77777777" w:rsidR="000521C8" w:rsidRPr="00604651" w:rsidRDefault="000521C8" w:rsidP="00683BE1">
            <w:pPr>
              <w:autoSpaceDE w:val="0"/>
              <w:autoSpaceDN w:val="0"/>
              <w:adjustRightInd w:val="0"/>
              <w:rPr>
                <w:rFonts w:cstheme="minorHAnsi"/>
                <w:lang w:val="en-US"/>
              </w:rPr>
            </w:pPr>
            <w:r w:rsidRPr="00604651">
              <w:rPr>
                <w:rFonts w:cstheme="minorHAnsi"/>
                <w:lang w:val="en-US"/>
              </w:rPr>
              <w:t xml:space="preserve">Days to 3 </w:t>
            </w:r>
            <w:proofErr w:type="gramStart"/>
            <w:r w:rsidRPr="00604651">
              <w:rPr>
                <w:rFonts w:cstheme="minorHAnsi"/>
                <w:lang w:val="en-US"/>
              </w:rPr>
              <w:t>consecutive</w:t>
            </w:r>
            <w:proofErr w:type="gramEnd"/>
            <w:r w:rsidRPr="00604651">
              <w:rPr>
                <w:rFonts w:cstheme="minorHAnsi"/>
                <w:lang w:val="en-US"/>
              </w:rPr>
              <w:t xml:space="preserve"> positive UDS</w:t>
            </w:r>
          </w:p>
        </w:tc>
        <w:tc>
          <w:tcPr>
            <w:tcW w:w="4183" w:type="dxa"/>
          </w:tcPr>
          <w:p w14:paraId="78688017" w14:textId="77777777" w:rsidR="000521C8" w:rsidRPr="00604651" w:rsidRDefault="000521C8" w:rsidP="00683BE1">
            <w:pPr>
              <w:rPr>
                <w:rFonts w:cstheme="minorHAnsi"/>
                <w:lang w:val="en-US"/>
              </w:rPr>
            </w:pPr>
            <w:r w:rsidRPr="00604651">
              <w:rPr>
                <w:rFonts w:cstheme="minorHAnsi"/>
                <w:lang w:val="en-US"/>
              </w:rPr>
              <w:t>Relapse</w:t>
            </w:r>
          </w:p>
        </w:tc>
      </w:tr>
      <w:tr w:rsidR="000521C8" w:rsidRPr="00131E51" w14:paraId="448480A4" w14:textId="77777777" w:rsidTr="00F838A4">
        <w:tc>
          <w:tcPr>
            <w:tcW w:w="2760" w:type="dxa"/>
            <w:tcBorders>
              <w:bottom w:val="single" w:sz="6" w:space="0" w:color="auto"/>
            </w:tcBorders>
          </w:tcPr>
          <w:p w14:paraId="76CC5984" w14:textId="77777777" w:rsidR="000521C8" w:rsidRPr="00604651" w:rsidRDefault="000521C8" w:rsidP="004806A7">
            <w:pPr>
              <w:rPr>
                <w:rFonts w:cstheme="minorHAnsi"/>
                <w:lang w:val="en-US"/>
              </w:rPr>
            </w:pPr>
            <w:r w:rsidRPr="00604651">
              <w:rPr>
                <w:rFonts w:cstheme="minorHAnsi"/>
                <w:lang w:val="en-US"/>
              </w:rPr>
              <w:t>% of participants in a drug free period</w:t>
            </w:r>
          </w:p>
        </w:tc>
        <w:tc>
          <w:tcPr>
            <w:tcW w:w="7272" w:type="dxa"/>
            <w:tcBorders>
              <w:bottom w:val="single" w:sz="6" w:space="0" w:color="auto"/>
            </w:tcBorders>
          </w:tcPr>
          <w:p w14:paraId="18930B8D" w14:textId="77777777" w:rsidR="000521C8" w:rsidRPr="00604651" w:rsidRDefault="000521C8" w:rsidP="004806A7">
            <w:pPr>
              <w:autoSpaceDE w:val="0"/>
              <w:autoSpaceDN w:val="0"/>
              <w:adjustRightInd w:val="0"/>
              <w:rPr>
                <w:rFonts w:cstheme="minorHAnsi"/>
                <w:lang w:val="en-US"/>
              </w:rPr>
            </w:pPr>
            <w:r w:rsidRPr="00604651">
              <w:rPr>
                <w:rFonts w:cstheme="minorHAnsi"/>
                <w:lang w:val="en-US"/>
              </w:rPr>
              <w:t>Time elapsed between the first day of naltrexone administration and the first evidence of use (positive UDS)</w:t>
            </w:r>
          </w:p>
        </w:tc>
        <w:tc>
          <w:tcPr>
            <w:tcW w:w="4183" w:type="dxa"/>
            <w:tcBorders>
              <w:bottom w:val="single" w:sz="6" w:space="0" w:color="auto"/>
            </w:tcBorders>
          </w:tcPr>
          <w:p w14:paraId="5C2ED798" w14:textId="77777777" w:rsidR="000521C8" w:rsidRPr="00604651" w:rsidRDefault="000521C8" w:rsidP="004806A7">
            <w:pPr>
              <w:rPr>
                <w:rFonts w:cstheme="minorHAnsi"/>
                <w:lang w:val="en-US"/>
              </w:rPr>
            </w:pPr>
            <w:r w:rsidRPr="00604651">
              <w:rPr>
                <w:rFonts w:cstheme="minorHAnsi"/>
                <w:lang w:val="en-US"/>
              </w:rPr>
              <w:t>Relapse</w:t>
            </w:r>
          </w:p>
        </w:tc>
      </w:tr>
      <w:tr w:rsidR="000521C8" w:rsidRPr="003A7C0D" w14:paraId="75A479F2" w14:textId="77777777" w:rsidTr="00F838A4">
        <w:tc>
          <w:tcPr>
            <w:tcW w:w="2760" w:type="dxa"/>
            <w:tcBorders>
              <w:top w:val="single" w:sz="6" w:space="0" w:color="auto"/>
              <w:bottom w:val="single" w:sz="12" w:space="0" w:color="auto"/>
            </w:tcBorders>
            <w:shd w:val="clear" w:color="auto" w:fill="EEECE1" w:themeFill="background2"/>
          </w:tcPr>
          <w:p w14:paraId="396F4EF9" w14:textId="0A8B02C6" w:rsidR="000521C8" w:rsidRDefault="000521C8" w:rsidP="003A7C0D">
            <w:pPr>
              <w:autoSpaceDE w:val="0"/>
              <w:autoSpaceDN w:val="0"/>
              <w:adjustRightInd w:val="0"/>
              <w:rPr>
                <w:rFonts w:cstheme="minorHAnsi"/>
                <w:lang w:val="en-US"/>
              </w:rPr>
            </w:pPr>
            <w:r w:rsidRPr="003A7C0D">
              <w:rPr>
                <w:rFonts w:cstheme="minorHAnsi"/>
                <w:lang w:val="en-US"/>
              </w:rPr>
              <w:t xml:space="preserve">Time to </w:t>
            </w:r>
            <w:r>
              <w:rPr>
                <w:rFonts w:cstheme="minorHAnsi"/>
                <w:lang w:val="en-US"/>
              </w:rPr>
              <w:t xml:space="preserve">Opioid Use </w:t>
            </w:r>
          </w:p>
          <w:p w14:paraId="62125D1D" w14:textId="77777777" w:rsidR="000521C8" w:rsidRDefault="000521C8" w:rsidP="003A7C0D">
            <w:pPr>
              <w:autoSpaceDE w:val="0"/>
              <w:autoSpaceDN w:val="0"/>
              <w:adjustRightInd w:val="0"/>
              <w:rPr>
                <w:rFonts w:cstheme="minorHAnsi"/>
                <w:lang w:val="en-US"/>
              </w:rPr>
            </w:pPr>
            <w:r>
              <w:rPr>
                <w:rFonts w:cstheme="minorHAnsi"/>
                <w:lang w:val="en-US"/>
              </w:rPr>
              <w:fldChar w:fldCharType="begin" w:fldLock="1"/>
            </w:r>
            <w:r>
              <w:rPr>
                <w:rFonts w:cstheme="minorHAnsi"/>
                <w:lang w:val="en-US"/>
              </w:rPr>
              <w:instrText>ADDIN CSL_CITATION {"citationItems":[{"id":"ITEM-1","itemData":{"DOI":"10.1056/nejmoa1505409","ISSN":"0028-4793","PMID":"27028913","abstract":"© 2016 Massachusetts Medical Society. All rights reserved. Background Extended-release naltrexone, a sustained-release monthly injectable formulation of the full mu-opioid receptor antagonist, is effective for the prevention of relapse to opioid dependence. Data supporting its effectiveness in U.S. criminal justice populations are limited. METHODS In this five-site, open-label, randomized trial, we compared a 24-week course of extendedrelease naltrexone (Vivitrol) with usual treatment, consisting of brief counseling and referrals for community treatment programs, for the prevention of opioid relapse among adult criminal justice offenders (i.e., persons involved in the U.S. criminal justice system) who had a history of opioid dependence and a preference for opioid-free rather than opioid maintenance treatments and who were abstinent from opioids at the time of randomization. The primary outcome was the time to an opioid-relapse event, which was defined as 10 or more days of opioid use in a 28-day period as assessed by self-report or by testing of urine samples obtained every 2 weeks; a positive or missing sample was computed as 5 days of opioid use. Post-treatment follow-up occurred at weeks 27, 52, and 78. RESULTS A total of 153 participants were assigned to extended-release naltrexone and 155 to usual treatment. During the 24-week treatment phase, participants assigned to extendedrelease naltrexone had a longer median time to relapse than did those assigned to usual treatment (10.5 vs. 5.0 weeks, P&lt;0.001; hazard ratio, 0.49; 95% confidence interval [CI], 0.36 to 0.68), a lower rate of relapse (43% vs. 64% of participants, P&lt;0.001; odds ratio, 0.43; 95% CI, 0.28 to 0.65), and a higher rate of opioid-negative urine samples (74% vs. 56%, P&lt;0.001; odds ratio, 2.30; 95% CI, 1.48 to 3.54). At week 78 (approximately 1 year after the end of the treatment phase), rates of opioid-negative urine samples were equal (46% in each group, P = 0.91). The rates of other prespecified secondary outcome measures-self-reported cocaine, alcohol, and intravenous drug use, unsafe sex, and reincarceration-were not significantly lower with extended-release naltrexone than with usual treatment. Over the total 78 weeks observed, there were no overdose events in the extended-release naltrexone group and seven in the usual-treatment group (P = 0.02). CONCLUSIONS In this trial involving criminal justice offenders, extended-release naltrexone was associated with a rate of opioid relap…","author":[{"dropping-particle":"","family":"Lee","given":"Joshua D.","non-dropping-particle":"","parse-names":false,"suffix":""},{"dropping-particle":"","family":"Friedmann","given":"Peter D.","non-dropping-particle":"","parse-names":false,"suffix":""},{"dropping-particle":"","family":"Kinlock","given":"Timothy W.","non-dropping-particle":"","parse-names":false,"suffix":""},{"dropping-particle":"V.","family":"Nunes","given":"Edward","non-dropping-particle":"","parse-names":false,"suffix":""},{"dropping-particle":"","family":"Boney","given":"Tamara Y.","non-dropping-particle":"","parse-names":false,"suffix":""},{"dropping-particle":"","family":"Hoskinson","given":"Randall A.","non-dropping-particle":"","parse-names":false,"suffix":""},{"dropping-particle":"","family":"Wilson","given":"Donna","non-dropping-particle":"","parse-names":false,"suffix":""},{"dropping-particle":"","family":"McDonald","given":"Ryan","non-dropping-particle":"","parse-names":false,"suffix":""},{"dropping-particle":"","family":"Rotrosen","given":"John","non-dropping-particle":"","parse-names":false,"suffix":""},{"dropping-particle":"","family":"Gourevitch","given":"Marc N.","non-dropping-particle":"","parse-names":false,"suffix":""},{"dropping-particle":"","family":"Gordon","given":"Michael","non-dropping-particle":"","parse-names":false,"suffix":""},{"dropping-particle":"","family":"Fishman","given":"Marc","non-dropping-particle":"","parse-names":false,"suffix":""},{"dropping-particle":"","family":"Chen","given":"Donna T.","non-dropping-particle":"","parse-names":false,"suffix":""},{"dropping-particle":"","family":"Bonnie","given":"Richard J.","non-dropping-particle":"","parse-names":false,"suffix":""},{"dropping-particle":"","family":"Cornish","given":"James W.","non-dropping-particle":"","parse-names":false,"suffix":""},{"dropping-particle":"","family":"Murphy","given":"Sean M.","non-dropping-particle":"","parse-names":false,"suffix":""},{"dropping-particle":"","family":"O’Brien","given":"Charles P.","non-dropping-particle":"","parse-names":false,"suffix":""}],"container-title":"New England Journal of Medicine","id":"ITEM-1","issued":{"date-parts":[["2016"]]},"title":"Extended-Release Naltrexone to Prevent Opioid Relapse in Criminal Justice Offenders","type":"article-journal"},"uris":["http://www.mendeley.com/documents/?uuid=bc42d5c4-a521-4af9-b4b1-c0242675d979"]}],"mendeley":{"formattedCitation":"(Lee et al., 2016)","plainTextFormattedCitation":"(Lee et al., 2016)","previouslyFormattedCitation":"(Lee et al., 2016)"},"properties":{"noteIndex":0},"schema":"https://github.com/citation-style-language/schema/raw/master/csl-citation.json"}</w:instrText>
            </w:r>
            <w:r>
              <w:rPr>
                <w:rFonts w:cstheme="minorHAnsi"/>
                <w:lang w:val="en-US"/>
              </w:rPr>
              <w:fldChar w:fldCharType="separate"/>
            </w:r>
            <w:r w:rsidRPr="00131E51">
              <w:rPr>
                <w:rFonts w:cstheme="minorHAnsi"/>
                <w:noProof/>
                <w:lang w:val="en-US"/>
              </w:rPr>
              <w:t>(Lee et al., 2016)</w:t>
            </w:r>
            <w:r>
              <w:rPr>
                <w:rFonts w:cstheme="minorHAnsi"/>
                <w:lang w:val="en-US"/>
              </w:rPr>
              <w:fldChar w:fldCharType="end"/>
            </w:r>
          </w:p>
          <w:p w14:paraId="704D5E5F" w14:textId="77777777" w:rsidR="000521C8" w:rsidRDefault="000521C8" w:rsidP="003A7C0D">
            <w:pPr>
              <w:autoSpaceDE w:val="0"/>
              <w:autoSpaceDN w:val="0"/>
              <w:adjustRightInd w:val="0"/>
              <w:rPr>
                <w:rFonts w:cstheme="minorHAnsi"/>
                <w:lang w:val="en-US"/>
              </w:rPr>
            </w:pPr>
            <w:r>
              <w:rPr>
                <w:rFonts w:cstheme="minorHAnsi"/>
                <w:lang w:val="en-US"/>
              </w:rPr>
              <w:fldChar w:fldCharType="begin" w:fldLock="1"/>
            </w:r>
            <w:r>
              <w:rPr>
                <w:rFonts w:cstheme="minorHAnsi"/>
                <w:lang w:val="en-US"/>
              </w:rPr>
              <w:instrText>ADDIN CSL_CITATION {"citationItems":[{"id":"ITEM-1","itemData":{"DOI":"10.1111/add.13259","ISSN":"13600443","PMID":"26639678","abstract":"Aims: With the broad goals of developing a clinical research and training program and disseminating effective opioid use disorder treatments in Iran, this pilot clinical trial compared the effectiveness of oral naltrexone (NTX) and sublingual buprenorphine/naloxone (BNX). Design: Twelve-week single-site, two-group parallel randomized double-blind clinical trial. Setting: An out-patient clinical research program in Tehran, Iran. Participants: Following medically assisted withdrawal, participants with opioid use disorder were assigned randomly to NTX (n = 51) or BNX (n = 51). Intervention: Medications were administered three times per week, double-blind, double-dummy for 12 weeks. All participants received weekly group drug counseling. Measurements: The primary outcome was initial duration of opioid abstinence verified by urine toxicology tests. Secondary outcomes included the number of opioid-negative urine tests, treatment retention and proportions with sustained, verified opioid-abstinence for 12 weeks. Findings: Mean [95% confidence interval (CI)] number of days of initial duration of verified abstinence was 28.8 (20.0-37.5) with BNX and 21.6 (14.4-28.7) with NTX (P = 0.205). The mean (95% CI) number of opioid-negative urine tests was 19.7 (17.7-21.6) with BNX and 15.4 (13.1-17.8) with NTX (P = 0.049). The mean (95% CI) number of days in treatment was 70.6 (63.6-77.7) with BNX versus 56.5 (47.8-65.3) with NTX (P = 0.013). The rate of sustained, 12-week opioid abstinence was 16% (8/51) in the BNX group and 8% (4/51) in the NTX group (P = 0.219). Conclusions: Among patients with opioid use disorder in Iran, sublingual buprenorphine/naloxone was associated with a greater number of opioid-negative urine tests and treatment retention than oral naltrexone, but not significantly greater initial abstinence duration or proportions with sustained abstinence.","author":[{"dropping-particle":"","family":"Mokri","given":"Azarakhsh","non-dropping-particle":"","parse-names":false,"suffix":""},{"dropping-particle":"","family":"Chawarski","given":"Marek C.","non-dropping-particle":"","parse-names":false,"suffix":""},{"dropping-particle":"","family":"Taherinakhost","given":"Hamidreza","non-dropping-particle":"","parse-names":false,"suffix":""},{"dropping-particle":"","family":"Schottenfeld","given":"Richard S.","non-dropping-particle":"","parse-names":false,"suffix":""}],"container-title":"Addiction","id":"ITEM-1","issued":{"date-parts":[["2016"]]},"title":"Medical treatments for opioid use disorder in Iran: A randomized, double-blind placebo-controlled comparison of buprenorphine/naloxone and naltrexone maintenance treatment","type":"article-journal"},"uris":["http://www.mendeley.com/documents/?uuid=a75296a9-d8c6-4d82-bac3-5b5681482ce5"]}],"mendeley":{"formattedCitation":"(Mokri, Chawarski, Taherinakhost, &amp; Schottenfeld, 2016)","plainTextFormattedCitation":"(Mokri, Chawarski, Taherinakhost, &amp; Schottenfeld, 2016)","previouslyFormattedCitation":"(Mokri, Chawarski, Taherinakhost, &amp; Schottenfeld, 2016)"},"properties":{"noteIndex":0},"schema":"https://github.com/citation-style-language/schema/raw/master/csl-citation.json"}</w:instrText>
            </w:r>
            <w:r>
              <w:rPr>
                <w:rFonts w:cstheme="minorHAnsi"/>
                <w:lang w:val="en-US"/>
              </w:rPr>
              <w:fldChar w:fldCharType="separate"/>
            </w:r>
            <w:r w:rsidRPr="00E840BD">
              <w:rPr>
                <w:rFonts w:cstheme="minorHAnsi"/>
                <w:noProof/>
                <w:lang w:val="en-US"/>
              </w:rPr>
              <w:t>(Mokri, Chawarski, Taherinakhost, &amp; Schottenfeld, 2016)</w:t>
            </w:r>
            <w:r>
              <w:rPr>
                <w:rFonts w:cstheme="minorHAnsi"/>
                <w:lang w:val="en-US"/>
              </w:rPr>
              <w:fldChar w:fldCharType="end"/>
            </w:r>
          </w:p>
          <w:p w14:paraId="4D877ED4" w14:textId="6A596C66" w:rsidR="000521C8" w:rsidRPr="00604651" w:rsidRDefault="000521C8" w:rsidP="003A7C0D">
            <w:pPr>
              <w:autoSpaceDE w:val="0"/>
              <w:autoSpaceDN w:val="0"/>
              <w:adjustRightInd w:val="0"/>
              <w:rPr>
                <w:rFonts w:cstheme="minorHAnsi"/>
                <w:lang w:val="en-US"/>
              </w:rPr>
            </w:pPr>
            <w:r>
              <w:rPr>
                <w:rFonts w:cstheme="minorHAnsi"/>
                <w:lang w:val="en-US"/>
              </w:rPr>
              <w:fldChar w:fldCharType="begin" w:fldLock="1"/>
            </w:r>
            <w:r>
              <w:rPr>
                <w:rFonts w:cstheme="minorHAnsi"/>
                <w:lang w:val="en-US"/>
              </w:rPr>
              <w:instrText>ADDIN CSL_CITATION {"citationItems":[{"id":"ITEM-1","itemData":{"DOI":"10.1016/S0140-6736(17)32812-X","ISSN":"01406736","author":[{"dropping-particle":"","family":"Lee","given":"Joshua D","non-dropping-particle":"","parse-names":false,"suffix":""},{"dropping-particle":"V","family":"Nunes","given":"Edward","non-dropping-particle":"","parse-names":false,"suffix":""},{"dropping-particle":"","family":"Novo","given":"Patricia","non-dropping-particle":"","parse-names":false,"suffix":""},{"dropping-particle":"","family":"Bachrach","given":"Ken","non-dropping-particle":"","parse-names":false,"suffix":""},{"dropping-particle":"","family":"Bailey","given":"Genie L","non-dropping-particle":"","parse-names":false,"suffix":""},{"dropping-particle":"","family":"Bhatt","given":"Snehal","non-dropping-particle":"","parse-names":false,"suffix":""},{"dropping-particle":"","family":"Farkas","given":"Sarah","non-dropping-particle":"","parse-names":false,"suffix":""},{"dropping-particle":"","family":"Fishman","given":"Marc","non-dropping-particle":"","parse-names":false,"suffix":""},{"dropping-particle":"","family":"Gauthier","given":"Phoebe","non-dropping-particle":"","parse-names":false,"suffix":""},{"dropping-particle":"","family":"Hodgkins","given":"Candace C","non-dropping-particle":"","parse-names":false,"suffix":""},{"dropping-particle":"","family":"King","given":"Jacquie","non-dropping-particle":"","parse-names":false,"suffix":""},{"dropping-particle":"","family":"Lindblad","given":"Robert","non-dropping-particle":"","parse-names":false,"suffix":""},{"dropping-particle":"","family":"Liu","given":"David","non-dropping-particle":"","parse-names":false,"suffix":""},{"dropping-particle":"","family":"Matthews","given":"Abigail G","non-dropping-particle":"","parse-names":false,"suffix":""},{"dropping-particle":"","family":"May","given":"Jeanine","non-dropping-particle":"","parse-names":false,"suffix":""},{"dropping-particle":"","family":"Peavy","given":"K Michelle","non-dropping-particle":"","parse-names":false,"suffix":""},{"dropping-particle":"","family":"Ross","given":"Stephen","non-dropping-particle":"","parse-names":false,"suffix":""},{"dropping-particle":"","family":"Salazar","given":"Dagmar","non-dropping-particle":"","parse-names":false,"suffix":""},{"dropping-particle":"","family":"Schkolnik","given":"Paul","non-dropping-particle":"","parse-names":false,"suffix":""},{"dropping-particle":"","family":"Shmueli-Blumberg","given":"Dikla","non-dropping-particle":"","parse-names":false,"suffix":""},{"dropping-particle":"","family":"Stablein","given":"Don","non-dropping-particle":"","parse-names":false,"suffix":""},{"dropping-particle":"","family":"Subramaniam","given":"Geetha","non-dropping-particle":"","parse-names":false,"suffix":""},{"dropping-particle":"","family":"Rotrosen","given":"John","non-dropping-particle":"","parse-names":false,"suffix":""}],"container-title":"The Lancet","id":"ITEM-1","issue":"10118","issued":{"date-parts":[["2018","1"]]},"page":"309-318","title":"Comparative effectiveness of extended-release naltrexone versus buprenorphine-naloxone for opioid relapse prevention (X:BOT): a multicentre, open-label, randomised controlled trial","type":"article-journal","volume":"391"},"uris":["http://www.mendeley.com/documents/?uuid=846b49b3-4422-4a86-9efd-d9ce60230ccf"]}],"mendeley":{"formattedCitation":"(Lee et al., 2018)","plainTextFormattedCitation":"(Lee et al., 2018)","previouslyFormattedCitation":"(Lee et al., 2018)"},"properties":{"noteIndex":0},"schema":"https://github.com/citation-style-language/schema/raw/master/csl-citation.json"}</w:instrText>
            </w:r>
            <w:r>
              <w:rPr>
                <w:rFonts w:cstheme="minorHAnsi"/>
                <w:lang w:val="en-US"/>
              </w:rPr>
              <w:fldChar w:fldCharType="separate"/>
            </w:r>
            <w:r w:rsidRPr="00357871">
              <w:rPr>
                <w:rFonts w:cstheme="minorHAnsi"/>
                <w:noProof/>
                <w:lang w:val="en-US"/>
              </w:rPr>
              <w:t>(Lee et al., 2018)</w:t>
            </w:r>
            <w:r>
              <w:rPr>
                <w:rFonts w:cstheme="minorHAnsi"/>
                <w:lang w:val="en-US"/>
              </w:rPr>
              <w:fldChar w:fldCharType="end"/>
            </w:r>
            <w:r>
              <w:rPr>
                <w:rFonts w:cstheme="minorHAnsi"/>
                <w:lang w:val="en-US"/>
              </w:rPr>
              <w:t>*</w:t>
            </w:r>
          </w:p>
        </w:tc>
        <w:tc>
          <w:tcPr>
            <w:tcW w:w="7272" w:type="dxa"/>
            <w:tcBorders>
              <w:top w:val="single" w:sz="6" w:space="0" w:color="auto"/>
              <w:bottom w:val="single" w:sz="12" w:space="0" w:color="auto"/>
            </w:tcBorders>
            <w:shd w:val="clear" w:color="auto" w:fill="EEECE1" w:themeFill="background2"/>
          </w:tcPr>
          <w:p w14:paraId="14044D0E" w14:textId="08C1EDB6" w:rsidR="000521C8" w:rsidRDefault="000521C8" w:rsidP="00131E51">
            <w:pPr>
              <w:autoSpaceDE w:val="0"/>
              <w:autoSpaceDN w:val="0"/>
              <w:adjustRightInd w:val="0"/>
              <w:rPr>
                <w:rFonts w:cstheme="minorHAnsi"/>
                <w:lang w:val="en-US"/>
              </w:rPr>
            </w:pPr>
            <w:r>
              <w:rPr>
                <w:rFonts w:cstheme="minorHAnsi"/>
                <w:lang w:val="en-US"/>
              </w:rPr>
              <w:t>Lee et al. (2016): Relapse Definition</w:t>
            </w:r>
            <w:r w:rsidRPr="00131E51">
              <w:rPr>
                <w:rFonts w:cstheme="minorHAnsi"/>
                <w:lang w:val="en-US"/>
              </w:rPr>
              <w:t xml:space="preserve">: </w:t>
            </w:r>
            <w:r>
              <w:rPr>
                <w:rFonts w:cstheme="minorHAnsi"/>
                <w:lang w:val="en-US"/>
              </w:rPr>
              <w:t>≥</w:t>
            </w:r>
            <w:r w:rsidRPr="003A7C0D">
              <w:rPr>
                <w:rFonts w:cstheme="minorHAnsi"/>
                <w:lang w:val="en-US"/>
              </w:rPr>
              <w:t>10 days of</w:t>
            </w:r>
            <w:r>
              <w:rPr>
                <w:rFonts w:cstheme="minorHAnsi"/>
                <w:lang w:val="en-US"/>
              </w:rPr>
              <w:t xml:space="preserve"> </w:t>
            </w:r>
            <w:r w:rsidRPr="003A7C0D">
              <w:rPr>
                <w:rFonts w:cstheme="minorHAnsi"/>
                <w:lang w:val="en-US"/>
              </w:rPr>
              <w:t>opioid use in a 28‐day period as</w:t>
            </w:r>
            <w:r>
              <w:rPr>
                <w:rFonts w:cstheme="minorHAnsi"/>
                <w:lang w:val="en-US"/>
              </w:rPr>
              <w:t xml:space="preserve"> </w:t>
            </w:r>
            <w:r w:rsidRPr="003A7C0D">
              <w:rPr>
                <w:rFonts w:cstheme="minorHAnsi"/>
                <w:lang w:val="en-US"/>
              </w:rPr>
              <w:t xml:space="preserve">assessed by self‐report (TLFB) or by </w:t>
            </w:r>
            <w:r>
              <w:rPr>
                <w:rFonts w:cstheme="minorHAnsi"/>
                <w:lang w:val="en-US"/>
              </w:rPr>
              <w:t>UDS</w:t>
            </w:r>
            <w:r w:rsidRPr="003A7C0D">
              <w:rPr>
                <w:rFonts w:cstheme="minorHAnsi"/>
                <w:lang w:val="en-US"/>
              </w:rPr>
              <w:t xml:space="preserve"> every 2 weeks;</w:t>
            </w:r>
            <w:r>
              <w:rPr>
                <w:rFonts w:cstheme="minorHAnsi"/>
                <w:lang w:val="en-US"/>
              </w:rPr>
              <w:t xml:space="preserve"> </w:t>
            </w:r>
            <w:r w:rsidRPr="003A7C0D">
              <w:rPr>
                <w:rFonts w:cstheme="minorHAnsi"/>
                <w:lang w:val="en-US"/>
              </w:rPr>
              <w:t>a positive or missing sample was</w:t>
            </w:r>
            <w:r>
              <w:rPr>
                <w:rFonts w:cstheme="minorHAnsi"/>
                <w:lang w:val="en-US"/>
              </w:rPr>
              <w:t xml:space="preserve"> </w:t>
            </w:r>
            <w:r w:rsidRPr="003A7C0D">
              <w:rPr>
                <w:rFonts w:cstheme="minorHAnsi"/>
                <w:lang w:val="en-US"/>
              </w:rPr>
              <w:t>computed as 5 days of opioid use</w:t>
            </w:r>
          </w:p>
          <w:p w14:paraId="7A4308A0" w14:textId="77777777" w:rsidR="000521C8" w:rsidRDefault="000521C8" w:rsidP="00131E51">
            <w:pPr>
              <w:autoSpaceDE w:val="0"/>
              <w:autoSpaceDN w:val="0"/>
              <w:adjustRightInd w:val="0"/>
              <w:rPr>
                <w:rFonts w:cstheme="minorHAnsi"/>
                <w:lang w:val="en-US"/>
              </w:rPr>
            </w:pPr>
          </w:p>
          <w:p w14:paraId="1A23FF90" w14:textId="77777777" w:rsidR="000521C8" w:rsidRDefault="000521C8" w:rsidP="00E840BD">
            <w:pPr>
              <w:autoSpaceDE w:val="0"/>
              <w:autoSpaceDN w:val="0"/>
              <w:adjustRightInd w:val="0"/>
              <w:rPr>
                <w:rFonts w:cstheme="minorHAnsi"/>
                <w:lang w:val="en-US"/>
              </w:rPr>
            </w:pPr>
            <w:proofErr w:type="spellStart"/>
            <w:r>
              <w:rPr>
                <w:rFonts w:cstheme="minorHAnsi"/>
                <w:lang w:val="en-US"/>
              </w:rPr>
              <w:t>Mokri</w:t>
            </w:r>
            <w:proofErr w:type="spellEnd"/>
            <w:r>
              <w:rPr>
                <w:rFonts w:cstheme="minorHAnsi"/>
                <w:lang w:val="en-US"/>
              </w:rPr>
              <w:t xml:space="preserve"> et al. (2016): </w:t>
            </w:r>
            <w:r w:rsidRPr="00E840BD">
              <w:rPr>
                <w:rFonts w:cstheme="minorHAnsi"/>
                <w:lang w:val="en-US"/>
              </w:rPr>
              <w:t>Duration of verified initial opioid</w:t>
            </w:r>
            <w:r>
              <w:rPr>
                <w:rFonts w:cstheme="minorHAnsi"/>
                <w:lang w:val="en-US"/>
              </w:rPr>
              <w:t xml:space="preserve"> </w:t>
            </w:r>
            <w:r w:rsidRPr="00E840BD">
              <w:rPr>
                <w:rFonts w:cstheme="minorHAnsi"/>
                <w:lang w:val="en-US"/>
              </w:rPr>
              <w:t>abstinence (self‐report via TLFB,</w:t>
            </w:r>
            <w:r>
              <w:rPr>
                <w:rFonts w:cstheme="minorHAnsi"/>
                <w:lang w:val="en-US"/>
              </w:rPr>
              <w:t xml:space="preserve"> </w:t>
            </w:r>
            <w:r w:rsidRPr="00E840BD">
              <w:rPr>
                <w:rFonts w:cstheme="minorHAnsi"/>
                <w:lang w:val="en-US"/>
              </w:rPr>
              <w:t>days to first opioid‐positive or</w:t>
            </w:r>
            <w:r>
              <w:rPr>
                <w:rFonts w:cstheme="minorHAnsi"/>
                <w:lang w:val="en-US"/>
              </w:rPr>
              <w:t xml:space="preserve"> </w:t>
            </w:r>
            <w:r w:rsidRPr="00E840BD">
              <w:rPr>
                <w:rFonts w:cstheme="minorHAnsi"/>
                <w:lang w:val="en-US"/>
              </w:rPr>
              <w:t>missed urine test, urine samples</w:t>
            </w:r>
            <w:r>
              <w:rPr>
                <w:rFonts w:cstheme="minorHAnsi"/>
                <w:lang w:val="en-US"/>
              </w:rPr>
              <w:t xml:space="preserve"> </w:t>
            </w:r>
            <w:r w:rsidRPr="00E840BD">
              <w:rPr>
                <w:rFonts w:cstheme="minorHAnsi"/>
                <w:lang w:val="en-US"/>
              </w:rPr>
              <w:t>obtained 2×/week)</w:t>
            </w:r>
          </w:p>
          <w:p w14:paraId="68D16BFE" w14:textId="77777777" w:rsidR="000521C8" w:rsidRDefault="000521C8" w:rsidP="00E840BD">
            <w:pPr>
              <w:autoSpaceDE w:val="0"/>
              <w:autoSpaceDN w:val="0"/>
              <w:adjustRightInd w:val="0"/>
              <w:rPr>
                <w:rFonts w:cstheme="minorHAnsi"/>
                <w:lang w:val="en-US"/>
              </w:rPr>
            </w:pPr>
          </w:p>
          <w:p w14:paraId="62197051" w14:textId="65F159EE" w:rsidR="000521C8" w:rsidRPr="00604651" w:rsidRDefault="000521C8" w:rsidP="00E579B5">
            <w:pPr>
              <w:autoSpaceDE w:val="0"/>
              <w:autoSpaceDN w:val="0"/>
              <w:adjustRightInd w:val="0"/>
              <w:rPr>
                <w:rFonts w:cstheme="minorHAnsi"/>
                <w:lang w:val="en-US"/>
              </w:rPr>
            </w:pPr>
            <w:r>
              <w:rPr>
                <w:rFonts w:cstheme="minorHAnsi"/>
                <w:lang w:val="en-US"/>
              </w:rPr>
              <w:t xml:space="preserve">Lee et al. (2018): </w:t>
            </w:r>
            <w:r w:rsidRPr="00604651">
              <w:rPr>
                <w:rFonts w:cstheme="minorHAnsi"/>
                <w:lang w:val="en-US"/>
              </w:rPr>
              <w:t>Participant has used non-protocol prescribed opioids starting at day 21 post-randomization as follows: 4 consecutive opioid use weeks OR 7 consecutive days of use by self-report</w:t>
            </w:r>
            <w:r>
              <w:rPr>
                <w:rFonts w:cstheme="minorHAnsi"/>
                <w:lang w:val="en-US"/>
              </w:rPr>
              <w:t xml:space="preserve">. </w:t>
            </w:r>
            <w:r w:rsidRPr="00604651">
              <w:rPr>
                <w:rFonts w:cstheme="minorHAnsi"/>
                <w:lang w:val="en-US"/>
              </w:rPr>
              <w:t>Use week: Any week during which a participant self-reports at least one day of non-prescribed opioid use, provides a urine sample positive for non-study opioids, or fails to provide a urine sample at the weekly assessment visit.</w:t>
            </w:r>
          </w:p>
        </w:tc>
        <w:tc>
          <w:tcPr>
            <w:tcW w:w="4183" w:type="dxa"/>
            <w:tcBorders>
              <w:top w:val="single" w:sz="6" w:space="0" w:color="auto"/>
              <w:bottom w:val="single" w:sz="12" w:space="0" w:color="auto"/>
            </w:tcBorders>
            <w:shd w:val="clear" w:color="auto" w:fill="EEECE1" w:themeFill="background2"/>
          </w:tcPr>
          <w:p w14:paraId="04F6C373" w14:textId="15D2D88F" w:rsidR="000521C8" w:rsidRPr="00604651" w:rsidRDefault="000521C8" w:rsidP="00683BE1">
            <w:pPr>
              <w:rPr>
                <w:rFonts w:cstheme="minorHAnsi"/>
                <w:lang w:val="en-US"/>
              </w:rPr>
            </w:pPr>
            <w:r>
              <w:rPr>
                <w:rFonts w:cstheme="minorHAnsi"/>
                <w:lang w:val="en-US"/>
              </w:rPr>
              <w:t>Relapse</w:t>
            </w:r>
          </w:p>
        </w:tc>
      </w:tr>
      <w:tr w:rsidR="000521C8" w:rsidRPr="00131E51" w14:paraId="18222641" w14:textId="4D5E7DB0" w:rsidTr="00F838A4">
        <w:tc>
          <w:tcPr>
            <w:tcW w:w="2760" w:type="dxa"/>
            <w:tcBorders>
              <w:top w:val="single" w:sz="12" w:space="0" w:color="auto"/>
            </w:tcBorders>
          </w:tcPr>
          <w:p w14:paraId="028F3294" w14:textId="77777777" w:rsidR="000521C8" w:rsidRPr="00604651" w:rsidRDefault="000521C8" w:rsidP="00683BE1">
            <w:pPr>
              <w:rPr>
                <w:rFonts w:cstheme="minorHAnsi"/>
                <w:lang w:val="en-US"/>
              </w:rPr>
            </w:pPr>
            <w:r w:rsidRPr="00604651">
              <w:rPr>
                <w:rFonts w:cstheme="minorHAnsi"/>
                <w:lang w:val="en-US"/>
              </w:rPr>
              <w:t>Not-abstinent rate</w:t>
            </w:r>
          </w:p>
        </w:tc>
        <w:tc>
          <w:tcPr>
            <w:tcW w:w="7272" w:type="dxa"/>
            <w:tcBorders>
              <w:top w:val="single" w:sz="12" w:space="0" w:color="auto"/>
            </w:tcBorders>
          </w:tcPr>
          <w:p w14:paraId="4A9415BB" w14:textId="77777777" w:rsidR="000521C8" w:rsidRPr="00604651" w:rsidRDefault="000521C8" w:rsidP="00683BE1">
            <w:pPr>
              <w:autoSpaceDE w:val="0"/>
              <w:autoSpaceDN w:val="0"/>
              <w:adjustRightInd w:val="0"/>
              <w:rPr>
                <w:rFonts w:cstheme="minorHAnsi"/>
                <w:lang w:val="en-US"/>
              </w:rPr>
            </w:pPr>
            <w:r w:rsidRPr="00604651">
              <w:rPr>
                <w:rFonts w:cstheme="minorHAnsi"/>
                <w:lang w:val="en-US"/>
              </w:rPr>
              <w:t>Number of positive UDS divided by the number of weeks of study participation</w:t>
            </w:r>
          </w:p>
        </w:tc>
        <w:tc>
          <w:tcPr>
            <w:tcW w:w="4183" w:type="dxa"/>
            <w:tcBorders>
              <w:top w:val="single" w:sz="12" w:space="0" w:color="auto"/>
            </w:tcBorders>
          </w:tcPr>
          <w:p w14:paraId="2E128918" w14:textId="77777777" w:rsidR="000521C8" w:rsidRPr="00604651" w:rsidRDefault="000521C8" w:rsidP="00683BE1">
            <w:pPr>
              <w:rPr>
                <w:rFonts w:cstheme="minorHAnsi"/>
                <w:lang w:val="en-US"/>
              </w:rPr>
            </w:pPr>
            <w:r w:rsidRPr="00604651">
              <w:rPr>
                <w:rFonts w:cstheme="minorHAnsi"/>
                <w:lang w:val="en-US"/>
              </w:rPr>
              <w:t>Reduction/non-abstinent</w:t>
            </w:r>
          </w:p>
        </w:tc>
      </w:tr>
      <w:tr w:rsidR="000521C8" w:rsidRPr="00131E51" w14:paraId="3EE19CF3" w14:textId="0F81BC28" w:rsidTr="00F838A4">
        <w:tc>
          <w:tcPr>
            <w:tcW w:w="2760" w:type="dxa"/>
            <w:tcBorders>
              <w:bottom w:val="single" w:sz="4" w:space="0" w:color="auto"/>
            </w:tcBorders>
          </w:tcPr>
          <w:p w14:paraId="7122387E" w14:textId="77777777" w:rsidR="000521C8" w:rsidRPr="00604651" w:rsidRDefault="000521C8" w:rsidP="00683BE1">
            <w:pPr>
              <w:rPr>
                <w:rFonts w:cstheme="minorHAnsi"/>
                <w:lang w:val="en-US"/>
              </w:rPr>
            </w:pPr>
            <w:r w:rsidRPr="00604651">
              <w:rPr>
                <w:rFonts w:cstheme="minorHAnsi"/>
                <w:lang w:val="en-US"/>
              </w:rPr>
              <w:t>Reduction of regular use</w:t>
            </w:r>
          </w:p>
        </w:tc>
        <w:tc>
          <w:tcPr>
            <w:tcW w:w="7272" w:type="dxa"/>
            <w:tcBorders>
              <w:bottom w:val="single" w:sz="4" w:space="0" w:color="auto"/>
            </w:tcBorders>
          </w:tcPr>
          <w:p w14:paraId="48DE3268" w14:textId="77777777" w:rsidR="000521C8" w:rsidRPr="00604651" w:rsidRDefault="000521C8" w:rsidP="00683BE1">
            <w:pPr>
              <w:autoSpaceDE w:val="0"/>
              <w:autoSpaceDN w:val="0"/>
              <w:adjustRightInd w:val="0"/>
              <w:rPr>
                <w:rFonts w:cstheme="minorHAnsi"/>
                <w:lang w:val="en-US"/>
              </w:rPr>
            </w:pPr>
            <w:r w:rsidRPr="00604651">
              <w:rPr>
                <w:rFonts w:cstheme="minorHAnsi"/>
                <w:lang w:val="en-US"/>
              </w:rPr>
              <w:t>≥50% negative UDS</w:t>
            </w:r>
          </w:p>
        </w:tc>
        <w:tc>
          <w:tcPr>
            <w:tcW w:w="4183" w:type="dxa"/>
            <w:tcBorders>
              <w:bottom w:val="single" w:sz="4" w:space="0" w:color="auto"/>
            </w:tcBorders>
          </w:tcPr>
          <w:p w14:paraId="0F40AAB5" w14:textId="77777777" w:rsidR="000521C8" w:rsidRPr="00604651" w:rsidRDefault="000521C8" w:rsidP="00683BE1">
            <w:pPr>
              <w:rPr>
                <w:rFonts w:cstheme="minorHAnsi"/>
                <w:lang w:val="en-US"/>
              </w:rPr>
            </w:pPr>
            <w:r w:rsidRPr="00604651">
              <w:rPr>
                <w:rFonts w:cstheme="minorHAnsi"/>
                <w:lang w:val="en-US"/>
              </w:rPr>
              <w:t>Reduction/non-abstinent</w:t>
            </w:r>
          </w:p>
        </w:tc>
      </w:tr>
      <w:tr w:rsidR="000521C8" w:rsidRPr="00131E51" w14:paraId="2A1ADAEB" w14:textId="72B54453" w:rsidTr="00F838A4">
        <w:tc>
          <w:tcPr>
            <w:tcW w:w="2760" w:type="dxa"/>
            <w:tcBorders>
              <w:bottom w:val="single" w:sz="4" w:space="0" w:color="auto"/>
            </w:tcBorders>
            <w:shd w:val="clear" w:color="auto" w:fill="EEECE1" w:themeFill="background2"/>
          </w:tcPr>
          <w:p w14:paraId="704EDCC8" w14:textId="77777777" w:rsidR="000521C8" w:rsidRPr="00604651" w:rsidRDefault="000521C8" w:rsidP="00683BE1">
            <w:pPr>
              <w:rPr>
                <w:rFonts w:cstheme="minorHAnsi"/>
                <w:lang w:val="en-US"/>
              </w:rPr>
            </w:pPr>
            <w:r w:rsidRPr="00604651">
              <w:rPr>
                <w:rFonts w:cstheme="minorHAnsi"/>
                <w:lang w:val="en-US"/>
              </w:rPr>
              <w:lastRenderedPageBreak/>
              <w:t>Substantial Improvement (CTN-30)</w:t>
            </w:r>
          </w:p>
        </w:tc>
        <w:tc>
          <w:tcPr>
            <w:tcW w:w="7272" w:type="dxa"/>
            <w:tcBorders>
              <w:bottom w:val="single" w:sz="4" w:space="0" w:color="auto"/>
            </w:tcBorders>
            <w:shd w:val="clear" w:color="auto" w:fill="EEECE1" w:themeFill="background2"/>
          </w:tcPr>
          <w:p w14:paraId="1C78E1F0" w14:textId="77777777" w:rsidR="000521C8" w:rsidRPr="00604651" w:rsidRDefault="000521C8" w:rsidP="00683BE1">
            <w:pPr>
              <w:autoSpaceDE w:val="0"/>
              <w:autoSpaceDN w:val="0"/>
              <w:adjustRightInd w:val="0"/>
              <w:rPr>
                <w:rFonts w:cstheme="minorHAnsi"/>
                <w:lang w:val="en-US"/>
              </w:rPr>
            </w:pPr>
            <w:r w:rsidRPr="00604651">
              <w:rPr>
                <w:rFonts w:cstheme="minorHAnsi"/>
                <w:lang w:val="en-US"/>
              </w:rPr>
              <w:t xml:space="preserve">Abstaining from opioids during the last week AND for at least 2 of the previous 3 weeks of the third month of BUP/NX treatment. </w:t>
            </w:r>
          </w:p>
          <w:p w14:paraId="312087E0" w14:textId="00E9D2EB" w:rsidR="000521C8" w:rsidRPr="00604651" w:rsidRDefault="000521C8" w:rsidP="006875D4">
            <w:pPr>
              <w:autoSpaceDE w:val="0"/>
              <w:autoSpaceDN w:val="0"/>
              <w:adjustRightInd w:val="0"/>
              <w:rPr>
                <w:rFonts w:cstheme="minorHAnsi"/>
                <w:lang w:val="en-US"/>
              </w:rPr>
            </w:pPr>
            <w:r w:rsidRPr="00604651">
              <w:rPr>
                <w:rFonts w:cstheme="minorHAnsi"/>
                <w:lang w:val="en-US"/>
              </w:rPr>
              <w:t>Abstinence is determined by self-reports of opioid abstinence (missing urines will be</w:t>
            </w:r>
            <w:r>
              <w:rPr>
                <w:rFonts w:cstheme="minorHAnsi"/>
                <w:lang w:val="en-US"/>
              </w:rPr>
              <w:t xml:space="preserve"> </w:t>
            </w:r>
            <w:r w:rsidRPr="00604651">
              <w:rPr>
                <w:rFonts w:cstheme="minorHAnsi"/>
                <w:lang w:val="en-US"/>
              </w:rPr>
              <w:t xml:space="preserve">considered positive for opioids). </w:t>
            </w:r>
          </w:p>
        </w:tc>
        <w:tc>
          <w:tcPr>
            <w:tcW w:w="4183" w:type="dxa"/>
            <w:tcBorders>
              <w:bottom w:val="single" w:sz="4" w:space="0" w:color="auto"/>
            </w:tcBorders>
            <w:shd w:val="clear" w:color="auto" w:fill="EEECE1" w:themeFill="background2"/>
          </w:tcPr>
          <w:p w14:paraId="48095BFD" w14:textId="77777777" w:rsidR="000521C8" w:rsidRPr="00604651" w:rsidRDefault="000521C8" w:rsidP="00683BE1">
            <w:pPr>
              <w:rPr>
                <w:rFonts w:cstheme="minorHAnsi"/>
                <w:lang w:val="en-US"/>
              </w:rPr>
            </w:pPr>
            <w:r w:rsidRPr="00604651">
              <w:rPr>
                <w:rFonts w:cstheme="minorHAnsi"/>
                <w:lang w:val="en-US"/>
              </w:rPr>
              <w:t>Reduction/non-abstinent</w:t>
            </w:r>
          </w:p>
        </w:tc>
      </w:tr>
      <w:tr w:rsidR="000521C8" w:rsidRPr="00131E51" w14:paraId="5361BB26" w14:textId="77777777" w:rsidTr="00F838A4">
        <w:tc>
          <w:tcPr>
            <w:tcW w:w="2760" w:type="dxa"/>
            <w:tcBorders>
              <w:bottom w:val="single" w:sz="12" w:space="0" w:color="auto"/>
            </w:tcBorders>
            <w:shd w:val="clear" w:color="auto" w:fill="EEECE1" w:themeFill="background2"/>
          </w:tcPr>
          <w:p w14:paraId="0E39CBAB" w14:textId="77777777" w:rsidR="000521C8" w:rsidRDefault="000521C8" w:rsidP="00683BE1">
            <w:pPr>
              <w:rPr>
                <w:rFonts w:cstheme="minorHAnsi"/>
                <w:lang w:val="en-US"/>
              </w:rPr>
            </w:pPr>
            <w:r>
              <w:rPr>
                <w:rFonts w:cstheme="minorHAnsi"/>
                <w:lang w:val="en-US"/>
              </w:rPr>
              <w:t>% or no. of opioid-negative samples</w:t>
            </w:r>
          </w:p>
          <w:p w14:paraId="74272B73" w14:textId="77777777" w:rsidR="000521C8" w:rsidRDefault="000521C8" w:rsidP="00683BE1">
            <w:pPr>
              <w:rPr>
                <w:rFonts w:cstheme="minorHAnsi"/>
                <w:lang w:val="en-US"/>
              </w:rPr>
            </w:pPr>
            <w:r>
              <w:rPr>
                <w:rFonts w:cstheme="minorHAnsi"/>
                <w:lang w:val="en-US"/>
              </w:rPr>
              <w:fldChar w:fldCharType="begin" w:fldLock="1"/>
            </w:r>
            <w:r>
              <w:rPr>
                <w:rFonts w:cstheme="minorHAnsi"/>
                <w:lang w:val="en-US"/>
              </w:rPr>
              <w:instrText>ADDIN CSL_CITATION {"citationItems":[{"id":"ITEM-1","itemData":{"DOI":"10.1001/jama.2010.1427","ISSN":"15383598","PMID":"20940383","abstract":"Context: Limitations of existing pharmacological treatments for opioid dependence include low adherence, medication diversion, and emergence of withdrawal symptoms. Objective: To determine the efficacy of buprenorphine implants that provide a low, steady level of buprenorphine over 6months for the treatment of opioid dependence. Design, Setting, and Participants: A randomized, placebo-controlled, 6-month trial conducted at 18 sites in the United States between April 2007 and June 2008. One hundred sixty-three adults, aged 18 to 65 years, diagnosed with opioid dependence. One hundred eight were randomized to receive buprenorphine implants and 55 to receive placebo implants. Intervention: After induction with sublingual buprenorphine-naloxone tablets, patients received either 4 buprenorphine implants (80 mg per implant) or 4 placebo implants. A fifth implant was available if a threshold for rescue use of sublingual buprenorphine-naloxone treatment was exceeded. Standardized individual drug counseling was provided to all patients. Main Outcome Measure: The percentage of urine samples negative for illicit opioids for weeks 1 through 16 and for weeks 17 through 24. Results: The buprenorphine implant group had significantly more urine samples negative for illicit opioids during weeks 1 through 16 (P = .04). Patients with buprenorphine implants had a mean percentage of urine samples that tested negative for illicit opioids across weeks 1 through 16 of 40.4% (95% confidence interval [CI], 34.2%-46.7%) and a median of 40.7%; whereas those in the placebo group had a mean of 28.3% (95% CI, 20.3%-36.3%) and a median of 20.8%. A total of 71 of 108 patients (65.7%) who received buprenorphine implants completed the study vs 17 of 55 (30.9%) who received placebo implants (P &lt; .001). Those who received buprenorphine implants also had fewer clinician-rated (P &lt; .001) and patient-rated (P = .004) withdrawal symptoms, had lower patient ratings of craving (P &lt; .001), and experienced a greater change on clinician global ratings of severity of opioid dependence (P &lt; .001) and on the clinician global ratings of improvement (P &lt; .001) than those who received placebo implants. Minor implant site reactions were the most common adverse events: 61 patients (56.5%) in the buprenorphine group and 29 (52.7%) in the placebo group. Conclusion: Among persons with opioid dependence, the use of buprenorphine implants compared with placebo resulted in less opioid use over 16 weeks as assess…","author":[{"dropping-particle":"","family":"Ling","given":"Walter","non-dropping-particle":"","parse-names":false,"suffix":""},{"dropping-particle":"","family":"Casadonte","given":"Paul","non-dropping-particle":"","parse-names":false,"suffix":""},{"dropping-particle":"","family":"Bigelow","given":"George","non-dropping-particle":"","parse-names":false,"suffix":""},{"dropping-particle":"","family":"Kampman","given":"Kyle M.","non-dropping-particle":"","parse-names":false,"suffix":""},{"dropping-particle":"","family":"Patkar","given":"Ashwin","non-dropping-particle":"","parse-names":false,"suffix":""},{"dropping-particle":"","family":"Bailey","given":"Genie L.","non-dropping-particle":"","parse-names":false,"suffix":""},{"dropping-particle":"","family":"Rosenthal","given":"Richard N.","non-dropping-particle":"","parse-names":false,"suffix":""},{"dropping-particle":"","family":"Beebe","given":"Katherine L.","non-dropping-particle":"","parse-names":false,"suffix":""}],"container-title":"JAMA - Journal of the American Medical Association","id":"ITEM-1","issued":{"date-parts":[["2010"]]},"title":"Buprenorphine implants for treatment of opioid dependence: A randomized controlled trial","type":"article-journal"},"uris":["http://www.mendeley.com/documents/?uuid=eead4013-f855-4d42-a48a-d54293b6493c"]}],"mendeley":{"formattedCitation":"(Ling et al., 2010)","plainTextFormattedCitation":"(Ling et al., 2010)","previouslyFormattedCitation":"(Ling et al., 2010)"},"properties":{"noteIndex":0},"schema":"https://github.com/citation-style-language/schema/raw/master/csl-citation.json"}</w:instrText>
            </w:r>
            <w:r>
              <w:rPr>
                <w:rFonts w:cstheme="minorHAnsi"/>
                <w:lang w:val="en-US"/>
              </w:rPr>
              <w:fldChar w:fldCharType="separate"/>
            </w:r>
            <w:r w:rsidRPr="00322FE2">
              <w:rPr>
                <w:rFonts w:cstheme="minorHAnsi"/>
                <w:noProof/>
                <w:lang w:val="en-US"/>
              </w:rPr>
              <w:t>(Ling et al., 2010)</w:t>
            </w:r>
            <w:r>
              <w:rPr>
                <w:rFonts w:cstheme="minorHAnsi"/>
                <w:lang w:val="en-US"/>
              </w:rPr>
              <w:fldChar w:fldCharType="end"/>
            </w:r>
          </w:p>
          <w:p w14:paraId="7D26926F" w14:textId="77777777" w:rsidR="000521C8" w:rsidRDefault="000521C8" w:rsidP="00683BE1">
            <w:pPr>
              <w:rPr>
                <w:rFonts w:cstheme="minorHAnsi"/>
                <w:lang w:val="en-US"/>
              </w:rPr>
            </w:pPr>
            <w:r>
              <w:rPr>
                <w:rFonts w:cstheme="minorHAnsi"/>
                <w:lang w:val="en-US"/>
              </w:rPr>
              <w:fldChar w:fldCharType="begin" w:fldLock="1"/>
            </w:r>
            <w:r>
              <w:rPr>
                <w:rFonts w:cstheme="minorHAnsi"/>
                <w:lang w:val="en-US"/>
              </w:rPr>
              <w:instrText>ADDIN CSL_CITATION {"citationItems":[{"id":"ITEM-1","itemData":{"DOI":"10.1046/j.1360-0443.2003.00335.x","ISSN":"09652140","PMID":"12653814","abstract":"Aims: To assess the efficacy of buprenorphine compared with methadone maintenance therapy for opioid dependence in a large sample using a flexible dosing regime and the marketed buprenorphine tablet. Design: Patients were randomized to receive buprenorphine or methadone over a 13-week treatment period in a double-blind, double-dummy trial. Setting: Three methadone clinics in Australia. Participants: Four hundred and five opioid-dependent patients seeking treatment. Intervention: Patients received buprenorphine or methadone as indicated clinically using a flexible dosage regime. During weeks 1-6, patients were dosed daily. From weeks 7-13, buprenorphine patients received double their week 6 dose on alternate days. Measurements: Retention in treatment, and illicit opioid use as determined by urinalysis. Self-reported drug use, psychological functioning, HIV-risk behaviour, general health and subjective ratings were secondary outcomes. Findings: Intention-to-treat analyses revealed no significant difference in completion rates at 13 weeks. Methadone was superior to buprenorphine in time to termination over the 13-week period (Wald χ2 = 4.371, df = 1, P = 0.037), but not separately for the single-day or alternate-day dosing phases. There were no significant between-group differences in morphine-positive urines, or in self-reported heroin or other illicit drug use. The majority (85%) of the buprenorphine patients transferred to alternate-clay dosing were maintained in alternate-day dosing. Conclusions: Buprenorphine did not differ from methadone in its ability to suppress heroin use, but retained approximately 10% fewer patients. This poorer retention was due possibly to too-slow induction onto buprenorphine. For the majority of patients, buprenorphine can be administered on alternate days.","author":[{"dropping-particle":"","family":"Mattick","given":"Richard P.","non-dropping-particle":"","parse-names":false,"suffix":""},{"dropping-particle":"","family":"Ali","given":"Robert","non-dropping-particle":"","parse-names":false,"suffix":""},{"dropping-particle":"","family":"White","given":"Jason M.","non-dropping-particle":"","parse-names":false,"suffix":""},{"dropping-particle":"","family":"O'Brien","given":"Susannah","non-dropping-particle":"","parse-names":false,"suffix":""},{"dropping-particle":"","family":"Wolk","given":"Seija","non-dropping-particle":"","parse-names":false,"suffix":""},{"dropping-particle":"","family":"Danz","given":"Cath","non-dropping-particle":"","parse-names":false,"suffix":""}],"container-title":"Addiction","id":"ITEM-1","issued":{"date-parts":[["2003"]]},"title":"Buprenorphine versus methadone maintenance therapy: A randomized double-blind trial with 405 opioid-dependent patients","type":"article-journal"},"uris":["http://www.mendeley.com/documents/?uuid=2e788ae7-a323-4291-a9c2-c33cf2d9495c"]}],"mendeley":{"formattedCitation":"(Mattick et al., 2003)","plainTextFormattedCitation":"(Mattick et al., 2003)","previouslyFormattedCitation":"(Mattick et al., 2003)"},"properties":{"noteIndex":0},"schema":"https://github.com/citation-style-language/schema/raw/master/csl-citation.json"}</w:instrText>
            </w:r>
            <w:r>
              <w:rPr>
                <w:rFonts w:cstheme="minorHAnsi"/>
                <w:lang w:val="en-US"/>
              </w:rPr>
              <w:fldChar w:fldCharType="separate"/>
            </w:r>
            <w:r w:rsidRPr="009B761A">
              <w:rPr>
                <w:rFonts w:cstheme="minorHAnsi"/>
                <w:noProof/>
                <w:lang w:val="en-US"/>
              </w:rPr>
              <w:t>(Mattick et al., 2003)</w:t>
            </w:r>
            <w:r>
              <w:rPr>
                <w:rFonts w:cstheme="minorHAnsi"/>
                <w:lang w:val="en-US"/>
              </w:rPr>
              <w:fldChar w:fldCharType="end"/>
            </w:r>
          </w:p>
          <w:p w14:paraId="2697FFF0" w14:textId="77777777" w:rsidR="000521C8" w:rsidRDefault="000521C8" w:rsidP="00683BE1">
            <w:pPr>
              <w:rPr>
                <w:rFonts w:cstheme="minorHAnsi"/>
                <w:lang w:val="en-US"/>
              </w:rPr>
            </w:pPr>
            <w:r>
              <w:rPr>
                <w:rFonts w:cstheme="minorHAnsi"/>
                <w:lang w:val="en-US"/>
              </w:rPr>
              <w:fldChar w:fldCharType="begin" w:fldLock="1"/>
            </w:r>
            <w:r>
              <w:rPr>
                <w:rFonts w:cstheme="minorHAnsi"/>
                <w:lang w:val="en-US"/>
              </w:rPr>
              <w:instrText>ADDIN CSL_CITATION {"citationItems":[{"id":"ITEM-1","itemData":{"DOI":"10.1056/nejmoa055255","ISSN":"0028-4793","PMID":"16870915","abstract":"Background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Medicine","id":"ITEM-1","issued":{"date-parts":[["2006"]]},"title":"Counseling plus Buprenorphine–Naloxone Maintenance Therapy for Opioid Dependence","type":"article-journal"},"uris":["http://www.mendeley.com/documents/?uuid=b84a083a-eb18-4c35-86b5-6129d32013e5"]}],"mendeley":{"formattedCitation":"(Fiellin et al., 2006)","plainTextFormattedCitation":"(Fiellin et al., 2006)","previouslyFormattedCitation":"(Fiellin et al., 2006)"},"properties":{"noteIndex":0},"schema":"https://github.com/citation-style-language/schema/raw/master/csl-citation.json"}</w:instrText>
            </w:r>
            <w:r>
              <w:rPr>
                <w:rFonts w:cstheme="minorHAnsi"/>
                <w:lang w:val="en-US"/>
              </w:rPr>
              <w:fldChar w:fldCharType="separate"/>
            </w:r>
            <w:r w:rsidRPr="009B761A">
              <w:rPr>
                <w:rFonts w:cstheme="minorHAnsi"/>
                <w:noProof/>
                <w:lang w:val="en-US"/>
              </w:rPr>
              <w:t>(Fiellin et al., 2006)</w:t>
            </w:r>
            <w:r>
              <w:rPr>
                <w:rFonts w:cstheme="minorHAnsi"/>
                <w:lang w:val="en-US"/>
              </w:rPr>
              <w:fldChar w:fldCharType="end"/>
            </w:r>
          </w:p>
          <w:p w14:paraId="78566B69" w14:textId="77777777" w:rsidR="000521C8" w:rsidRDefault="000521C8" w:rsidP="00683BE1">
            <w:pPr>
              <w:rPr>
                <w:rFonts w:cstheme="minorHAnsi"/>
                <w:lang w:val="en-US"/>
              </w:rPr>
            </w:pPr>
            <w:r>
              <w:rPr>
                <w:rFonts w:cstheme="minorHAnsi"/>
                <w:lang w:val="en-US"/>
              </w:rPr>
              <w:fldChar w:fldCharType="begin" w:fldLock="1"/>
            </w:r>
            <w:r>
              <w:rPr>
                <w:rFonts w:cstheme="minorHAnsi"/>
                <w:lang w:val="en-US"/>
              </w:rPr>
              <w:instrText>ADDIN CSL_CITATION {"citationItems":[{"id":"ITEM-1","itemData":{"DOI":"10.1001/jamapsychiatry.2017.3206","ISSN":"2168622X","PMID":"29049469","abstract":"IMPORTANCE To date, extended-release naltrexone hydrochloride has not previously been compared directly with opioid medication treatment (OMT), currently the most commonly prescribed treatment for opioid dependence. OBJECTIVE To determine whether treatment with extended-release naltrexone will be as effective as daily buprenorphine hydrochloride with naloxone hydrochloride in maintaining abstinence from heroin and other illicit substances in newly detoxified individuals. DESIGN, SETTING AND PARTICIPANTS A 12-week, multicenter, outpatient, open-label randomized clinical trial was conducted at 5 urban addiction clinics in Norway between November 1, 2012, and December 23, 2015; the last follow-up was performed on October 23, 2015. A total of 232 adult opioid-dependent (per DSM-IV criteria) individuals were recruited from outpatient addiction clinics and detoxification units and assessed for eligibility. Intention-to-treat analyses of efficacy end points were performed with all randomized participants. INTERVENTIONS Randomization to either daily oral flexible dose buprenorphine-naloxone, 4 to 24mg/d, or extended-release naltrexone hydrochloride, 380mg, administered intramuscularly every fourth week for 12 weeks. MAIN OUTCOMES AND MEASURES Primary end points (protocol)were the randomized clinical trial completion rate, the proportion of opioid-negative urine drug tests, and number of days of use of heroin and other illicit opioids. Secondary end points included number of days of use of other illicit substances. Safety was assessed by adverse event reporting. RESULTS Of 159 participants, mean (SD) age was 36 (8.6) years and 44 (27.7%) were women. Eighty individuals were randomized to extended-release naltrexone and 79 to buprenorphine-naloxone; 105 (66.0%) completed the trial. Retention in the extended-release naltrexone group was noninferior to the buprenorphine-naloxone group (difference,-0.1; with 95%CI,-0.2 to 0.1; P = .04), with mean (SD) time of 69.3 (25.9) and 63.7 (29.9) days, correspondingly (P = .33, log-rank test). Treatment with extended-release naltrexone showed noninferiority to buprenorphine-naloxone on group proportion of total number of opioid-negative urine drug tests (mean [SD], 0.9 [0.3] and 0.8 [0.4], respectively, difference, 0.1 with 95%CI,-0.04 to 0.2; P &lt; .001) and use of heroin (mean difference,-3.2 with 95%CI,-4.9 to-1.5; P &lt; .001) and other illicit opioids (mean difference,-2.7 with 95%CI,-4.6 to-0.9; P &lt; .001). Superiority analysi…","author":[{"dropping-particle":"","family":"Tanum","given":"Lars","non-dropping-particle":"","parse-names":false,"suffix":""},{"dropping-particle":"","family":"Solli","given":"Kristin Klemmetsby","non-dropping-particle":"","parse-names":false,"suffix":""},{"dropping-particle":"","family":"Latif","given":"Zill E.Huma","non-dropping-particle":"","parse-names":false,"suffix":""},{"dropping-particle":"","family":"Benth","given":"Jūrate Šaltyte","non-dropping-particle":"","parse-names":false,"suffix":""},{"dropping-particle":"","family":"Opheim","given":"Arild","non-dropping-particle":"","parse-names":false,"suffix":""},{"dropping-particle":"","family":"Sharma-Haase","given":"Kamni","non-dropping-particle":"","parse-names":false,"suffix":""},{"dropping-particle":"","family":"Krajci","given":"Peter","non-dropping-particle":"","parse-names":false,"suffix":""},{"dropping-particle":"","family":"Kunøe","given":"Nikolaj","non-dropping-particle":"","parse-names":false,"suffix":""}],"container-title":"JAMA Psychiatry","id":"ITEM-1","issued":{"date-parts":[["2017"]]},"title":"Effectiveness of injectable extended-release naltrexone vs daily buprenorphine-naloxone for opioid dependence: A randomized clinical noninferiority trial","type":"article-journal"},"uris":["http://www.mendeley.com/documents/?uuid=19a4f92c-7d09-4af7-bd69-79263b1b40e0"]}],"mendeley":{"formattedCitation":"(Tanum et al., 2017)","plainTextFormattedCitation":"(Tanum et al., 2017)","previouslyFormattedCitation":"(Tanum et al., 2017)"},"properties":{"noteIndex":0},"schema":"https://github.com/citation-style-language/schema/raw/master/csl-citation.json"}</w:instrText>
            </w:r>
            <w:r>
              <w:rPr>
                <w:rFonts w:cstheme="minorHAnsi"/>
                <w:lang w:val="en-US"/>
              </w:rPr>
              <w:fldChar w:fldCharType="separate"/>
            </w:r>
            <w:r w:rsidRPr="00F956E1">
              <w:rPr>
                <w:rFonts w:cstheme="minorHAnsi"/>
                <w:noProof/>
                <w:lang w:val="en-US"/>
              </w:rPr>
              <w:t>(Tanum et al., 2017)</w:t>
            </w:r>
            <w:r>
              <w:rPr>
                <w:rFonts w:cstheme="minorHAnsi"/>
                <w:lang w:val="en-US"/>
              </w:rPr>
              <w:fldChar w:fldCharType="end"/>
            </w:r>
          </w:p>
          <w:p w14:paraId="2616D833" w14:textId="77777777" w:rsidR="000521C8" w:rsidRDefault="000521C8" w:rsidP="00683BE1">
            <w:pPr>
              <w:rPr>
                <w:rFonts w:cstheme="minorHAnsi"/>
                <w:lang w:val="en-US"/>
              </w:rPr>
            </w:pPr>
            <w:r>
              <w:rPr>
                <w:rFonts w:cstheme="minorHAnsi"/>
                <w:lang w:val="en-US"/>
              </w:rPr>
              <w:fldChar w:fldCharType="begin" w:fldLock="1"/>
            </w:r>
            <w:r>
              <w:rPr>
                <w:rFonts w:cstheme="minorHAnsi"/>
                <w:lang w:val="en-US"/>
              </w:rPr>
              <w:instrText>ADDIN CSL_CITATION {"citationItems":[{"id":"ITEM-1","itemData":{"DOI":"10.1016/S0140-6736(18)32259-1","ISSN":"1474547X","PMID":"30792007","abstract":"Background: RBP-6000, referred to as BUP-XR (extended-release buprenorphine), is a subcutaneously injected, monthly buprenorphine treatment for opioid use disorder. BUP-XR provides sustained buprenorphine plasma concentrations to block drug-liking of abused opioids over the entire monthly dosing period, while controlling withdrawal and craving symptoms. Administration of BUP-XR in a health-care setting also mitigates abuse, misuse, diversion, and unintentional exposure. We aimed to investigate the efficacy of different BUP-XR dosing regimens in participants with opioid use disorder. Methods: This randomised, double-blind, placebo-controlled, phase 3 trial was done at 36 treatment centres in the USA. Treatment-seeking adults aged 18–65 years who had moderate or severe opioid use disorder (as defined by the fifth edition of the Diagnostic and Statistical Manual of Mental Disorders) entered an open-label run-in phase of up to 2 weeks' treatment with buprenorphine-naloxone sublingual film. Eligible participants were then randomly assigned (4:4:1:1) with an interactive voice/web-response system to receive BUP-XR 300 mg/300 mg (six injections of 300 mg), BUP-XR 300 mg/100 mg (two injections of 300 mg plus four injections of 100 mg), or volume-matched placebo every 28 days, and received weekly individual drug counselling. No supplemental buprenorphine was allowed. The primary efficacy endpoint was participants' percentage abstinence from opioid use, defined as the percentage of each participant's negative urine samples and self-reports of illicit opioid use from week 5 to week 24, analysed in the full analysis set. Safety was assessed in all participants who received at least one dose of BUP-XR or placebo. This study is registered with ClinicalTrials.gov, number NCT02357901. Findings: From Jan 28, 2015, to Nov 12, 2015, 1187 potential participants were screened, 665 entered run-in, and 504 received BUP-XR 300 mg/300 mg (n=201), BUP-XR 300 mg/100 mg (n=203), or placebo (n=100). Mean participants' percentage abstinence was 41·3% (SD 39·7) for BUP-XR 300 mg/300 mg and 42·7% (38·5) for 300 mg/100 mg, compared with 5·0% (17·0) for placebo (p&lt;0·0001 for both BUP-XR regimens). No compensatory non-opioid drug use was observed during BUP-XR treatment. The most common adverse events were headache (17 [8%] participants in the BUP-XR 300 mg/300 mg group vs 19 [9%] participants in the BUP-XR 300 mg/100 mg group vs six [6%] participants in the placebo group), constipation (…","author":[{"dropping-particle":"","family":"Haight","given":"Barbara R.","non-dropping-particle":"","parse-names":false,"suffix":""},{"dropping-particle":"","family":"Learned","given":"Susan M.","non-dropping-particle":"","parse-names":false,"suffix":""},{"dropping-particle":"","family":"Laffont","given":"Celine M.","non-dropping-particle":"","parse-names":false,"suffix":""},{"dropping-particle":"","family":"Fudala","given":"Paul J.","non-dropping-particle":"","parse-names":false,"suffix":""},{"dropping-particle":"","family":"Zhao","given":"Yue","non-dropping-particle":"","parse-names":false,"suffix":""},{"dropping-particle":"","family":"Garofalo","given":"Amanda S.","non-dropping-particle":"","parse-names":false,"suffix":""},{"dropping-particle":"","family":"Greenwald","given":"Mark K.","non-dropping-particle":"","parse-names":false,"suffix":""},{"dropping-particle":"","family":"Nadipelli","given":"Vijay R.","non-dropping-particle":"","parse-names":false,"suffix":""},{"dropping-particle":"","family":"Ling","given":"Walter","non-dropping-particle":"","parse-names":false,"suffix":""},{"dropping-particle":"","family":"Heidbreder","given":"Christian","non-dropping-particle":"","parse-names":false,"suffix":""},{"dropping-particle":"","family":"Andersen","given":"James L.","non-dropping-particle":"","parse-names":false,"suffix":""},{"dropping-particle":"","family":"Bailey","given":"Genie L.","non-dropping-particle":"","parse-names":false,"suffix":""},{"dropping-particle":"","family":"Bartley","given":"Scott Robert","non-dropping-particle":"","parse-names":false,"suffix":""},{"dropping-particle":"","family":"Biunno","given":"Michael J.","non-dropping-particle":"","parse-names":false,"suffix":""},{"dropping-particle":"","family":"Boyett","given":"Brent","non-dropping-particle":"","parse-names":false,"suffix":""},{"dropping-particle":"","family":"Carr","given":"Jesse M.","non-dropping-particle":"","parse-names":false,"suffix":""},{"dropping-particle":"","family":"Cifuentes","given":"Eduardo","non-dropping-particle":"","parse-names":false,"suffix":""},{"dropping-particle":"","family":"Duarte-Sckell","given":"Sandra Daniela","non-dropping-particle":"","parse-names":false,"suffix":""},{"dropping-particle":"","family":"Dueno","given":"Otto R.","non-dropping-particle":"","parse-names":false,"suffix":""},{"dropping-particle":"","family":"Harrison","given":"Boyde J.","non-dropping-particle":"","parse-names":false,"suffix":""},{"dropping-particle":"","family":"Hassman","given":"David R.","non-dropping-particle":"","parse-names":false,"suffix":""},{"dropping-particle":"","family":"Hoffman","given":"Kent Steven","non-dropping-particle":"","parse-names":false,"suffix":""},{"dropping-particle":"","family":"Isacesu","given":"Valentin","non-dropping-particle":"","parse-names":false,"suffix":""},{"dropping-particle":"","family":"Ishaque","given":"Saleem","non-dropping-particle":"","parse-names":false,"suffix":""},{"dropping-particle":"","family":"Kakar","given":"Rishi","non-dropping-particle":"","parse-names":false,"suffix":""},{"dropping-particle":"","family":"Kampman","given":"Kyle","non-dropping-particle":"","parse-names":false,"suffix":""},{"dropping-particle":"","family":"Knapp","given":"Richard D.","non-dropping-particle":"","parse-names":false,"suffix":""},{"dropping-particle":"","family":"Konis","given":"George","non-dropping-particle":"","parse-names":false,"suffix":""},{"dropping-particle":"","family":"Kunovac","given":"Jelena","non-dropping-particle":"","parse-names":false,"suffix":""},{"dropping-particle":"","family":"Kwentus","given":"Joseph A.","non-dropping-particle":"","parse-names":false,"suffix":""},{"dropping-particle":"","family":"Levinson","given":"Lawrence S.","non-dropping-particle":"","parse-names":false,"suffix":""},{"dropping-particle":"","family":"Malhotra","given":"Shishuka","non-dropping-particle":"","parse-names":false,"suffix":""},{"dropping-particle":"","family":"Mehra","given":"Vishaal","non-dropping-particle":"","parse-names":false,"suffix":""},{"dropping-particle":"","family":"Mofsen","given":"Ricky Stuart","non-dropping-particle":"","parse-names":false,"suffix":""},{"dropping-particle":"","family":"Peyton","given":"Marvin Lane","non-dropping-particle":"","parse-names":false,"suffix":""},{"dropping-particle":"","family":"Pujari","given":"Gita G.","non-dropping-particle":"","parse-names":false,"suffix":""},{"dropping-particle":"","family":"Ranjan","given":"Rakesh","non-dropping-particle":"","parse-names":false,"suffix":""},{"dropping-particle":"","family":"Rutrick","given":"Daniel","non-dropping-particle":"","parse-names":false,"suffix":""},{"dropping-particle":"","family":"Seal","given":"Gregory","non-dropping-particle":"","parse-names":false,"suffix":""},{"dropping-particle":"","family":"Segal","given":"Scott Daniel","non-dropping-particle":"","parse-names":false,"suffix":""},{"dropping-particle":"","family":"Shiwach","given":"Rajinder","non-dropping-particle":"","parse-names":false,"suffix":""},{"dropping-particle":"","family":"Thomas","given":"Haydn Mikel","non-dropping-particle":"","parse-names":false,"suffix":""},{"dropping-particle":"","family":"Ventre","given":"Peter Paul","non-dropping-particle":"","parse-names":false,"suffix":""},{"dropping-particle":"","family":"Vijapura","given":"Amit K.","non-dropping-particle":"","parse-names":false,"suffix":""},{"dropping-particle":"","family":"Walling","given":"David P.","non-dropping-particle":"","parse-names":false,"suffix":""},{"dropping-particle":"","family":"Wiest","given":"Katharina L.","non-dropping-particle":"","parse-names":false,"suffix":""}],"container-title":"The Lancet","id":"ITEM-1","issued":{"date-parts":[["2019"]]},"title":"Efficacy and safety of a monthly buprenorphine depot injection for opioid use disorder: a multicentre, randomised, double-blind, placebo-controlled, phase 3 trial","type":"article-journal"},"uris":["http://www.mendeley.com/documents/?uuid=ff98a792-e7e4-4bbc-ae5c-76dbb08662c5"]}],"mendeley":{"formattedCitation":"(Haight et al., 2019)","plainTextFormattedCitation":"(Haight et al., 2019)","previouslyFormattedCitation":"(Haight et al., 2019)"},"properties":{"noteIndex":0},"schema":"https://github.com/citation-style-language/schema/raw/master/csl-citation.json"}</w:instrText>
            </w:r>
            <w:r>
              <w:rPr>
                <w:rFonts w:cstheme="minorHAnsi"/>
                <w:lang w:val="en-US"/>
              </w:rPr>
              <w:fldChar w:fldCharType="separate"/>
            </w:r>
            <w:r w:rsidRPr="00605DBB">
              <w:rPr>
                <w:rFonts w:cstheme="minorHAnsi"/>
                <w:noProof/>
                <w:lang w:val="en-US"/>
              </w:rPr>
              <w:t>(Haight et al., 2019)</w:t>
            </w:r>
            <w:r>
              <w:rPr>
                <w:rFonts w:cstheme="minorHAnsi"/>
                <w:lang w:val="en-US"/>
              </w:rPr>
              <w:fldChar w:fldCharType="end"/>
            </w:r>
          </w:p>
          <w:p w14:paraId="0AC6DDE6" w14:textId="77777777" w:rsidR="000521C8" w:rsidRDefault="000521C8" w:rsidP="00683BE1">
            <w:pPr>
              <w:rPr>
                <w:rFonts w:cstheme="minorHAnsi"/>
                <w:lang w:val="en-US"/>
              </w:rPr>
            </w:pPr>
            <w:r>
              <w:rPr>
                <w:rFonts w:cstheme="minorHAnsi"/>
                <w:lang w:val="en-US"/>
              </w:rPr>
              <w:fldChar w:fldCharType="begin" w:fldLock="1"/>
            </w:r>
            <w:r>
              <w:rPr>
                <w:rFonts w:cstheme="minorHAnsi"/>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2018)","plainTextFormattedCitation":"(Lofwall et al., 2018)","previouslyFormattedCitation":"(Lofwall et al., 2018)"},"properties":{"noteIndex":0},"schema":"https://github.com/citation-style-language/schema/raw/master/csl-citation.json"}</w:instrText>
            </w:r>
            <w:r>
              <w:rPr>
                <w:rFonts w:cstheme="minorHAnsi"/>
                <w:lang w:val="en-US"/>
              </w:rPr>
              <w:fldChar w:fldCharType="separate"/>
            </w:r>
            <w:r w:rsidRPr="00E23E23">
              <w:rPr>
                <w:rFonts w:cstheme="minorHAnsi"/>
                <w:noProof/>
                <w:lang w:val="en-US"/>
              </w:rPr>
              <w:t>(Lofwall et al., 2018)</w:t>
            </w:r>
            <w:r>
              <w:rPr>
                <w:rFonts w:cstheme="minorHAnsi"/>
                <w:lang w:val="en-US"/>
              </w:rPr>
              <w:fldChar w:fldCharType="end"/>
            </w:r>
          </w:p>
          <w:p w14:paraId="03900730" w14:textId="77777777" w:rsidR="000521C8" w:rsidRDefault="000521C8" w:rsidP="00683BE1">
            <w:pPr>
              <w:rPr>
                <w:rFonts w:cstheme="minorHAnsi"/>
                <w:lang w:val="en-US"/>
              </w:rPr>
            </w:pPr>
            <w:r>
              <w:rPr>
                <w:rFonts w:cstheme="minorHAnsi"/>
                <w:lang w:val="en-US"/>
              </w:rPr>
              <w:fldChar w:fldCharType="begin" w:fldLock="1"/>
            </w:r>
            <w:r>
              <w:rPr>
                <w:rFonts w:cstheme="minorHAnsi"/>
                <w:lang w:val="en-US"/>
              </w:rPr>
              <w:instrText>ADDIN CSL_CITATION {"citationItems":[{"id":"ITEM-1","itemData":{"DOI":"10.3310/hta23030","ISSN":"20464924","PMID":"30702059","abstract":"Background: People recovering from heroin addiction need better treatments than are currently offered. The chronic relapsing nature of drug dependence means that helping a patient to achieve abstinence is often difficult. Naltrexone blocks the effects of ingested heroin; however, evidence is conflicting regarding the best delivery method. Objectives: The primary purpose of the trial was to evaluate the clinical effectiveness and cost-effectiveness of extended-release naltrexone versus standard oral naltrexone versus relapse prevention therapy without medication for opioid use disorder (OUD). Design: This was a 3-year, definitive, three-centre, three-arm, parallel group, placebo-controlled, double-blind, double-dummy, randomised controlled trial. Setting: Two specialist NHS outpatient addiction clinics: one in London and one in Birmingham. Participants: Planned study sample - 300 adult patients with OUD who had completed detoxification. Interventions: One iGen/Atral-Cipan Extended Release Naltrexone device (iGen/Atral-Cipan, Castanheira do Ribatejo, Portugal) (765 mg naltrexone or placebo) at day 0 of study week 1. Three weekly directly observed active or placebo oral naltrexone tablets (2 × 50 mg, Monday and Wednesday; 3 × 50 mg, Friday) at day 0 of study week 1 (for 4 weeks) and then an 8-week regimen of patient-administered dosing at the same dosing level. Main outcome measure: The primary outcome measure was the proportion of heroin-negative urine drug screen (UDS) results at the end of the 12-week post-randomisation time point. Results: Six patients were recruited and randomised to receive study interventions. Two patients had no positive UDS samples for heroin during the 12-week treatment period, one patient had only one positive UDS sample and the remaining patients had two, six and eight positive UDS results for heroin. All patients had at least one missed clinic visit (range 1-14). Conclusions: Considerable problems were encountered with (1) the stipulated requirement of a validated ‘detoxified’ status prior to the initiation of the study naltrexone, (2) the requirement for a consent coolingoff period and (3) delays awaiting the surgical implant procedure. Major upheaval to the organisation and delivery of NHS community treatment services across England led to extremely poor levels of actual entry of patients into the trial. Research-vital clinical and procedural requirements were, therefore, more challenging to implement. The potential therapeu…","author":[{"dropping-particle":"","family":"Strang","given":"John","non-dropping-particle":"","parse-names":false,"suffix":""},{"dropping-particle":"","family":"Kelleher","given":"Michael","non-dropping-particle":"","parse-names":false,"suffix":""},{"dropping-particle":"","family":"Mayet","given":"Soraya","non-dropping-particle":"","parse-names":false,"suffix":""},{"dropping-particle":"","family":"Day","given":"Ed","non-dropping-particle":"","parse-names":false,"suffix":""},{"dropping-particle":"","family":"Hellier","given":"Jennifer","non-dropping-particle":"","parse-names":false,"suffix":""},{"dropping-particle":"","family":"Byford","given":"Sarah","non-dropping-particle":"","parse-names":false,"suffix":""},{"dropping-particle":"","family":"Murphy","given":"Caroline","non-dropping-particle":"","parse-names":false,"suffix":""},{"dropping-particle":"","family":"McLennan","given":"Blair","non-dropping-particle":"","parse-names":false,"suffix":""},{"dropping-particle":"","family":"Shearer","given":"James","non-dropping-particle":"","parse-names":false,"suffix":""},{"dropping-particle":"","family":"Ryan","given":"Elizabeth","non-dropping-particle":"","parse-names":false,"suffix":""},{"dropping-particle":"","family":"Marsden","given":"John","non-dropping-particle":"","parse-names":false,"suffix":""}],"container-title":"Health Technology Assessment","id":"ITEM-1","issued":{"date-parts":[["2019"]]},"title":"Extended-release naltrexone versus standard oral naltrexone versus placebo for opioid use disorder: The NEAT three-arm RCT","type":"article-journal"},"uris":["http://www.mendeley.com/documents/?uuid=0af2de75-3487-4e9d-84d3-43fce5716d53"]}],"mendeley":{"formattedCitation":"(Strang et al., 2019)","plainTextFormattedCitation":"(Strang et al., 2019)","previouslyFormattedCitation":"(Strang et al., 2019)"},"properties":{"noteIndex":0},"schema":"https://github.com/citation-style-language/schema/raw/master/csl-citation.json"}</w:instrText>
            </w:r>
            <w:r>
              <w:rPr>
                <w:rFonts w:cstheme="minorHAnsi"/>
                <w:lang w:val="en-US"/>
              </w:rPr>
              <w:fldChar w:fldCharType="separate"/>
            </w:r>
            <w:r w:rsidRPr="00E23E23">
              <w:rPr>
                <w:rFonts w:cstheme="minorHAnsi"/>
                <w:noProof/>
                <w:lang w:val="en-US"/>
              </w:rPr>
              <w:t>(Strang et al., 2019)</w:t>
            </w:r>
            <w:r>
              <w:rPr>
                <w:rFonts w:cstheme="minorHAnsi"/>
                <w:lang w:val="en-US"/>
              </w:rPr>
              <w:fldChar w:fldCharType="end"/>
            </w:r>
          </w:p>
          <w:p w14:paraId="2EC4B978" w14:textId="477081E5" w:rsidR="000521C8" w:rsidRDefault="000521C8" w:rsidP="00683BE1">
            <w:pPr>
              <w:rPr>
                <w:rFonts w:cstheme="minorHAnsi"/>
                <w:lang w:val="en-US"/>
              </w:rPr>
            </w:pPr>
            <w:r>
              <w:rPr>
                <w:rFonts w:cstheme="minorHAnsi"/>
                <w:lang w:val="en-US"/>
              </w:rPr>
              <w:fldChar w:fldCharType="begin" w:fldLock="1"/>
            </w:r>
            <w:r>
              <w:rPr>
                <w:rFonts w:cstheme="minorHAnsi"/>
                <w:lang w:val="en-US"/>
              </w:rPr>
              <w:instrText>ADDIN CSL_CITATION {"citationItems":[{"id":"ITEM-1","itemData":{"DOI":"10.1001/jama.2008.574","ISSN":"00987484","PMID":"18984887","abstract":"Context: The usual treatment for opioid-addicted youth is detoxification and counseling. Extended medication-assisted therapy may be more helpful. Objective: To evaluate the efficacy of continuing buprenorphine-naloxone for 12 weeks vs detoxification for opioid-addicted youth. Design, Setting, and Patients: Clinical trial at 6 community programs from July 2003 to December 2006 including 152 patients aged 15 to 21 years who were randomized to 12 weeks of buprenorphine-naloxone or a 14-day taper (detox). Interventions: Patients in the 12-week buprenorphine-naloxone group were prescribed up to 24 mg per day for 9 weeks and then tapered to week 12; patients in the detox group were prescribed up to 14 mg per day and then tapered to day 14. All were offered weekly individual and group counseling. Main Outcome Measure: Opioid-positive urine test result at weeks 4, 8, and 12. Results: The number of patients younger than 18 years was too small to analyze separately, but overall, patients in the detox group had higher proportions of opioid-positive urine test results at weeks 4 and 8 but not at week 12 (χ22=4.93, P=.09). At week 4, 59 detox patients had positive results (61%; 95% confidence interval [CI]=47%-75%) vs 58 12-week buprenorphine-naloxone patients (26%; 95% CI=14%-38%). At week 8, 53 detox patients had positive results (54%; 95% CI=38%-70%) vs 52 12-week buprenorphine-naloxone patients (23%; 95% CI=11%-35%). At week 12, 53 detox patients had positive results (51%; 95% CI=35%-67%) vs 49 12-week buprenorphine-naloxone patients (43%; 95% CI=29%-57%). By week 12, 16 of 78 detox patients (20.5%) remained in treatment vs 52 of 74 12-week buprenorphinenaloxone patients (70%; χ12=32.90, P&lt;.001). During weeks 1 through 12, patients in the 12-week buprenorphine-naloxone group reported less opioid use (χ12 = 18.45, P&lt;.001), less injecting (χ12=6.00, P=.01), and less nonstudy addiction treatment (χ12=25.82, P&lt;.001). High levels of opioid use occurred in both groups at follow-up. Four of 83 patients who tested negative for hepatitis C at baseline were positive for hepatitis C at week 12. Conclusions: Continuing treatment with buprenorphine-naloxone improved outcome compared with short-term detoxification. Further research is necessary to assess the efficacy and safety of longer-term treatment with buprenorphine for young individuals with opioid dependence. Trial Registration clinicaltrials.gov Identifier: NCT00078130. ©2008 American Medical Association. All rights …","author":[{"dropping-particle":"","family":"Woody","given":"George E.","non-dropping-particle":"","parse-names":false,"suffix":""},{"dropping-particle":"","family":"Poole","given":"Sabrina A.","non-dropping-particle":"","parse-names":false,"suffix":""},{"dropping-particle":"","family":"Subramaniam","given":"Geetha","non-dropping-particle":"","parse-names":false,"suffix":""},{"dropping-particle":"","family":"Dugosh","given":"Karen","non-dropping-particle":"","parse-names":false,"suffix":""},{"dropping-particle":"","family":"Bogenschutz","given":"Michael","non-dropping-particle":"","parse-names":false,"suffix":""},{"dropping-particle":"","family":"Abbott","given":"Patrick","non-dropping-particle":"","parse-names":false,"suffix":""},{"dropping-particle":"","family":"Patkar","given":"Ashwin","non-dropping-particle":"","parse-names":false,"suffix":""},{"dropping-particle":"","family":"Publicker","given":"Mark","non-dropping-particle":"","parse-names":false,"suffix":""},{"dropping-particle":"","family":"McCain","given":"Karen","non-dropping-particle":"","parse-names":false,"suffix":""},{"dropping-particle":"","family":"Potter","given":"Jennifer Sharpe","non-dropping-particle":"","parse-names":false,"suffix":""},{"dropping-particle":"","family":"Forman","given":"Robert","non-dropping-particle":"","parse-names":false,"suffix":""},{"dropping-particle":"","family":"Vetter","given":"Victoria","non-dropping-particle":"","parse-names":false,"suffix":""},{"dropping-particle":"","family":"McNicholas","given":"Laura","non-dropping-particle":"","parse-names":false,"suffix":""},{"dropping-particle":"","family":"Blaine","given":"Jack","non-dropping-particle":"","parse-names":false,"suffix":""},{"dropping-particle":"","family":"Lynch","given":"Kevin G.","non-dropping-particle":"","parse-names":false,"suffix":""},{"dropping-particle":"","family":"Fudala","given":"Paul","non-dropping-particle":"","parse-names":false,"suffix":""}],"container-title":"JAMA - Journal of the American Medical Association","id":"ITEM-1","issued":{"date-parts":[["2008"]]},"title":"Extended vs short-term buprenorphine-naloxone for treatment of opioid-addicted youth A randomized trial","type":"article-journal"},"uris":["http://www.mendeley.com/documents/?uuid=ac862572-8625-4482-82c7-3ee61ae400ef"]}],"mendeley":{"formattedCitation":"(Woody et al., 2008)","plainTextFormattedCitation":"(Woody et al., 2008)","previouslyFormattedCitation":"(Woody et al., 2008)"},"properties":{"noteIndex":0},"schema":"https://github.com/citation-style-language/schema/raw/master/csl-citation.json"}</w:instrText>
            </w:r>
            <w:r>
              <w:rPr>
                <w:rFonts w:cstheme="minorHAnsi"/>
                <w:lang w:val="en-US"/>
              </w:rPr>
              <w:fldChar w:fldCharType="separate"/>
            </w:r>
            <w:r w:rsidRPr="00FE0BF7">
              <w:rPr>
                <w:rFonts w:cstheme="minorHAnsi"/>
                <w:noProof/>
                <w:lang w:val="en-US"/>
              </w:rPr>
              <w:t>(Woody et al., 2008)</w:t>
            </w:r>
            <w:r>
              <w:rPr>
                <w:rFonts w:cstheme="minorHAnsi"/>
                <w:lang w:val="en-US"/>
              </w:rPr>
              <w:fldChar w:fldCharType="end"/>
            </w:r>
          </w:p>
        </w:tc>
        <w:tc>
          <w:tcPr>
            <w:tcW w:w="7272" w:type="dxa"/>
            <w:tcBorders>
              <w:bottom w:val="single" w:sz="12" w:space="0" w:color="auto"/>
            </w:tcBorders>
            <w:shd w:val="clear" w:color="auto" w:fill="EEECE1" w:themeFill="background2"/>
          </w:tcPr>
          <w:p w14:paraId="7372664D" w14:textId="77777777" w:rsidR="000521C8" w:rsidRDefault="000521C8" w:rsidP="00244D73">
            <w:pPr>
              <w:autoSpaceDE w:val="0"/>
              <w:autoSpaceDN w:val="0"/>
              <w:adjustRightInd w:val="0"/>
              <w:rPr>
                <w:rFonts w:cstheme="minorHAnsi"/>
                <w:lang w:val="en-US"/>
              </w:rPr>
            </w:pPr>
            <w:r>
              <w:rPr>
                <w:rFonts w:cstheme="minorHAnsi"/>
                <w:lang w:val="en-US"/>
              </w:rPr>
              <w:t xml:space="preserve">Ling et al. (2010): </w:t>
            </w:r>
            <w:r w:rsidRPr="00131E51">
              <w:rPr>
                <w:rFonts w:cstheme="minorHAnsi"/>
                <w:lang w:val="en-US"/>
              </w:rPr>
              <w:t>Proportion of 48 urine samples</w:t>
            </w:r>
            <w:r>
              <w:rPr>
                <w:rFonts w:cstheme="minorHAnsi"/>
                <w:lang w:val="en-US"/>
              </w:rPr>
              <w:t xml:space="preserve"> </w:t>
            </w:r>
            <w:r w:rsidRPr="00131E51">
              <w:rPr>
                <w:rFonts w:cstheme="minorHAnsi"/>
                <w:lang w:val="en-US"/>
              </w:rPr>
              <w:t>(obtained 3×/week) negative for illicit opioids during</w:t>
            </w:r>
            <w:r>
              <w:rPr>
                <w:rFonts w:cstheme="minorHAnsi"/>
                <w:lang w:val="en-US"/>
              </w:rPr>
              <w:t xml:space="preserve"> </w:t>
            </w:r>
            <w:r w:rsidRPr="00131E51">
              <w:rPr>
                <w:rFonts w:cstheme="minorHAnsi"/>
                <w:lang w:val="en-US"/>
              </w:rPr>
              <w:t>week</w:t>
            </w:r>
            <w:r>
              <w:rPr>
                <w:rFonts w:cstheme="minorHAnsi"/>
                <w:lang w:val="en-US"/>
              </w:rPr>
              <w:t>s 1-16</w:t>
            </w:r>
            <w:r w:rsidRPr="00131E51">
              <w:rPr>
                <w:rFonts w:cstheme="minorHAnsi"/>
                <w:lang w:val="en-US"/>
              </w:rPr>
              <w:t xml:space="preserve"> of</w:t>
            </w:r>
            <w:r>
              <w:rPr>
                <w:rFonts w:cstheme="minorHAnsi"/>
                <w:lang w:val="en-US"/>
              </w:rPr>
              <w:t xml:space="preserve"> </w:t>
            </w:r>
            <w:r w:rsidRPr="00131E51">
              <w:rPr>
                <w:rFonts w:cstheme="minorHAnsi"/>
                <w:lang w:val="en-US"/>
              </w:rPr>
              <w:t>the trial</w:t>
            </w:r>
          </w:p>
          <w:p w14:paraId="4A26F8DA" w14:textId="77777777" w:rsidR="000521C8" w:rsidRDefault="000521C8" w:rsidP="00605DBB">
            <w:pPr>
              <w:autoSpaceDE w:val="0"/>
              <w:autoSpaceDN w:val="0"/>
              <w:adjustRightInd w:val="0"/>
              <w:rPr>
                <w:rFonts w:cstheme="minorHAnsi"/>
                <w:lang w:val="en-US"/>
              </w:rPr>
            </w:pPr>
          </w:p>
          <w:p w14:paraId="03F7A761" w14:textId="77777777" w:rsidR="000521C8" w:rsidRDefault="000521C8" w:rsidP="007118E8">
            <w:pPr>
              <w:autoSpaceDE w:val="0"/>
              <w:autoSpaceDN w:val="0"/>
              <w:adjustRightInd w:val="0"/>
              <w:rPr>
                <w:rFonts w:cstheme="minorHAnsi"/>
                <w:lang w:val="en-US"/>
              </w:rPr>
            </w:pPr>
            <w:proofErr w:type="spellStart"/>
            <w:r>
              <w:rPr>
                <w:rFonts w:cstheme="minorHAnsi"/>
                <w:lang w:val="en-US"/>
              </w:rPr>
              <w:t>Mattick</w:t>
            </w:r>
            <w:proofErr w:type="spellEnd"/>
            <w:r>
              <w:rPr>
                <w:rFonts w:cstheme="minorHAnsi"/>
                <w:lang w:val="en-US"/>
              </w:rPr>
              <w:t xml:space="preserve"> et al. (2003): </w:t>
            </w:r>
            <w:r w:rsidRPr="009B761A">
              <w:rPr>
                <w:rFonts w:cstheme="minorHAnsi"/>
                <w:lang w:val="en-US"/>
              </w:rPr>
              <w:t>The absence of morphine in urine</w:t>
            </w:r>
            <w:r>
              <w:rPr>
                <w:rFonts w:cstheme="minorHAnsi"/>
                <w:lang w:val="en-US"/>
              </w:rPr>
              <w:t xml:space="preserve"> </w:t>
            </w:r>
            <w:r w:rsidRPr="009B761A">
              <w:rPr>
                <w:rFonts w:cstheme="minorHAnsi"/>
                <w:lang w:val="en-US"/>
              </w:rPr>
              <w:t>samples (obtained randomly</w:t>
            </w:r>
            <w:r>
              <w:rPr>
                <w:rFonts w:cstheme="minorHAnsi"/>
                <w:lang w:val="en-US"/>
              </w:rPr>
              <w:t xml:space="preserve"> </w:t>
            </w:r>
            <w:r w:rsidRPr="009B761A">
              <w:rPr>
                <w:rFonts w:cstheme="minorHAnsi"/>
                <w:lang w:val="en-US"/>
              </w:rPr>
              <w:t>every 2 weeks)</w:t>
            </w:r>
          </w:p>
          <w:p w14:paraId="08EF08F8" w14:textId="77777777" w:rsidR="000521C8" w:rsidRDefault="000521C8" w:rsidP="00605DBB">
            <w:pPr>
              <w:autoSpaceDE w:val="0"/>
              <w:autoSpaceDN w:val="0"/>
              <w:adjustRightInd w:val="0"/>
              <w:rPr>
                <w:rFonts w:cstheme="minorHAnsi"/>
                <w:lang w:val="en-US"/>
              </w:rPr>
            </w:pPr>
          </w:p>
          <w:p w14:paraId="3C2DD6DF" w14:textId="77777777" w:rsidR="000521C8" w:rsidRDefault="000521C8" w:rsidP="00605DBB">
            <w:pPr>
              <w:autoSpaceDE w:val="0"/>
              <w:autoSpaceDN w:val="0"/>
              <w:adjustRightInd w:val="0"/>
              <w:rPr>
                <w:rFonts w:cstheme="minorHAnsi"/>
                <w:lang w:val="en-US"/>
              </w:rPr>
            </w:pPr>
            <w:proofErr w:type="spellStart"/>
            <w:r>
              <w:rPr>
                <w:rFonts w:cstheme="minorHAnsi"/>
                <w:lang w:val="en-US"/>
              </w:rPr>
              <w:t>Fiellin</w:t>
            </w:r>
            <w:proofErr w:type="spellEnd"/>
            <w:r>
              <w:rPr>
                <w:rFonts w:cstheme="minorHAnsi"/>
                <w:lang w:val="en-US"/>
              </w:rPr>
              <w:t xml:space="preserve"> et al. (2006): P</w:t>
            </w:r>
            <w:r w:rsidRPr="009B761A">
              <w:rPr>
                <w:rFonts w:cstheme="minorHAnsi"/>
                <w:lang w:val="en-US"/>
              </w:rPr>
              <w:t>ercentage of opioid negative</w:t>
            </w:r>
            <w:r>
              <w:rPr>
                <w:rFonts w:cstheme="minorHAnsi"/>
                <w:lang w:val="en-US"/>
              </w:rPr>
              <w:t xml:space="preserve"> </w:t>
            </w:r>
            <w:r w:rsidRPr="009B761A">
              <w:rPr>
                <w:rFonts w:cstheme="minorHAnsi"/>
                <w:lang w:val="en-US"/>
              </w:rPr>
              <w:t>urine tests</w:t>
            </w:r>
            <w:r>
              <w:rPr>
                <w:rFonts w:cstheme="minorHAnsi"/>
                <w:lang w:val="en-US"/>
              </w:rPr>
              <w:t xml:space="preserve"> (weekly)</w:t>
            </w:r>
          </w:p>
          <w:p w14:paraId="19C75A1A" w14:textId="77777777" w:rsidR="000521C8" w:rsidRDefault="000521C8" w:rsidP="00605DBB">
            <w:pPr>
              <w:autoSpaceDE w:val="0"/>
              <w:autoSpaceDN w:val="0"/>
              <w:adjustRightInd w:val="0"/>
              <w:rPr>
                <w:rFonts w:cstheme="minorHAnsi"/>
                <w:lang w:val="en-US"/>
              </w:rPr>
            </w:pPr>
          </w:p>
          <w:p w14:paraId="0FD864C6" w14:textId="77777777" w:rsidR="000521C8" w:rsidRDefault="000521C8" w:rsidP="007118E8">
            <w:pPr>
              <w:autoSpaceDE w:val="0"/>
              <w:autoSpaceDN w:val="0"/>
              <w:adjustRightInd w:val="0"/>
              <w:rPr>
                <w:rFonts w:cstheme="minorHAnsi"/>
                <w:lang w:val="en-US"/>
              </w:rPr>
            </w:pPr>
            <w:proofErr w:type="spellStart"/>
            <w:r>
              <w:rPr>
                <w:rFonts w:cstheme="minorHAnsi"/>
                <w:lang w:val="en-US"/>
              </w:rPr>
              <w:t>Tanum</w:t>
            </w:r>
            <w:proofErr w:type="spellEnd"/>
            <w:r>
              <w:rPr>
                <w:rFonts w:cstheme="minorHAnsi"/>
                <w:lang w:val="en-US"/>
              </w:rPr>
              <w:t xml:space="preserve"> et al. (2017): </w:t>
            </w:r>
            <w:r w:rsidRPr="00605DBB">
              <w:rPr>
                <w:rFonts w:cstheme="minorHAnsi"/>
                <w:lang w:val="en-US"/>
              </w:rPr>
              <w:t xml:space="preserve">Proportion of opioid negative </w:t>
            </w:r>
            <w:r>
              <w:rPr>
                <w:rFonts w:cstheme="minorHAnsi"/>
                <w:lang w:val="en-US"/>
              </w:rPr>
              <w:t>UDS</w:t>
            </w:r>
            <w:r w:rsidRPr="00605DBB">
              <w:rPr>
                <w:rFonts w:cstheme="minorHAnsi"/>
                <w:lang w:val="en-US"/>
              </w:rPr>
              <w:t xml:space="preserve"> (weekly) during study</w:t>
            </w:r>
          </w:p>
          <w:p w14:paraId="4C8B2DF8" w14:textId="77777777" w:rsidR="000521C8" w:rsidRDefault="000521C8" w:rsidP="00605DBB">
            <w:pPr>
              <w:autoSpaceDE w:val="0"/>
              <w:autoSpaceDN w:val="0"/>
              <w:adjustRightInd w:val="0"/>
              <w:rPr>
                <w:rFonts w:cstheme="minorHAnsi"/>
                <w:lang w:val="en-US"/>
              </w:rPr>
            </w:pPr>
          </w:p>
          <w:p w14:paraId="126F506C" w14:textId="77777777" w:rsidR="000521C8" w:rsidRDefault="000521C8" w:rsidP="007118E8">
            <w:pPr>
              <w:autoSpaceDE w:val="0"/>
              <w:autoSpaceDN w:val="0"/>
              <w:adjustRightInd w:val="0"/>
              <w:rPr>
                <w:rFonts w:cstheme="minorHAnsi"/>
                <w:lang w:val="en-US"/>
              </w:rPr>
            </w:pPr>
            <w:r>
              <w:rPr>
                <w:rFonts w:cstheme="minorHAnsi"/>
                <w:lang w:val="en-US"/>
              </w:rPr>
              <w:t>Haight et al. (2019): P</w:t>
            </w:r>
            <w:r w:rsidRPr="0076124F">
              <w:rPr>
                <w:rFonts w:cstheme="minorHAnsi"/>
                <w:lang w:val="en-US"/>
              </w:rPr>
              <w:t xml:space="preserve">ercentage of each participant's negative urine samples </w:t>
            </w:r>
            <w:r>
              <w:rPr>
                <w:rFonts w:cstheme="minorHAnsi"/>
                <w:lang w:val="en-US"/>
              </w:rPr>
              <w:t xml:space="preserve">(obtained weekly) </w:t>
            </w:r>
            <w:r w:rsidRPr="0076124F">
              <w:rPr>
                <w:rFonts w:cstheme="minorHAnsi"/>
                <w:lang w:val="en-US"/>
              </w:rPr>
              <w:t>and self-reports of illicit opioid use from week 5 to week 2</w:t>
            </w:r>
            <w:r>
              <w:rPr>
                <w:rFonts w:cstheme="minorHAnsi"/>
                <w:lang w:val="en-US"/>
              </w:rPr>
              <w:t>4 [the authors call this outcome “</w:t>
            </w:r>
            <w:r w:rsidRPr="00605DBB">
              <w:rPr>
                <w:rFonts w:cstheme="minorHAnsi"/>
                <w:lang w:val="en-US"/>
              </w:rPr>
              <w:t>participants' percentage abstinence from opioid use</w:t>
            </w:r>
            <w:r>
              <w:rPr>
                <w:rFonts w:cstheme="minorHAnsi"/>
                <w:lang w:val="en-US"/>
              </w:rPr>
              <w:t>”]</w:t>
            </w:r>
          </w:p>
          <w:p w14:paraId="02DAB7B3" w14:textId="77777777" w:rsidR="000521C8" w:rsidRDefault="000521C8" w:rsidP="00605DBB">
            <w:pPr>
              <w:autoSpaceDE w:val="0"/>
              <w:autoSpaceDN w:val="0"/>
              <w:adjustRightInd w:val="0"/>
              <w:rPr>
                <w:rFonts w:cstheme="minorHAnsi"/>
                <w:lang w:val="en-US"/>
              </w:rPr>
            </w:pPr>
          </w:p>
          <w:p w14:paraId="1BC60088" w14:textId="77777777" w:rsidR="000521C8" w:rsidRDefault="000521C8" w:rsidP="007118E8">
            <w:pPr>
              <w:autoSpaceDE w:val="0"/>
              <w:autoSpaceDN w:val="0"/>
              <w:adjustRightInd w:val="0"/>
              <w:rPr>
                <w:rFonts w:cstheme="minorHAnsi"/>
                <w:lang w:val="en-US"/>
              </w:rPr>
            </w:pPr>
            <w:proofErr w:type="spellStart"/>
            <w:r>
              <w:rPr>
                <w:rFonts w:cstheme="minorHAnsi"/>
                <w:lang w:val="en-US"/>
              </w:rPr>
              <w:t>Lofwall</w:t>
            </w:r>
            <w:proofErr w:type="spellEnd"/>
            <w:r>
              <w:rPr>
                <w:rFonts w:cstheme="minorHAnsi"/>
                <w:lang w:val="en-US"/>
              </w:rPr>
              <w:t xml:space="preserve"> et al. (2018): </w:t>
            </w:r>
            <w:r w:rsidRPr="00894AB2">
              <w:rPr>
                <w:rFonts w:cstheme="minorHAnsi"/>
                <w:lang w:val="en-US"/>
              </w:rPr>
              <w:t xml:space="preserve">Proportion of </w:t>
            </w:r>
            <w:r>
              <w:rPr>
                <w:rFonts w:cstheme="minorHAnsi"/>
                <w:lang w:val="en-US"/>
              </w:rPr>
              <w:t>UDS</w:t>
            </w:r>
            <w:r w:rsidRPr="00894AB2">
              <w:rPr>
                <w:rFonts w:cstheme="minorHAnsi"/>
                <w:lang w:val="en-US"/>
              </w:rPr>
              <w:t xml:space="preserve"> negative for illicit opioids</w:t>
            </w:r>
            <w:r>
              <w:rPr>
                <w:rFonts w:cstheme="minorHAnsi"/>
                <w:lang w:val="en-US"/>
              </w:rPr>
              <w:t xml:space="preserve">. Urine </w:t>
            </w:r>
            <w:r w:rsidRPr="00E23E23">
              <w:rPr>
                <w:rFonts w:cstheme="minorHAnsi"/>
                <w:lang w:val="en-US"/>
              </w:rPr>
              <w:t>samples obtained</w:t>
            </w:r>
            <w:r>
              <w:rPr>
                <w:rFonts w:cstheme="minorHAnsi"/>
                <w:lang w:val="en-US"/>
              </w:rPr>
              <w:t xml:space="preserve"> </w:t>
            </w:r>
            <w:r w:rsidRPr="00E23E23">
              <w:rPr>
                <w:rFonts w:cstheme="minorHAnsi"/>
                <w:lang w:val="en-US"/>
              </w:rPr>
              <w:t>at each study visit (weeks 1‐12,</w:t>
            </w:r>
            <w:r>
              <w:rPr>
                <w:rFonts w:cstheme="minorHAnsi"/>
                <w:lang w:val="en-US"/>
              </w:rPr>
              <w:t xml:space="preserve"> </w:t>
            </w:r>
            <w:r w:rsidRPr="00E23E23">
              <w:rPr>
                <w:rFonts w:cstheme="minorHAnsi"/>
                <w:lang w:val="en-US"/>
              </w:rPr>
              <w:t>16, 20, and 24) plus 3 random</w:t>
            </w:r>
            <w:r>
              <w:rPr>
                <w:rFonts w:cstheme="minorHAnsi"/>
                <w:lang w:val="en-US"/>
              </w:rPr>
              <w:t xml:space="preserve"> </w:t>
            </w:r>
            <w:r w:rsidRPr="00E23E23">
              <w:rPr>
                <w:rFonts w:cstheme="minorHAnsi"/>
                <w:lang w:val="en-US"/>
              </w:rPr>
              <w:t>visits during weeks 12‐24</w:t>
            </w:r>
            <w:r>
              <w:rPr>
                <w:rFonts w:cstheme="minorHAnsi"/>
                <w:lang w:val="en-US"/>
              </w:rPr>
              <w:t>.</w:t>
            </w:r>
          </w:p>
          <w:p w14:paraId="160F2539" w14:textId="77777777" w:rsidR="000521C8" w:rsidRDefault="000521C8" w:rsidP="007118E8">
            <w:pPr>
              <w:autoSpaceDE w:val="0"/>
              <w:autoSpaceDN w:val="0"/>
              <w:adjustRightInd w:val="0"/>
              <w:rPr>
                <w:rFonts w:cstheme="minorHAnsi"/>
                <w:lang w:val="en-US"/>
              </w:rPr>
            </w:pPr>
          </w:p>
          <w:p w14:paraId="55AF71EA" w14:textId="77777777" w:rsidR="000521C8" w:rsidRDefault="000521C8" w:rsidP="00605DBB">
            <w:pPr>
              <w:autoSpaceDE w:val="0"/>
              <w:autoSpaceDN w:val="0"/>
              <w:adjustRightInd w:val="0"/>
              <w:rPr>
                <w:rFonts w:cstheme="minorHAnsi"/>
                <w:lang w:val="en-US"/>
              </w:rPr>
            </w:pPr>
            <w:r>
              <w:rPr>
                <w:rFonts w:cstheme="minorHAnsi"/>
                <w:lang w:val="en-US"/>
              </w:rPr>
              <w:t xml:space="preserve">Strang et al. (2019): </w:t>
            </w:r>
            <w:r w:rsidRPr="00E23E23">
              <w:rPr>
                <w:rFonts w:cstheme="minorHAnsi"/>
                <w:lang w:val="en-US"/>
              </w:rPr>
              <w:t xml:space="preserve">Proportion of heroin‐negative </w:t>
            </w:r>
            <w:r>
              <w:rPr>
                <w:rFonts w:cstheme="minorHAnsi"/>
                <w:lang w:val="en-US"/>
              </w:rPr>
              <w:t>UDS</w:t>
            </w:r>
            <w:r w:rsidRPr="00E23E23">
              <w:rPr>
                <w:rFonts w:cstheme="minorHAnsi"/>
                <w:lang w:val="en-US"/>
              </w:rPr>
              <w:t xml:space="preserve"> (obtained 3×/week) at the end of the 12‐week</w:t>
            </w:r>
            <w:r>
              <w:rPr>
                <w:rFonts w:cstheme="minorHAnsi"/>
                <w:lang w:val="en-US"/>
              </w:rPr>
              <w:t xml:space="preserve"> </w:t>
            </w:r>
            <w:proofErr w:type="spellStart"/>
            <w:r w:rsidRPr="00E23E23">
              <w:rPr>
                <w:rFonts w:cstheme="minorHAnsi"/>
                <w:lang w:val="en-US"/>
              </w:rPr>
              <w:t>postrandomization</w:t>
            </w:r>
            <w:proofErr w:type="spellEnd"/>
            <w:r w:rsidRPr="00E23E23">
              <w:rPr>
                <w:rFonts w:cstheme="minorHAnsi"/>
                <w:lang w:val="en-US"/>
              </w:rPr>
              <w:t xml:space="preserve"> time point</w:t>
            </w:r>
          </w:p>
          <w:p w14:paraId="341C55E7" w14:textId="77777777" w:rsidR="000521C8" w:rsidRDefault="000521C8" w:rsidP="00605DBB">
            <w:pPr>
              <w:autoSpaceDE w:val="0"/>
              <w:autoSpaceDN w:val="0"/>
              <w:adjustRightInd w:val="0"/>
              <w:rPr>
                <w:rFonts w:cstheme="minorHAnsi"/>
                <w:lang w:val="en-US"/>
              </w:rPr>
            </w:pPr>
          </w:p>
          <w:p w14:paraId="4C0BEE7C" w14:textId="3E184AF8" w:rsidR="000521C8" w:rsidRDefault="000521C8" w:rsidP="00605DBB">
            <w:pPr>
              <w:autoSpaceDE w:val="0"/>
              <w:autoSpaceDN w:val="0"/>
              <w:adjustRightInd w:val="0"/>
              <w:rPr>
                <w:rFonts w:cstheme="minorHAnsi"/>
                <w:lang w:val="en-US"/>
              </w:rPr>
            </w:pPr>
            <w:r>
              <w:rPr>
                <w:rFonts w:cstheme="minorHAnsi"/>
                <w:lang w:val="en-US"/>
              </w:rPr>
              <w:t>Woody et al. (2008): Percentage of participants with o</w:t>
            </w:r>
            <w:r w:rsidRPr="00FE0BF7">
              <w:rPr>
                <w:rFonts w:cstheme="minorHAnsi"/>
                <w:lang w:val="en-US"/>
              </w:rPr>
              <w:t>pioid‐positive urine test results at</w:t>
            </w:r>
            <w:r>
              <w:rPr>
                <w:rFonts w:cstheme="minorHAnsi"/>
                <w:lang w:val="en-US"/>
              </w:rPr>
              <w:t xml:space="preserve"> </w:t>
            </w:r>
            <w:r w:rsidRPr="00FE0BF7">
              <w:rPr>
                <w:rFonts w:cstheme="minorHAnsi"/>
                <w:lang w:val="en-US"/>
              </w:rPr>
              <w:t>weeks 4, 8, 12</w:t>
            </w:r>
          </w:p>
        </w:tc>
        <w:tc>
          <w:tcPr>
            <w:tcW w:w="4183" w:type="dxa"/>
            <w:tcBorders>
              <w:bottom w:val="single" w:sz="12" w:space="0" w:color="auto"/>
            </w:tcBorders>
            <w:shd w:val="clear" w:color="auto" w:fill="EEECE1" w:themeFill="background2"/>
          </w:tcPr>
          <w:p w14:paraId="00C8E63D" w14:textId="218C4B2A" w:rsidR="000521C8" w:rsidRDefault="000521C8" w:rsidP="00683BE1">
            <w:pPr>
              <w:rPr>
                <w:rFonts w:cstheme="minorHAnsi"/>
                <w:lang w:val="en-US"/>
              </w:rPr>
            </w:pPr>
            <w:r>
              <w:rPr>
                <w:rFonts w:cstheme="minorHAnsi"/>
                <w:lang w:val="en-US"/>
              </w:rPr>
              <w:t>Reduction</w:t>
            </w:r>
          </w:p>
        </w:tc>
      </w:tr>
    </w:tbl>
    <w:p w14:paraId="36185183" w14:textId="77777777" w:rsidR="00783F82" w:rsidRDefault="00604651" w:rsidP="00783F82">
      <w:pPr>
        <w:spacing w:after="0"/>
        <w:rPr>
          <w:rFonts w:cstheme="minorHAnsi"/>
          <w:lang w:val="en-US"/>
        </w:rPr>
      </w:pPr>
      <w:r w:rsidRPr="00604651">
        <w:rPr>
          <w:rFonts w:cstheme="minorHAnsi"/>
          <w:i/>
          <w:iCs/>
          <w:lang w:val="en-US"/>
        </w:rPr>
        <w:t xml:space="preserve">Note. </w:t>
      </w:r>
      <w:r w:rsidRPr="00604651">
        <w:rPr>
          <w:rFonts w:cstheme="minorHAnsi"/>
          <w:lang w:val="en-US"/>
        </w:rPr>
        <w:t>Negative UDS: opioid-negative Urine Drug Screen</w:t>
      </w:r>
    </w:p>
    <w:p w14:paraId="7ED5B7BA" w14:textId="4466C820" w:rsidR="00C95523" w:rsidRPr="00783F82" w:rsidRDefault="00357871">
      <w:pPr>
        <w:rPr>
          <w:rFonts w:cstheme="minorHAnsi"/>
          <w:lang w:val="en-US"/>
        </w:rPr>
      </w:pPr>
      <w:r w:rsidRPr="00E65216">
        <w:rPr>
          <w:rFonts w:cstheme="minorHAnsi"/>
          <w:sz w:val="20"/>
          <w:szCs w:val="20"/>
          <w:lang w:val="en-US"/>
        </w:rPr>
        <w:t xml:space="preserve">*Reported primary outcomes are proportion of participants who relapsed per treatment group + length of relapse free time per group. </w:t>
      </w:r>
    </w:p>
    <w:p w14:paraId="0BE29817" w14:textId="0EF15AFD" w:rsidR="007B0292" w:rsidRDefault="007B0292">
      <w:pPr>
        <w:rPr>
          <w:rFonts w:cstheme="minorHAnsi"/>
          <w:lang w:val="en-US"/>
        </w:rPr>
      </w:pPr>
    </w:p>
    <w:p w14:paraId="5C3C4AF7" w14:textId="1C2B9411" w:rsidR="007B0292" w:rsidRDefault="007B0292" w:rsidP="007B0292">
      <w:pPr>
        <w:rPr>
          <w:rFonts w:cstheme="minorHAnsi"/>
          <w:lang w:val="en-US"/>
        </w:rPr>
      </w:pPr>
      <w:r>
        <w:rPr>
          <w:rFonts w:cstheme="minorHAnsi"/>
          <w:lang w:val="en-US"/>
        </w:rPr>
        <w:lastRenderedPageBreak/>
        <w:t xml:space="preserve">Example of a very convoluted primary outcome </w:t>
      </w:r>
      <w:r>
        <w:rPr>
          <w:rFonts w:cstheme="minorHAnsi"/>
          <w:lang w:val="en-US"/>
        </w:rPr>
        <w:fldChar w:fldCharType="begin" w:fldLock="1"/>
      </w:r>
      <w:r w:rsidR="00FC3F2C">
        <w:rPr>
          <w:rFonts w:cstheme="minorHAnsi"/>
          <w:lang w:val="en-US"/>
        </w:rPr>
        <w:instrText>ADDIN CSL_CITATION {"citationItems":[{"id":"ITEM-1","itemData":{"DOI":"10.1111/appy.12344","ISSN":"1758-5864","author":[{"dropping-particle":"","family":"Wang","given":"XuYi","non-dropping-particle":"","parse-names":false,"suffix":""},{"dropping-particle":"","family":"Jiang","given":"Haifeng","non-dropping-particle":"","parse-names":false,"suffix":""},{"dropping-particle":"","family":"Zhao","given":"Min","non-dropping-particle":"","parse-names":false,"suffix":""},{"dropping-particle":"","family":"Li","given":"Jing","non-dropping-particle":"","parse-names":false,"suffix":""},{"dropping-particle":"","family":"Gray","given":"Frank","non-dropping-particle":"","parse-names":false,"suffix":""},{"dropping-particle":"","family":"Sheng","given":"Lixia","non-dropping-particle":"","parse-names":false,"suffix":""},{"dropping-particle":"","family":"Li","given":"Yi","non-dropping-particle":"","parse-names":false,"suffix":""},{"dropping-particle":"","family":"Li","given":"Xiaodong","non-dropping-particle":"","parse-names":false,"suffix":""},{"dropping-particle":"","family":"Ling","given":"Walter","non-dropping-particle":"","parse-names":false,"suffix":""},{"dropping-particle":"","family":"Li","given":"Wei","non-dropping-particle":"","parse-names":false,"suffix":""},{"dropping-particle":"","family":"Hao","given":"Wei","non-dropping-particle":"","parse-names":false,"suffix":""}],"container-title":"Asia-Pacific Psychiatry","id":"ITEM-1","issue":"1","issued":{"date-parts":[["2019","3","20"]]},"page":"e12344","title":"Treatment of opioid dependence with buprenorphine/naloxone sublingual tablets: A phase 3 randomized, double‐blind, placebo‐controlled trial","type":"article-journal","volume":"11"},"uris":["http://www.mendeley.com/documents/?uuid=2d5ec57f-5123-42da-9696-968b0845d460"]}],"mendeley":{"formattedCitation":"(Wang et al., 2019)","plainTextFormattedCitation":"(Wang et al., 2019)","previouslyFormattedCitation":"(Wang et al., 2019)"},"properties":{"noteIndex":0},"schema":"https://github.com/citation-style-language/schema/raw/master/csl-citation.json"}</w:instrText>
      </w:r>
      <w:r>
        <w:rPr>
          <w:rFonts w:cstheme="minorHAnsi"/>
          <w:lang w:val="en-US"/>
        </w:rPr>
        <w:fldChar w:fldCharType="separate"/>
      </w:r>
      <w:r w:rsidRPr="007B0292">
        <w:rPr>
          <w:rFonts w:cstheme="minorHAnsi"/>
          <w:noProof/>
          <w:lang w:val="en-US"/>
        </w:rPr>
        <w:t>(Wang et al., 2019)</w:t>
      </w:r>
      <w:r>
        <w:rPr>
          <w:rFonts w:cstheme="minorHAnsi"/>
          <w:lang w:val="en-US"/>
        </w:rPr>
        <w:fldChar w:fldCharType="end"/>
      </w:r>
      <w:r>
        <w:rPr>
          <w:rFonts w:cstheme="minorHAnsi"/>
          <w:lang w:val="en-US"/>
        </w:rPr>
        <w:t>: T</w:t>
      </w:r>
      <w:r w:rsidRPr="007B0292">
        <w:rPr>
          <w:rFonts w:cstheme="minorHAnsi"/>
          <w:lang w:val="en-US"/>
        </w:rPr>
        <w:t>reatment failure (3 consecutive</w:t>
      </w:r>
      <w:r>
        <w:rPr>
          <w:rFonts w:cstheme="minorHAnsi"/>
          <w:lang w:val="en-US"/>
        </w:rPr>
        <w:t xml:space="preserve"> </w:t>
      </w:r>
      <w:r w:rsidRPr="007B0292">
        <w:rPr>
          <w:rFonts w:cstheme="minorHAnsi"/>
          <w:lang w:val="en-US"/>
        </w:rPr>
        <w:t>opioid‐positive urine tests,</w:t>
      </w:r>
      <w:r>
        <w:rPr>
          <w:rFonts w:cstheme="minorHAnsi"/>
          <w:lang w:val="en-US"/>
        </w:rPr>
        <w:t xml:space="preserve"> </w:t>
      </w:r>
      <w:r w:rsidRPr="007B0292">
        <w:rPr>
          <w:rFonts w:cstheme="minorHAnsi"/>
          <w:lang w:val="en-US"/>
        </w:rPr>
        <w:t>dropout, discontinuation or</w:t>
      </w:r>
      <w:r>
        <w:rPr>
          <w:rFonts w:cstheme="minorHAnsi"/>
          <w:lang w:val="en-US"/>
        </w:rPr>
        <w:t xml:space="preserve"> </w:t>
      </w:r>
      <w:r w:rsidRPr="007B0292">
        <w:rPr>
          <w:rFonts w:cstheme="minorHAnsi"/>
          <w:lang w:val="en-US"/>
        </w:rPr>
        <w:t>discharge from study, or use of</w:t>
      </w:r>
      <w:r>
        <w:rPr>
          <w:rFonts w:cstheme="minorHAnsi"/>
          <w:lang w:val="en-US"/>
        </w:rPr>
        <w:t xml:space="preserve"> </w:t>
      </w:r>
      <w:r w:rsidRPr="007B0292">
        <w:rPr>
          <w:rFonts w:cstheme="minorHAnsi"/>
          <w:lang w:val="en-US"/>
        </w:rPr>
        <w:t>ancillary medication treatment</w:t>
      </w:r>
      <w:r>
        <w:rPr>
          <w:rFonts w:cstheme="minorHAnsi"/>
          <w:lang w:val="en-US"/>
        </w:rPr>
        <w:t xml:space="preserve"> </w:t>
      </w:r>
      <w:r w:rsidRPr="007B0292">
        <w:rPr>
          <w:rFonts w:cstheme="minorHAnsi"/>
          <w:lang w:val="en-US"/>
        </w:rPr>
        <w:t>for severe withdrawal over</w:t>
      </w:r>
      <w:r>
        <w:rPr>
          <w:rFonts w:cstheme="minorHAnsi"/>
          <w:lang w:val="en-US"/>
        </w:rPr>
        <w:t xml:space="preserve"> </w:t>
      </w:r>
      <w:r w:rsidRPr="007B0292">
        <w:rPr>
          <w:rFonts w:cstheme="minorHAnsi"/>
          <w:lang w:val="en-US"/>
        </w:rPr>
        <w:t>3 days following randomization)</w:t>
      </w:r>
    </w:p>
    <w:p w14:paraId="1F347950" w14:textId="20C4896E" w:rsidR="007B0292" w:rsidRPr="007B0292" w:rsidRDefault="007B0292" w:rsidP="007B0292">
      <w:pPr>
        <w:pStyle w:val="ListParagraph"/>
        <w:numPr>
          <w:ilvl w:val="0"/>
          <w:numId w:val="1"/>
        </w:numPr>
        <w:rPr>
          <w:rFonts w:cstheme="minorHAnsi"/>
          <w:lang w:val="en-US"/>
        </w:rPr>
      </w:pPr>
      <w:r>
        <w:rPr>
          <w:rFonts w:cstheme="minorHAnsi"/>
          <w:lang w:val="en-US"/>
        </w:rPr>
        <w:t xml:space="preserve">The more OR statements, the broader/less specific the outcome, and – presumably – the easier to see a “treatment effect”. </w:t>
      </w:r>
    </w:p>
    <w:sectPr w:rsidR="007B0292" w:rsidRPr="007B0292" w:rsidSect="00C95523">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rmfgjAdvTTb5929f4c">
    <w:altName w:val="Calibri"/>
    <w:panose1 w:val="020B0604020202020204"/>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636C6"/>
    <w:multiLevelType w:val="hybridMultilevel"/>
    <w:tmpl w:val="A7F634E8"/>
    <w:lvl w:ilvl="0" w:tplc="4D042310">
      <w:numFmt w:val="bullet"/>
      <w:lvlText w:val=""/>
      <w:lvlJc w:val="left"/>
      <w:pPr>
        <w:ind w:left="720" w:hanging="360"/>
      </w:pPr>
      <w:rPr>
        <w:rFonts w:ascii="Wingdings" w:eastAsiaTheme="minorHAnsi" w:hAnsi="Wingdings" w:cs="LrmfgjAdvTTb5929f4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4C"/>
    <w:rsid w:val="000521C8"/>
    <w:rsid w:val="0007083B"/>
    <w:rsid w:val="00131E51"/>
    <w:rsid w:val="00175580"/>
    <w:rsid w:val="00244D73"/>
    <w:rsid w:val="00322FE2"/>
    <w:rsid w:val="00357871"/>
    <w:rsid w:val="003668EB"/>
    <w:rsid w:val="003A7C0D"/>
    <w:rsid w:val="0048194C"/>
    <w:rsid w:val="004A4ED1"/>
    <w:rsid w:val="004C7521"/>
    <w:rsid w:val="004F6D33"/>
    <w:rsid w:val="0053534E"/>
    <w:rsid w:val="00604651"/>
    <w:rsid w:val="00605DBB"/>
    <w:rsid w:val="006150DF"/>
    <w:rsid w:val="006875D4"/>
    <w:rsid w:val="007118E8"/>
    <w:rsid w:val="00754ED2"/>
    <w:rsid w:val="0076124F"/>
    <w:rsid w:val="00783F82"/>
    <w:rsid w:val="0079129F"/>
    <w:rsid w:val="007B0292"/>
    <w:rsid w:val="00894AB2"/>
    <w:rsid w:val="009031A3"/>
    <w:rsid w:val="009916FC"/>
    <w:rsid w:val="009B761A"/>
    <w:rsid w:val="00A15D82"/>
    <w:rsid w:val="00AB0AF3"/>
    <w:rsid w:val="00B0511C"/>
    <w:rsid w:val="00B0549D"/>
    <w:rsid w:val="00BD4001"/>
    <w:rsid w:val="00C15584"/>
    <w:rsid w:val="00C95523"/>
    <w:rsid w:val="00D57AF5"/>
    <w:rsid w:val="00DE4732"/>
    <w:rsid w:val="00E23E23"/>
    <w:rsid w:val="00E3044D"/>
    <w:rsid w:val="00E579B5"/>
    <w:rsid w:val="00E65216"/>
    <w:rsid w:val="00E840BD"/>
    <w:rsid w:val="00EA445D"/>
    <w:rsid w:val="00EB2892"/>
    <w:rsid w:val="00F838A4"/>
    <w:rsid w:val="00F93185"/>
    <w:rsid w:val="00F956E1"/>
    <w:rsid w:val="00FC3F2C"/>
    <w:rsid w:val="00FE0BF7"/>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31F8AA"/>
  <w15:chartTrackingRefBased/>
  <w15:docId w15:val="{93ED24A5-B342-4997-8889-829A9D92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1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0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98B2C-7C4D-4E5D-B94D-F36A6165F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12830</Words>
  <Characters>73134</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Laura</dc:creator>
  <cp:keywords/>
  <dc:description/>
  <cp:lastModifiedBy>Gabriel Odom</cp:lastModifiedBy>
  <cp:revision>2</cp:revision>
  <dcterms:created xsi:type="dcterms:W3CDTF">2020-12-06T15:36:00Z</dcterms:created>
  <dcterms:modified xsi:type="dcterms:W3CDTF">2020-12-06T15:36:00Z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be8b7176-6c6a-3604-bc0c-61c479a55a79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http://www.zotero.org/styles/drug-and-alcohol-dependence</vt:lpwstr>
  </property>
  <property fmtid="{D5CDD505-2E9C-101B-9397-08002B2CF9AE}" pid="16" name="Mendeley Recent Style Name 5_1">
    <vt:lpwstr>Drug and Alcohol Dependence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http://www.zotero.org/styles/public-health</vt:lpwstr>
  </property>
  <property fmtid="{D5CDD505-2E9C-101B-9397-08002B2CF9AE}" pid="24" name="Mendeley Recent Style Name 9_1">
    <vt:lpwstr>Public Health</vt:lpwstr>
  </property>
</Properties>
</file>