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97AB" w14:textId="7071E49F" w:rsidR="00D115A4" w:rsidRPr="00EE7535" w:rsidRDefault="00D115A4" w:rsidP="00D115A4">
      <w:pPr>
        <w:rPr>
          <w:rFonts w:ascii="Arial" w:hAnsi="Arial" w:cs="Arial"/>
          <w:color w:val="131413"/>
          <w:lang w:val="en-US"/>
        </w:rPr>
      </w:pPr>
      <w:r w:rsidRPr="00EE7535">
        <w:rPr>
          <w:rFonts w:ascii="Arial" w:hAnsi="Arial" w:cs="Arial"/>
          <w:b/>
          <w:bCs/>
          <w:color w:val="131413"/>
          <w:lang w:val="en-US"/>
        </w:rPr>
        <w:t xml:space="preserve">Table 1. </w:t>
      </w:r>
      <w:r w:rsidRPr="00EE7535">
        <w:rPr>
          <w:rFonts w:ascii="Arial" w:hAnsi="Arial" w:cs="Arial"/>
          <w:color w:val="131413"/>
          <w:lang w:val="en-US"/>
        </w:rPr>
        <w:t xml:space="preserve">Primary endpoints used to determine efficacy in randomized clinical trials of medications for opioid use disorder (studies in Table identified from </w:t>
      </w:r>
      <w:r w:rsidRPr="00EE7535">
        <w:rPr>
          <w:rFonts w:ascii="Arial" w:hAnsi="Arial" w:cs="Arial"/>
          <w:color w:val="131413"/>
          <w:lang w:val="en-US"/>
        </w:rPr>
        <w:fldChar w:fldCharType="begin" w:fldLock="1"/>
      </w:r>
      <w:r w:rsidR="0045157D">
        <w:rPr>
          <w:rFonts w:ascii="Arial" w:hAnsi="Arial" w:cs="Arial"/>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et al., 2020; Dennis et al., 2020)","plainTextFormattedCitation":"(Biondi et al., 2020; Dennis et al., 2020)","previouslyFormattedCitation":"(Biondi et al., 2020; Dennis et al., 2020)"},"properties":{"noteIndex":0},"schema":"https://github.com/citation-style-language/schema/raw/master/csl-citation.json"}</w:instrText>
      </w:r>
      <w:r w:rsidRPr="00EE7535">
        <w:rPr>
          <w:rFonts w:ascii="Arial" w:hAnsi="Arial" w:cs="Arial"/>
          <w:color w:val="131413"/>
          <w:lang w:val="en-US"/>
        </w:rPr>
        <w:fldChar w:fldCharType="separate"/>
      </w:r>
      <w:r w:rsidR="0045157D" w:rsidRPr="0045157D">
        <w:rPr>
          <w:rFonts w:ascii="Arial" w:hAnsi="Arial" w:cs="Arial"/>
          <w:noProof/>
          <w:color w:val="131413"/>
          <w:lang w:val="en-US"/>
        </w:rPr>
        <w:t>(Biondi et al., 2020; Dennis et al., 2020)</w:t>
      </w:r>
      <w:r w:rsidRPr="00EE7535">
        <w:rPr>
          <w:rFonts w:ascii="Arial" w:hAnsi="Arial" w:cs="Arial"/>
          <w:color w:val="131413"/>
          <w:lang w:val="en-US"/>
        </w:rPr>
        <w:fldChar w:fldCharType="end"/>
      </w:r>
      <w:r w:rsidRPr="00EE7535">
        <w:rPr>
          <w:rFonts w:ascii="Arial" w:hAnsi="Arial" w:cs="Arial"/>
          <w:color w:val="131413"/>
          <w:lang w:val="en-US"/>
        </w:rPr>
        <w:t>)</w:t>
      </w:r>
    </w:p>
    <w:p w14:paraId="2E4C12D1" w14:textId="183C6C6A" w:rsidR="00D115A4" w:rsidRPr="00EE7535" w:rsidRDefault="00D115A4" w:rsidP="00D115A4">
      <w:pPr>
        <w:rPr>
          <w:rFonts w:ascii="Arial" w:hAnsi="Arial" w:cs="Arial"/>
          <w:color w:val="131413"/>
          <w:lang w:val="en-US"/>
        </w:rPr>
      </w:pPr>
      <w:r w:rsidRPr="00EE7535">
        <w:rPr>
          <w:rFonts w:ascii="Arial" w:hAnsi="Arial" w:cs="Arial"/>
          <w:i/>
          <w:iCs/>
          <w:color w:val="131413"/>
          <w:lang w:val="en-US"/>
        </w:rPr>
        <w:t>Note.</w:t>
      </w:r>
      <w:r w:rsidRPr="00EE7535">
        <w:rPr>
          <w:rFonts w:ascii="Arial" w:hAnsi="Arial" w:cs="Arial"/>
          <w:color w:val="131413"/>
          <w:lang w:val="en-US"/>
        </w:rPr>
        <w:t xml:space="preserve"> This table is from a review </w:t>
      </w:r>
      <w:r w:rsidR="004E7614">
        <w:rPr>
          <w:rFonts w:ascii="Arial" w:hAnsi="Arial" w:cs="Arial"/>
          <w:color w:val="131413"/>
          <w:lang w:val="en-US"/>
        </w:rPr>
        <w:t xml:space="preserve">and conceptual analysis </w:t>
      </w:r>
      <w:r w:rsidRPr="00EE7535">
        <w:rPr>
          <w:rFonts w:ascii="Arial" w:hAnsi="Arial" w:cs="Arial"/>
          <w:color w:val="131413"/>
          <w:lang w:val="en-US"/>
        </w:rPr>
        <w:t xml:space="preserve">of Urine </w:t>
      </w:r>
      <w:r w:rsidR="00EE7535">
        <w:rPr>
          <w:rFonts w:ascii="Arial" w:hAnsi="Arial" w:cs="Arial"/>
          <w:color w:val="131413"/>
          <w:lang w:val="en-US"/>
        </w:rPr>
        <w:t>Opioid</w:t>
      </w:r>
      <w:r w:rsidRPr="00EE7535">
        <w:rPr>
          <w:rFonts w:ascii="Arial" w:hAnsi="Arial" w:cs="Arial"/>
          <w:color w:val="131413"/>
          <w:lang w:val="en-US"/>
        </w:rPr>
        <w:t xml:space="preserve"> Screen (U</w:t>
      </w:r>
      <w:r w:rsidR="00EE7535">
        <w:rPr>
          <w:rFonts w:ascii="Arial" w:hAnsi="Arial" w:cs="Arial"/>
          <w:color w:val="131413"/>
          <w:lang w:val="en-US"/>
        </w:rPr>
        <w:t>O</w:t>
      </w:r>
      <w:r w:rsidRPr="00EE7535">
        <w:rPr>
          <w:rFonts w:ascii="Arial" w:hAnsi="Arial" w:cs="Arial"/>
          <w:color w:val="131413"/>
          <w:lang w:val="en-US"/>
        </w:rPr>
        <w:t xml:space="preserve">S)-based primary endpoints used to establish effectiveness for trials in opioid use disorder by </w:t>
      </w:r>
      <w:r w:rsidR="004E7614">
        <w:rPr>
          <w:rFonts w:ascii="Arial" w:hAnsi="Arial" w:cs="Arial"/>
          <w:color w:val="131413"/>
          <w:lang w:val="en-US"/>
        </w:rPr>
        <w:t xml:space="preserve">Brandt, </w:t>
      </w:r>
      <w:r w:rsidRPr="00EE7535">
        <w:rPr>
          <w:rFonts w:ascii="Arial" w:hAnsi="Arial" w:cs="Arial"/>
          <w:color w:val="131413"/>
          <w:lang w:val="en-US"/>
        </w:rPr>
        <w:t xml:space="preserve">Odom, </w:t>
      </w:r>
      <w:proofErr w:type="spellStart"/>
      <w:r w:rsidR="004E7614" w:rsidRPr="00EE7535">
        <w:rPr>
          <w:rFonts w:ascii="Arial" w:hAnsi="Arial" w:cs="Arial"/>
          <w:color w:val="131413"/>
          <w:lang w:val="en-US"/>
        </w:rPr>
        <w:t>Balise</w:t>
      </w:r>
      <w:proofErr w:type="spellEnd"/>
      <w:r w:rsidR="004E7614">
        <w:rPr>
          <w:rFonts w:ascii="Arial" w:hAnsi="Arial" w:cs="Arial"/>
          <w:color w:val="131413"/>
          <w:lang w:val="en-US"/>
        </w:rPr>
        <w:t xml:space="preserve">, </w:t>
      </w:r>
      <w:proofErr w:type="spellStart"/>
      <w:r w:rsidRPr="00EE7535">
        <w:rPr>
          <w:rFonts w:ascii="Arial" w:hAnsi="Arial" w:cs="Arial"/>
          <w:color w:val="131413"/>
          <w:lang w:val="en-US"/>
        </w:rPr>
        <w:t>Bouzoubaa</w:t>
      </w:r>
      <w:proofErr w:type="spellEnd"/>
      <w:r w:rsidR="004E7614">
        <w:rPr>
          <w:rFonts w:ascii="Arial" w:hAnsi="Arial" w:cs="Arial"/>
          <w:color w:val="131413"/>
          <w:lang w:val="en-US"/>
        </w:rPr>
        <w:t>, and Luo</w:t>
      </w:r>
      <w:r w:rsidR="00EE7535">
        <w:rPr>
          <w:rFonts w:ascii="Arial" w:hAnsi="Arial" w:cs="Arial"/>
          <w:color w:val="131413"/>
          <w:lang w:val="en-US"/>
        </w:rPr>
        <w:t xml:space="preserve"> (manuscript in preparation)</w:t>
      </w:r>
      <w:r w:rsidRPr="00EE7535">
        <w:rPr>
          <w:rFonts w:ascii="Arial" w:hAnsi="Arial" w:cs="Arial"/>
          <w:color w:val="131413"/>
          <w:lang w:val="en-US"/>
        </w:rPr>
        <w:t xml:space="preserve">. </w:t>
      </w:r>
    </w:p>
    <w:tbl>
      <w:tblPr>
        <w:tblStyle w:val="TableGrid"/>
        <w:tblW w:w="14665" w:type="dxa"/>
        <w:tblLook w:val="04A0" w:firstRow="1" w:lastRow="0" w:firstColumn="1" w:lastColumn="0" w:noHBand="0" w:noVBand="1"/>
      </w:tblPr>
      <w:tblGrid>
        <w:gridCol w:w="1783"/>
        <w:gridCol w:w="1862"/>
        <w:gridCol w:w="7008"/>
        <w:gridCol w:w="2552"/>
        <w:gridCol w:w="1460"/>
        <w:tblGridChange w:id="0">
          <w:tblGrid>
            <w:gridCol w:w="1783"/>
            <w:gridCol w:w="1862"/>
            <w:gridCol w:w="7008"/>
            <w:gridCol w:w="2552"/>
            <w:gridCol w:w="1460"/>
          </w:tblGrid>
        </w:tblGridChange>
      </w:tblGrid>
      <w:tr w:rsidR="00D115A4" w:rsidRPr="0045157D" w14:paraId="7E646A5B" w14:textId="77777777" w:rsidTr="0045157D">
        <w:tc>
          <w:tcPr>
            <w:tcW w:w="1783" w:type="dxa"/>
            <w:tcBorders>
              <w:top w:val="single" w:sz="12" w:space="0" w:color="auto"/>
              <w:left w:val="nil"/>
              <w:bottom w:val="single" w:sz="12" w:space="0" w:color="auto"/>
              <w:right w:val="nil"/>
            </w:tcBorders>
            <w:shd w:val="clear" w:color="auto" w:fill="FFFFFF" w:themeFill="background1"/>
            <w:vAlign w:val="center"/>
          </w:tcPr>
          <w:p w14:paraId="36066046"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Primary Endpoint</w:t>
            </w:r>
          </w:p>
        </w:tc>
        <w:tc>
          <w:tcPr>
            <w:tcW w:w="1862" w:type="dxa"/>
            <w:tcBorders>
              <w:top w:val="single" w:sz="12" w:space="0" w:color="auto"/>
              <w:left w:val="nil"/>
              <w:bottom w:val="single" w:sz="12" w:space="0" w:color="auto"/>
              <w:right w:val="nil"/>
            </w:tcBorders>
            <w:shd w:val="clear" w:color="auto" w:fill="FFFFFF" w:themeFill="background1"/>
            <w:vAlign w:val="center"/>
          </w:tcPr>
          <w:p w14:paraId="2DA83FAA"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Reference</w:t>
            </w:r>
          </w:p>
        </w:tc>
        <w:tc>
          <w:tcPr>
            <w:tcW w:w="7008" w:type="dxa"/>
            <w:tcBorders>
              <w:top w:val="single" w:sz="12" w:space="0" w:color="auto"/>
              <w:left w:val="nil"/>
              <w:bottom w:val="single" w:sz="12" w:space="0" w:color="auto"/>
              <w:right w:val="nil"/>
            </w:tcBorders>
            <w:shd w:val="clear" w:color="auto" w:fill="FFFFFF" w:themeFill="background1"/>
            <w:vAlign w:val="center"/>
          </w:tcPr>
          <w:p w14:paraId="2A9F1541"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Definition/Assessment of Outcome</w:t>
            </w:r>
          </w:p>
        </w:tc>
        <w:tc>
          <w:tcPr>
            <w:tcW w:w="2552" w:type="dxa"/>
            <w:tcBorders>
              <w:top w:val="single" w:sz="12" w:space="0" w:color="auto"/>
              <w:left w:val="nil"/>
              <w:bottom w:val="single" w:sz="12" w:space="0" w:color="auto"/>
              <w:right w:val="nil"/>
            </w:tcBorders>
            <w:shd w:val="clear" w:color="auto" w:fill="FFFFFF" w:themeFill="background1"/>
            <w:vAlign w:val="center"/>
          </w:tcPr>
          <w:p w14:paraId="33FF36CE"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Frequency of UOS</w:t>
            </w:r>
          </w:p>
        </w:tc>
        <w:tc>
          <w:tcPr>
            <w:tcW w:w="1460" w:type="dxa"/>
            <w:tcBorders>
              <w:top w:val="single" w:sz="12" w:space="0" w:color="auto"/>
              <w:left w:val="nil"/>
              <w:bottom w:val="single" w:sz="12" w:space="0" w:color="auto"/>
              <w:right w:val="nil"/>
            </w:tcBorders>
            <w:shd w:val="clear" w:color="auto" w:fill="FFFFFF" w:themeFill="background1"/>
            <w:vAlign w:val="center"/>
          </w:tcPr>
          <w:p w14:paraId="60E64EA8"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Missing UOS coded as</w:t>
            </w:r>
          </w:p>
        </w:tc>
      </w:tr>
      <w:tr w:rsidR="00D115A4" w:rsidRPr="00257961" w14:paraId="5A158F6E" w14:textId="77777777" w:rsidTr="009A18EB">
        <w:tc>
          <w:tcPr>
            <w:tcW w:w="14665" w:type="dxa"/>
            <w:gridSpan w:val="5"/>
            <w:tcBorders>
              <w:top w:val="single" w:sz="12" w:space="0" w:color="auto"/>
              <w:left w:val="nil"/>
              <w:bottom w:val="single" w:sz="12" w:space="0" w:color="auto"/>
              <w:right w:val="nil"/>
            </w:tcBorders>
            <w:shd w:val="clear" w:color="auto" w:fill="D9D9D9" w:themeFill="background1" w:themeFillShade="D9"/>
          </w:tcPr>
          <w:p w14:paraId="6D51116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Abstinence from non-study opioids</w:t>
            </w:r>
          </w:p>
        </w:tc>
      </w:tr>
      <w:tr w:rsidR="00D115A4" w:rsidRPr="00257961" w14:paraId="43EDAB7F" w14:textId="77777777" w:rsidTr="0045157D">
        <w:tblPrEx>
          <w:tblW w:w="14665" w:type="dxa"/>
          <w:tblPrExChange w:id="1" w:author="Brandt, Laura" w:date="2021-12-21T17:11:00Z">
            <w:tblPrEx>
              <w:tblW w:w="14665" w:type="dxa"/>
            </w:tblPrEx>
          </w:tblPrExChange>
        </w:tblPrEx>
        <w:tc>
          <w:tcPr>
            <w:tcW w:w="1783" w:type="dxa"/>
            <w:tcBorders>
              <w:top w:val="single" w:sz="12" w:space="0" w:color="auto"/>
              <w:left w:val="nil"/>
              <w:bottom w:val="nil"/>
              <w:right w:val="nil"/>
            </w:tcBorders>
            <w:shd w:val="clear" w:color="auto" w:fill="FFFFFF" w:themeFill="background1"/>
            <w:vAlign w:val="center"/>
            <w:tcPrChange w:id="2" w:author="Brandt, Laura" w:date="2021-12-21T17:11:00Z">
              <w:tcPr>
                <w:tcW w:w="1618" w:type="dxa"/>
                <w:tcBorders>
                  <w:top w:val="single" w:sz="12" w:space="0" w:color="auto"/>
                  <w:left w:val="nil"/>
                  <w:right w:val="nil"/>
                </w:tcBorders>
                <w:shd w:val="clear" w:color="auto" w:fill="FFFFFF" w:themeFill="background1"/>
                <w:vAlign w:val="center"/>
              </w:tcPr>
            </w:tcPrChange>
          </w:tcPr>
          <w:p w14:paraId="082C6846"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Continuous abstinence</w:t>
            </w:r>
          </w:p>
        </w:tc>
        <w:tc>
          <w:tcPr>
            <w:tcW w:w="1862" w:type="dxa"/>
            <w:tcBorders>
              <w:top w:val="single" w:sz="12" w:space="0" w:color="auto"/>
              <w:left w:val="nil"/>
              <w:bottom w:val="nil"/>
              <w:right w:val="nil"/>
            </w:tcBorders>
            <w:shd w:val="clear" w:color="auto" w:fill="FFFFFF" w:themeFill="background1"/>
            <w:vAlign w:val="center"/>
            <w:tcPrChange w:id="3" w:author="Brandt, Laura" w:date="2021-12-21T17:11:00Z">
              <w:tcPr>
                <w:tcW w:w="1867" w:type="dxa"/>
                <w:tcBorders>
                  <w:top w:val="single" w:sz="12" w:space="0" w:color="auto"/>
                  <w:left w:val="nil"/>
                  <w:right w:val="nil"/>
                </w:tcBorders>
                <w:shd w:val="clear" w:color="auto" w:fill="FFFFFF" w:themeFill="background1"/>
                <w:vAlign w:val="center"/>
              </w:tcPr>
            </w:tcPrChange>
          </w:tcPr>
          <w:p w14:paraId="2AA8FBD4" w14:textId="6558EB1D"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1998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Change w:id="4" w:author="Brandt, Laura" w:date="2021-12-21T17:11:00Z">
              <w:tcPr>
                <w:tcW w:w="7130" w:type="dxa"/>
                <w:tcBorders>
                  <w:top w:val="single" w:sz="12" w:space="0" w:color="auto"/>
                  <w:left w:val="nil"/>
                  <w:right w:val="nil"/>
                </w:tcBorders>
                <w:shd w:val="clear" w:color="auto" w:fill="FFFFFF" w:themeFill="background1"/>
                <w:vAlign w:val="center"/>
              </w:tcPr>
            </w:tcPrChange>
          </w:tcPr>
          <w:p w14:paraId="2FD1C8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 </w:t>
            </w:r>
            <w:proofErr w:type="gramStart"/>
            <w:r w:rsidRPr="00EE7535">
              <w:rPr>
                <w:rFonts w:ascii="Arial" w:hAnsi="Arial" w:cs="Arial"/>
                <w:lang w:val="en-US"/>
              </w:rPr>
              <w:t>of</w:t>
            </w:r>
            <w:proofErr w:type="gramEnd"/>
            <w:r w:rsidRPr="00EE7535">
              <w:rPr>
                <w:rFonts w:ascii="Arial" w:hAnsi="Arial" w:cs="Arial"/>
                <w:lang w:val="en-US"/>
              </w:rPr>
              <w:t xml:space="preserve"> participants who maintained 13 consecutive negative UOS</w:t>
            </w:r>
          </w:p>
        </w:tc>
        <w:tc>
          <w:tcPr>
            <w:tcW w:w="2552" w:type="dxa"/>
            <w:tcBorders>
              <w:top w:val="single" w:sz="12" w:space="0" w:color="auto"/>
              <w:left w:val="nil"/>
              <w:bottom w:val="nil"/>
              <w:right w:val="nil"/>
            </w:tcBorders>
            <w:shd w:val="clear" w:color="auto" w:fill="FFFFFF" w:themeFill="background1"/>
            <w:vAlign w:val="center"/>
            <w:tcPrChange w:id="5" w:author="Brandt, Laura" w:date="2021-12-21T17:11:00Z">
              <w:tcPr>
                <w:tcW w:w="2586" w:type="dxa"/>
                <w:tcBorders>
                  <w:top w:val="single" w:sz="12" w:space="0" w:color="auto"/>
                  <w:left w:val="nil"/>
                  <w:right w:val="nil"/>
                </w:tcBorders>
                <w:shd w:val="clear" w:color="auto" w:fill="FFFFFF" w:themeFill="background1"/>
                <w:vAlign w:val="center"/>
              </w:tcPr>
            </w:tcPrChange>
          </w:tcPr>
          <w:p w14:paraId="1E1564C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Change w:id="6" w:author="Brandt, Laura" w:date="2021-12-21T17:11:00Z">
              <w:tcPr>
                <w:tcW w:w="1464" w:type="dxa"/>
                <w:tcBorders>
                  <w:top w:val="single" w:sz="12" w:space="0" w:color="auto"/>
                  <w:left w:val="nil"/>
                  <w:right w:val="nil"/>
                </w:tcBorders>
                <w:shd w:val="clear" w:color="auto" w:fill="FFFFFF" w:themeFill="background1"/>
                <w:vAlign w:val="center"/>
              </w:tcPr>
            </w:tcPrChange>
          </w:tcPr>
          <w:p w14:paraId="35C7900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45157D" w:rsidRPr="00257961" w14:paraId="2EAD7518" w14:textId="77777777" w:rsidTr="0045157D">
        <w:tblPrEx>
          <w:tblW w:w="14665" w:type="dxa"/>
          <w:tblPrExChange w:id="7" w:author="Brandt, Laura" w:date="2021-12-21T17:11:00Z">
            <w:tblPrEx>
              <w:tblW w:w="14665" w:type="dxa"/>
            </w:tblPrEx>
          </w:tblPrExChange>
        </w:tblPrEx>
        <w:trPr>
          <w:ins w:id="8" w:author="Brandt, Laura" w:date="2021-12-21T17:09:00Z"/>
        </w:trPr>
        <w:tc>
          <w:tcPr>
            <w:tcW w:w="1783" w:type="dxa"/>
            <w:tcBorders>
              <w:top w:val="nil"/>
              <w:left w:val="nil"/>
              <w:right w:val="nil"/>
            </w:tcBorders>
            <w:shd w:val="clear" w:color="auto" w:fill="FFFFFF" w:themeFill="background1"/>
            <w:vAlign w:val="center"/>
            <w:tcPrChange w:id="9" w:author="Brandt, Laura" w:date="2021-12-21T17:11:00Z">
              <w:tcPr>
                <w:tcW w:w="1618" w:type="dxa"/>
                <w:tcBorders>
                  <w:top w:val="single" w:sz="12" w:space="0" w:color="auto"/>
                  <w:left w:val="nil"/>
                  <w:right w:val="nil"/>
                </w:tcBorders>
                <w:shd w:val="clear" w:color="auto" w:fill="FFFFFF" w:themeFill="background1"/>
                <w:vAlign w:val="center"/>
              </w:tcPr>
            </w:tcPrChange>
          </w:tcPr>
          <w:p w14:paraId="18908179" w14:textId="77777777" w:rsidR="0045157D" w:rsidRPr="00EE7535" w:rsidRDefault="0045157D" w:rsidP="0045157D">
            <w:pPr>
              <w:spacing w:before="60" w:after="60"/>
              <w:rPr>
                <w:ins w:id="10" w:author="Brandt, Laura" w:date="2021-12-21T17:09:00Z"/>
                <w:rFonts w:ascii="Arial" w:hAnsi="Arial" w:cs="Arial"/>
                <w:b/>
                <w:bCs/>
                <w:lang w:val="en-US"/>
              </w:rPr>
            </w:pPr>
          </w:p>
        </w:tc>
        <w:tc>
          <w:tcPr>
            <w:tcW w:w="1862" w:type="dxa"/>
            <w:tcBorders>
              <w:top w:val="nil"/>
              <w:left w:val="nil"/>
              <w:right w:val="nil"/>
            </w:tcBorders>
            <w:shd w:val="clear" w:color="auto" w:fill="FFFFFF" w:themeFill="background1"/>
            <w:vAlign w:val="center"/>
            <w:tcPrChange w:id="11" w:author="Brandt, Laura" w:date="2021-12-21T17:11:00Z">
              <w:tcPr>
                <w:tcW w:w="1867" w:type="dxa"/>
                <w:tcBorders>
                  <w:top w:val="single" w:sz="12" w:space="0" w:color="auto"/>
                  <w:left w:val="nil"/>
                  <w:right w:val="nil"/>
                </w:tcBorders>
                <w:shd w:val="clear" w:color="auto" w:fill="FFFFFF" w:themeFill="background1"/>
                <w:vAlign w:val="center"/>
              </w:tcPr>
            </w:tcPrChange>
          </w:tcPr>
          <w:p w14:paraId="7AC3CCF4" w14:textId="25C697BC" w:rsidR="0045157D" w:rsidRPr="00EE7535" w:rsidRDefault="0045157D" w:rsidP="0045157D">
            <w:pPr>
              <w:spacing w:before="60" w:after="60"/>
              <w:rPr>
                <w:ins w:id="12" w:author="Brandt, Laura" w:date="2021-12-21T17:09:00Z"/>
                <w:rFonts w:ascii="Arial" w:hAnsi="Arial" w:cs="Arial"/>
                <w:lang w:val="en-US"/>
              </w:rPr>
            </w:pPr>
            <w:ins w:id="13" w:author="Brandt, Laura" w:date="2021-12-21T17:09:00Z">
              <w:r>
                <w:rPr>
                  <w:rFonts w:ascii="Arial" w:hAnsi="Arial" w:cs="Arial"/>
                  <w:lang w:val="en-US"/>
                </w:rPr>
                <w:fldChar w:fldCharType="begin" w:fldLock="1"/>
              </w:r>
            </w:ins>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1993)","previouslyFormattedCitation":"(Kosten et al., 1993)"},"properties":{"noteIndex":0},"schema":"https://github.com/citation-style-language/schema/raw/master/csl-citation.json"}</w:instrText>
            </w:r>
            <w:r>
              <w:rPr>
                <w:rFonts w:ascii="Arial" w:hAnsi="Arial" w:cs="Arial"/>
                <w:lang w:val="en-US"/>
              </w:rPr>
              <w:fldChar w:fldCharType="separate"/>
            </w:r>
            <w:r w:rsidRPr="0045157D">
              <w:rPr>
                <w:rFonts w:ascii="Arial" w:hAnsi="Arial" w:cs="Arial"/>
                <w:noProof/>
                <w:lang w:val="en-US"/>
              </w:rPr>
              <w:t>(Kosten et al., 1993)</w:t>
            </w:r>
            <w:ins w:id="14" w:author="Brandt, Laura" w:date="2021-12-21T17:09:00Z">
              <w:r>
                <w:rPr>
                  <w:rFonts w:ascii="Arial" w:hAnsi="Arial" w:cs="Arial"/>
                  <w:lang w:val="en-US"/>
                </w:rPr>
                <w:fldChar w:fldCharType="end"/>
              </w:r>
            </w:ins>
          </w:p>
        </w:tc>
        <w:tc>
          <w:tcPr>
            <w:tcW w:w="7008" w:type="dxa"/>
            <w:tcBorders>
              <w:top w:val="nil"/>
              <w:left w:val="nil"/>
              <w:right w:val="nil"/>
            </w:tcBorders>
            <w:shd w:val="clear" w:color="auto" w:fill="FFFFFF" w:themeFill="background1"/>
            <w:vAlign w:val="center"/>
            <w:tcPrChange w:id="15" w:author="Brandt, Laura" w:date="2021-12-21T17:11:00Z">
              <w:tcPr>
                <w:tcW w:w="7130" w:type="dxa"/>
                <w:tcBorders>
                  <w:top w:val="single" w:sz="12" w:space="0" w:color="auto"/>
                  <w:left w:val="nil"/>
                  <w:right w:val="nil"/>
                </w:tcBorders>
                <w:shd w:val="clear" w:color="auto" w:fill="FFFFFF" w:themeFill="background1"/>
                <w:vAlign w:val="center"/>
              </w:tcPr>
            </w:tcPrChange>
          </w:tcPr>
          <w:p w14:paraId="449AB037" w14:textId="3AEE2435" w:rsidR="0045157D" w:rsidRPr="00EE7535" w:rsidRDefault="0045157D" w:rsidP="0045157D">
            <w:pPr>
              <w:autoSpaceDE w:val="0"/>
              <w:autoSpaceDN w:val="0"/>
              <w:adjustRightInd w:val="0"/>
              <w:spacing w:before="60" w:after="60"/>
              <w:rPr>
                <w:ins w:id="16" w:author="Brandt, Laura" w:date="2021-12-21T17:09:00Z"/>
                <w:rFonts w:ascii="Arial" w:hAnsi="Arial" w:cs="Arial"/>
                <w:lang w:val="en-US"/>
              </w:rPr>
            </w:pPr>
            <w:ins w:id="17" w:author="Brandt, Laura" w:date="2021-12-21T17:10:00Z">
              <w:r>
                <w:rPr>
                  <w:rFonts w:ascii="Arial" w:hAnsi="Arial" w:cs="Arial"/>
                  <w:lang w:val="en-US"/>
                </w:rPr>
                <w:t xml:space="preserve">% </w:t>
              </w:r>
              <w:proofErr w:type="gramStart"/>
              <w:r>
                <w:rPr>
                  <w:rFonts w:ascii="Arial" w:hAnsi="Arial" w:cs="Arial"/>
                  <w:lang w:val="en-US"/>
                </w:rPr>
                <w:t>of</w:t>
              </w:r>
              <w:proofErr w:type="gramEnd"/>
              <w:r>
                <w:rPr>
                  <w:rFonts w:ascii="Arial" w:hAnsi="Arial" w:cs="Arial"/>
                  <w:lang w:val="en-US"/>
                </w:rPr>
                <w:t xml:space="preserve"> participants attaining at least 3 weeks of consecutive negative UOS</w:t>
              </w:r>
            </w:ins>
          </w:p>
        </w:tc>
        <w:tc>
          <w:tcPr>
            <w:tcW w:w="2552" w:type="dxa"/>
            <w:tcBorders>
              <w:top w:val="nil"/>
              <w:left w:val="nil"/>
              <w:right w:val="nil"/>
            </w:tcBorders>
            <w:shd w:val="clear" w:color="auto" w:fill="FFFFFF" w:themeFill="background1"/>
            <w:vAlign w:val="center"/>
            <w:tcPrChange w:id="18" w:author="Brandt, Laura" w:date="2021-12-21T17:11:00Z">
              <w:tcPr>
                <w:tcW w:w="2586" w:type="dxa"/>
                <w:tcBorders>
                  <w:top w:val="single" w:sz="12" w:space="0" w:color="auto"/>
                  <w:left w:val="nil"/>
                  <w:right w:val="nil"/>
                </w:tcBorders>
                <w:shd w:val="clear" w:color="auto" w:fill="FFFFFF" w:themeFill="background1"/>
                <w:vAlign w:val="center"/>
              </w:tcPr>
            </w:tcPrChange>
          </w:tcPr>
          <w:p w14:paraId="7D670651" w14:textId="20B6EE74" w:rsidR="0045157D" w:rsidRPr="00EE7535" w:rsidRDefault="0045157D" w:rsidP="0045157D">
            <w:pPr>
              <w:spacing w:before="60" w:after="60"/>
              <w:rPr>
                <w:ins w:id="19" w:author="Brandt, Laura" w:date="2021-12-21T17:09:00Z"/>
                <w:rFonts w:ascii="Arial" w:hAnsi="Arial" w:cs="Arial"/>
                <w:lang w:val="en-US"/>
              </w:rPr>
            </w:pPr>
            <w:ins w:id="20" w:author="Brandt, Laura" w:date="2021-12-21T17:11:00Z">
              <w:r w:rsidRPr="00EE7535">
                <w:rPr>
                  <w:rFonts w:ascii="Arial" w:hAnsi="Arial" w:cs="Arial"/>
                  <w:lang w:val="en-US"/>
                </w:rPr>
                <w:t>weekly</w:t>
              </w:r>
            </w:ins>
          </w:p>
        </w:tc>
        <w:tc>
          <w:tcPr>
            <w:tcW w:w="1460" w:type="dxa"/>
            <w:tcBorders>
              <w:top w:val="nil"/>
              <w:left w:val="nil"/>
              <w:right w:val="nil"/>
            </w:tcBorders>
            <w:shd w:val="clear" w:color="auto" w:fill="FFFFFF" w:themeFill="background1"/>
            <w:vAlign w:val="center"/>
            <w:tcPrChange w:id="21" w:author="Brandt, Laura" w:date="2021-12-21T17:11:00Z">
              <w:tcPr>
                <w:tcW w:w="1464" w:type="dxa"/>
                <w:tcBorders>
                  <w:top w:val="single" w:sz="12" w:space="0" w:color="auto"/>
                  <w:left w:val="nil"/>
                  <w:right w:val="nil"/>
                </w:tcBorders>
                <w:shd w:val="clear" w:color="auto" w:fill="FFFFFF" w:themeFill="background1"/>
                <w:vAlign w:val="center"/>
              </w:tcPr>
            </w:tcPrChange>
          </w:tcPr>
          <w:p w14:paraId="746A578B" w14:textId="24E6A5C5" w:rsidR="0045157D" w:rsidRPr="00EE7535" w:rsidRDefault="0045157D" w:rsidP="0045157D">
            <w:pPr>
              <w:spacing w:before="60" w:after="60"/>
              <w:rPr>
                <w:ins w:id="22" w:author="Brandt, Laura" w:date="2021-12-21T17:09:00Z"/>
                <w:rFonts w:ascii="Arial" w:hAnsi="Arial" w:cs="Arial"/>
                <w:lang w:val="en-US"/>
              </w:rPr>
            </w:pPr>
            <w:ins w:id="23" w:author="Brandt, Laura" w:date="2021-12-21T17:11:00Z">
              <w:r w:rsidRPr="00EE7535">
                <w:rPr>
                  <w:rFonts w:ascii="Arial" w:hAnsi="Arial" w:cs="Arial"/>
                  <w:lang w:val="en-US"/>
                </w:rPr>
                <w:t>Missing/not imputed</w:t>
              </w:r>
            </w:ins>
          </w:p>
        </w:tc>
      </w:tr>
      <w:tr w:rsidR="0045157D" w:rsidRPr="00257961" w14:paraId="5AC8293B" w14:textId="77777777" w:rsidTr="0045157D">
        <w:tc>
          <w:tcPr>
            <w:tcW w:w="1783" w:type="dxa"/>
            <w:tcBorders>
              <w:left w:val="nil"/>
              <w:bottom w:val="nil"/>
              <w:right w:val="nil"/>
            </w:tcBorders>
            <w:shd w:val="clear" w:color="auto" w:fill="FFFFFF" w:themeFill="background1"/>
            <w:vAlign w:val="center"/>
          </w:tcPr>
          <w:p w14:paraId="0FD8F524"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Length of Initial Abstinence</w:t>
            </w:r>
          </w:p>
        </w:tc>
        <w:tc>
          <w:tcPr>
            <w:tcW w:w="1862" w:type="dxa"/>
            <w:tcBorders>
              <w:left w:val="nil"/>
              <w:bottom w:val="nil"/>
              <w:right w:val="nil"/>
            </w:tcBorders>
            <w:shd w:val="clear" w:color="auto" w:fill="FFFFFF" w:themeFill="background1"/>
            <w:vAlign w:val="center"/>
          </w:tcPr>
          <w:p w14:paraId="11411CEE" w14:textId="7A2846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Chawarski, &amp; Mazlan,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Chawarski, &amp; Mazlan,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09FF887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 after randomization</w:t>
            </w:r>
          </w:p>
        </w:tc>
        <w:tc>
          <w:tcPr>
            <w:tcW w:w="2552" w:type="dxa"/>
            <w:tcBorders>
              <w:left w:val="nil"/>
              <w:bottom w:val="nil"/>
              <w:right w:val="nil"/>
            </w:tcBorders>
            <w:shd w:val="clear" w:color="auto" w:fill="FFFFFF" w:themeFill="background1"/>
            <w:vAlign w:val="center"/>
          </w:tcPr>
          <w:p w14:paraId="2B22107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54DDC4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DEF355B" w14:textId="77777777" w:rsidTr="0045157D">
        <w:tc>
          <w:tcPr>
            <w:tcW w:w="1783" w:type="dxa"/>
            <w:tcBorders>
              <w:top w:val="nil"/>
              <w:left w:val="nil"/>
              <w:bottom w:val="nil"/>
              <w:right w:val="nil"/>
            </w:tcBorders>
            <w:shd w:val="clear" w:color="auto" w:fill="FFFFFF" w:themeFill="background1"/>
            <w:vAlign w:val="center"/>
          </w:tcPr>
          <w:p w14:paraId="4BE2A841"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515DAE10" w14:textId="191162E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11EB7D9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between 1</w:t>
            </w:r>
            <w:r w:rsidRPr="00EE7535">
              <w:rPr>
                <w:rFonts w:ascii="Arial" w:hAnsi="Arial" w:cs="Arial"/>
                <w:vertAlign w:val="superscript"/>
                <w:lang w:val="en-US"/>
              </w:rPr>
              <w:t>st</w:t>
            </w:r>
            <w:r w:rsidRPr="00EE7535">
              <w:rPr>
                <w:rFonts w:ascii="Arial" w:hAnsi="Arial" w:cs="Arial"/>
                <w:lang w:val="en-US"/>
              </w:rPr>
              <w:t xml:space="preserve"> day of NTX administration and 1</w:t>
            </w:r>
            <w:r w:rsidRPr="00EE7535">
              <w:rPr>
                <w:rFonts w:ascii="Arial" w:hAnsi="Arial" w:cs="Arial"/>
                <w:vertAlign w:val="superscript"/>
                <w:lang w:val="en-US"/>
              </w:rPr>
              <w:t>st</w:t>
            </w:r>
            <w:r w:rsidRPr="00EE7535">
              <w:rPr>
                <w:rFonts w:ascii="Arial" w:hAnsi="Arial" w:cs="Arial"/>
                <w:lang w:val="en-US"/>
              </w:rPr>
              <w:t xml:space="preserve"> positive UOS </w:t>
            </w:r>
          </w:p>
        </w:tc>
        <w:tc>
          <w:tcPr>
            <w:tcW w:w="2552" w:type="dxa"/>
            <w:tcBorders>
              <w:top w:val="nil"/>
              <w:left w:val="nil"/>
              <w:bottom w:val="nil"/>
              <w:right w:val="nil"/>
            </w:tcBorders>
            <w:shd w:val="clear" w:color="auto" w:fill="FFFFFF" w:themeFill="background1"/>
            <w:vAlign w:val="center"/>
          </w:tcPr>
          <w:p w14:paraId="123E0BA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7151106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26C6BFD5" w14:textId="77777777" w:rsidTr="0045157D">
        <w:tc>
          <w:tcPr>
            <w:tcW w:w="1783" w:type="dxa"/>
            <w:tcBorders>
              <w:top w:val="nil"/>
              <w:left w:val="nil"/>
              <w:bottom w:val="single" w:sz="4" w:space="0" w:color="auto"/>
              <w:right w:val="nil"/>
            </w:tcBorders>
            <w:shd w:val="clear" w:color="auto" w:fill="FFFFFF" w:themeFill="background1"/>
            <w:vAlign w:val="center"/>
          </w:tcPr>
          <w:p w14:paraId="6CDEBA4C"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79DF86F" w14:textId="2DED8399"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et al., 2016)","manualFormatting":"Mokri, Chawarski, Taherinakhost, &amp; Schottenfeld, 2016","plainTextFormattedCitation":"(Mokri et al., 2016)","previouslyFormattedCitation":"(Mokri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Mokri, Chawarski, Taherinakhost, &amp; Schottenfeld, 2016</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425099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w:t>
            </w:r>
          </w:p>
        </w:tc>
        <w:tc>
          <w:tcPr>
            <w:tcW w:w="2552" w:type="dxa"/>
            <w:tcBorders>
              <w:top w:val="nil"/>
              <w:left w:val="nil"/>
              <w:bottom w:val="single" w:sz="4" w:space="0" w:color="auto"/>
              <w:right w:val="nil"/>
            </w:tcBorders>
            <w:shd w:val="clear" w:color="auto" w:fill="FFFFFF" w:themeFill="background1"/>
            <w:vAlign w:val="center"/>
          </w:tcPr>
          <w:p w14:paraId="292B571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single" w:sz="4" w:space="0" w:color="auto"/>
              <w:right w:val="nil"/>
            </w:tcBorders>
            <w:shd w:val="clear" w:color="auto" w:fill="FFFFFF" w:themeFill="background1"/>
            <w:vAlign w:val="center"/>
          </w:tcPr>
          <w:p w14:paraId="7EB953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3FE5150" w14:textId="77777777" w:rsidTr="0045157D">
        <w:tc>
          <w:tcPr>
            <w:tcW w:w="1783" w:type="dxa"/>
            <w:tcBorders>
              <w:left w:val="nil"/>
              <w:bottom w:val="nil"/>
              <w:right w:val="nil"/>
            </w:tcBorders>
            <w:shd w:val="clear" w:color="auto" w:fill="FFFFFF" w:themeFill="background1"/>
            <w:vAlign w:val="center"/>
          </w:tcPr>
          <w:p w14:paraId="31BA1B08"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Longest period of abstinence</w:t>
            </w:r>
          </w:p>
        </w:tc>
        <w:tc>
          <w:tcPr>
            <w:tcW w:w="1862" w:type="dxa"/>
            <w:tcBorders>
              <w:left w:val="nil"/>
              <w:bottom w:val="nil"/>
              <w:right w:val="nil"/>
            </w:tcBorders>
            <w:shd w:val="clear" w:color="auto" w:fill="FFFFFF" w:themeFill="background1"/>
            <w:vAlign w:val="center"/>
          </w:tcPr>
          <w:p w14:paraId="4BABD4C7" w14:textId="30D2147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1A0EAC1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Longest period of negative UOS </w:t>
            </w:r>
          </w:p>
        </w:tc>
        <w:tc>
          <w:tcPr>
            <w:tcW w:w="2552" w:type="dxa"/>
            <w:tcBorders>
              <w:left w:val="nil"/>
              <w:bottom w:val="nil"/>
              <w:right w:val="nil"/>
            </w:tcBorders>
            <w:shd w:val="clear" w:color="auto" w:fill="FFFFFF" w:themeFill="background1"/>
            <w:vAlign w:val="center"/>
          </w:tcPr>
          <w:p w14:paraId="3FECA10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73E99B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D43E96B" w14:textId="77777777" w:rsidTr="0045157D">
        <w:tc>
          <w:tcPr>
            <w:tcW w:w="1783" w:type="dxa"/>
            <w:tcBorders>
              <w:top w:val="nil"/>
              <w:left w:val="nil"/>
              <w:bottom w:val="single" w:sz="4" w:space="0" w:color="auto"/>
              <w:right w:val="nil"/>
            </w:tcBorders>
            <w:shd w:val="clear" w:color="auto" w:fill="FFFFFF" w:themeFill="background1"/>
            <w:vAlign w:val="center"/>
          </w:tcPr>
          <w:p w14:paraId="2E825AAE"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59DD9F46" w14:textId="179F95FB"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2005</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26342702"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Max. number of consecutive weeks of negative UOS</w:t>
            </w:r>
          </w:p>
        </w:tc>
        <w:tc>
          <w:tcPr>
            <w:tcW w:w="2552" w:type="dxa"/>
            <w:tcBorders>
              <w:top w:val="nil"/>
              <w:left w:val="nil"/>
              <w:bottom w:val="single" w:sz="4" w:space="0" w:color="auto"/>
              <w:right w:val="nil"/>
            </w:tcBorders>
            <w:shd w:val="clear" w:color="auto" w:fill="FFFFFF" w:themeFill="background1"/>
            <w:vAlign w:val="center"/>
          </w:tcPr>
          <w:p w14:paraId="39C944C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4" w:space="0" w:color="auto"/>
              <w:right w:val="nil"/>
            </w:tcBorders>
            <w:shd w:val="clear" w:color="auto" w:fill="FFFFFF" w:themeFill="background1"/>
            <w:vAlign w:val="center"/>
          </w:tcPr>
          <w:p w14:paraId="795F6F7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45EAB8C3" w14:textId="77777777" w:rsidTr="0045157D">
        <w:tc>
          <w:tcPr>
            <w:tcW w:w="1783" w:type="dxa"/>
            <w:tcBorders>
              <w:left w:val="nil"/>
              <w:bottom w:val="nil"/>
              <w:right w:val="nil"/>
            </w:tcBorders>
            <w:shd w:val="clear" w:color="auto" w:fill="FFFFFF" w:themeFill="background1"/>
            <w:vAlign w:val="center"/>
          </w:tcPr>
          <w:p w14:paraId="115E88EA"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lastRenderedPageBreak/>
              <w:t>Complete Abstinence</w:t>
            </w:r>
          </w:p>
        </w:tc>
        <w:tc>
          <w:tcPr>
            <w:tcW w:w="1862" w:type="dxa"/>
            <w:tcBorders>
              <w:left w:val="nil"/>
              <w:bottom w:val="nil"/>
              <w:right w:val="nil"/>
            </w:tcBorders>
            <w:shd w:val="clear" w:color="auto" w:fill="FFFFFF" w:themeFill="background1"/>
            <w:vAlign w:val="center"/>
          </w:tcPr>
          <w:p w14:paraId="72B720B8" w14:textId="5282439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trial","type":"article-journal"},"uris":["http://www.mendeley.com/documents/?uuid=b631ad6b-377d-47b6-b2ec-4c29b54a7ce7"]}],"mendeley":{"formattedCitation":"(E. Krupitsky et al., 2011)","manualFormatting":"Krupitsky et al., 2011","plainTextFormattedCitation":"(E. Krupitsky et al., 2011)","previouslyFormattedCitation":"(E.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2011</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766F170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Confirmed opioid abstinence during weeks 5</w:t>
            </w:r>
            <w:r w:rsidRPr="00EE7535">
              <w:rPr>
                <w:rFonts w:ascii="Cambria Math" w:hAnsi="Cambria Math" w:cs="Cambria Math"/>
                <w:lang w:val="en-US"/>
              </w:rPr>
              <w:t>‐</w:t>
            </w:r>
            <w:r w:rsidRPr="00EE7535">
              <w:rPr>
                <w:rFonts w:ascii="Arial" w:hAnsi="Arial" w:cs="Arial"/>
                <w:lang w:val="en-US"/>
              </w:rPr>
              <w:t>24 based on UOS</w:t>
            </w:r>
          </w:p>
        </w:tc>
        <w:tc>
          <w:tcPr>
            <w:tcW w:w="2552" w:type="dxa"/>
            <w:tcBorders>
              <w:left w:val="nil"/>
              <w:bottom w:val="nil"/>
              <w:right w:val="nil"/>
            </w:tcBorders>
            <w:shd w:val="clear" w:color="auto" w:fill="FFFFFF" w:themeFill="background1"/>
            <w:vAlign w:val="center"/>
          </w:tcPr>
          <w:p w14:paraId="1ED3157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nil"/>
              <w:right w:val="nil"/>
            </w:tcBorders>
            <w:shd w:val="clear" w:color="auto" w:fill="FFFFFF" w:themeFill="background1"/>
            <w:vAlign w:val="center"/>
          </w:tcPr>
          <w:p w14:paraId="22EBAA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2F8D3A87" w14:textId="77777777" w:rsidTr="0045157D">
        <w:tc>
          <w:tcPr>
            <w:tcW w:w="1783" w:type="dxa"/>
            <w:tcBorders>
              <w:top w:val="nil"/>
              <w:left w:val="nil"/>
              <w:bottom w:val="nil"/>
              <w:right w:val="nil"/>
            </w:tcBorders>
            <w:shd w:val="clear" w:color="auto" w:fill="FFFFFF" w:themeFill="background1"/>
            <w:vAlign w:val="center"/>
          </w:tcPr>
          <w:p w14:paraId="58BEE595"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2E7A6FAE" w14:textId="4EF4D1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2016)","manualFormatting":"Rosenthal et al., 2016","plainTextFormattedCitation":"(Rosenthal et al., 2016)","previouslyFormattedCitation":"(Rosenthal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Rosenthal et al., 2016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A1B24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nil"/>
              <w:right w:val="nil"/>
            </w:tcBorders>
            <w:shd w:val="clear" w:color="auto" w:fill="FFFFFF" w:themeFill="background1"/>
            <w:vAlign w:val="center"/>
          </w:tcPr>
          <w:p w14:paraId="6E6473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1×/month + 4 random UOS</w:t>
            </w:r>
          </w:p>
        </w:tc>
        <w:tc>
          <w:tcPr>
            <w:tcW w:w="1460" w:type="dxa"/>
            <w:tcBorders>
              <w:top w:val="nil"/>
              <w:left w:val="nil"/>
              <w:bottom w:val="nil"/>
              <w:right w:val="nil"/>
            </w:tcBorders>
            <w:shd w:val="clear" w:color="auto" w:fill="FFFFFF" w:themeFill="background1"/>
            <w:vAlign w:val="center"/>
          </w:tcPr>
          <w:p w14:paraId="1EA4B3A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2</w:t>
            </w:r>
          </w:p>
        </w:tc>
      </w:tr>
      <w:tr w:rsidR="0045157D" w:rsidRPr="00257961" w14:paraId="6108EF14" w14:textId="77777777" w:rsidTr="0045157D">
        <w:tc>
          <w:tcPr>
            <w:tcW w:w="1783" w:type="dxa"/>
            <w:tcBorders>
              <w:top w:val="nil"/>
              <w:left w:val="nil"/>
              <w:bottom w:val="single" w:sz="4" w:space="0" w:color="auto"/>
              <w:right w:val="nil"/>
            </w:tcBorders>
            <w:shd w:val="clear" w:color="auto" w:fill="FFFFFF" w:themeFill="background1"/>
            <w:vAlign w:val="center"/>
          </w:tcPr>
          <w:p w14:paraId="580B289B"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F219ACD" w14:textId="59CA823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073C71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single" w:sz="4" w:space="0" w:color="auto"/>
              <w:right w:val="nil"/>
            </w:tcBorders>
            <w:shd w:val="clear" w:color="auto" w:fill="FFFFFF" w:themeFill="background1"/>
            <w:vAlign w:val="center"/>
          </w:tcPr>
          <w:p w14:paraId="34E6C2A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+ 3 random UOS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single" w:sz="4" w:space="0" w:color="auto"/>
              <w:right w:val="nil"/>
            </w:tcBorders>
            <w:shd w:val="clear" w:color="auto" w:fill="FFFFFF" w:themeFill="background1"/>
            <w:vAlign w:val="center"/>
          </w:tcPr>
          <w:p w14:paraId="13C754B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7982650" w14:textId="77777777" w:rsidTr="0045157D">
        <w:tc>
          <w:tcPr>
            <w:tcW w:w="1783" w:type="dxa"/>
            <w:tcBorders>
              <w:top w:val="single" w:sz="4" w:space="0" w:color="auto"/>
              <w:left w:val="nil"/>
              <w:bottom w:val="nil"/>
              <w:right w:val="nil"/>
            </w:tcBorders>
            <w:shd w:val="clear" w:color="auto" w:fill="FFFFFF" w:themeFill="background1"/>
            <w:vAlign w:val="center"/>
          </w:tcPr>
          <w:p w14:paraId="2EC8B7DF"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weeks</w:t>
            </w:r>
          </w:p>
        </w:tc>
        <w:tc>
          <w:tcPr>
            <w:tcW w:w="1862" w:type="dxa"/>
            <w:tcBorders>
              <w:top w:val="single" w:sz="4" w:space="0" w:color="auto"/>
              <w:left w:val="nil"/>
              <w:bottom w:val="nil"/>
              <w:right w:val="nil"/>
            </w:tcBorders>
            <w:shd w:val="clear" w:color="auto" w:fill="FFFFFF" w:themeFill="background1"/>
            <w:vAlign w:val="center"/>
          </w:tcPr>
          <w:p w14:paraId="6542A52D" w14:textId="649E066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trial","type":"article-journal"},"uris":["http://www.mendeley.com/documents/?uuid=b631ad6b-377d-47b6-b2ec-4c29b54a7ce7"]},{"id":"ITEM-2","itemData":{"DOI":"10.1056/nejmoa055255","ISSN":"0028-4793","PMID":"16870915","abstract":"Background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Medicine","id":"ITEM-2","issued":{"date-parts":[["2006"]]},"title":"Counseling plus Buprenorphine–Naloxone Maintenance Therapy for Opioid Dependence","type":"article-journal"},"uris":["http://www.mendeley.com/documents/?uuid=b84a083a-eb18-4c35-86b5-6129d32013e5"]}],"mendeley":{"formattedCitation":"(Fiellin et al., 2006; E. Krupitsky et al., 2011)","manualFormatting":"Fiellin et al., 2006; Krupitsky et al., 2011","plainTextFormattedCitation":"(Fiellin et al., 2006; E. Krupitsky et al., 2011)","previouslyFormattedCitation":"(Fiellin et al., 2006; 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 Krupitsky et al., 2011</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8C78DE8" w14:textId="329319AB"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Weeks of confirmed opioid abstinence </w:t>
            </w:r>
            <w:del w:id="24" w:author="Brandt, Laura" w:date="2021-12-21T17:08:00Z">
              <w:r w:rsidRPr="00EE7535" w:rsidDel="0045157D">
                <w:rPr>
                  <w:rFonts w:ascii="Arial" w:hAnsi="Arial" w:cs="Arial"/>
                  <w:lang w:val="en-US"/>
                </w:rPr>
                <w:delText>weeks</w:delText>
              </w:r>
            </w:del>
          </w:p>
        </w:tc>
        <w:tc>
          <w:tcPr>
            <w:tcW w:w="2552" w:type="dxa"/>
            <w:tcBorders>
              <w:top w:val="single" w:sz="4" w:space="0" w:color="auto"/>
              <w:left w:val="nil"/>
              <w:bottom w:val="nil"/>
              <w:right w:val="nil"/>
            </w:tcBorders>
            <w:shd w:val="clear" w:color="auto" w:fill="FFFFFF" w:themeFill="background1"/>
            <w:vAlign w:val="center"/>
          </w:tcPr>
          <w:p w14:paraId="2A9BDFF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single" w:sz="4" w:space="0" w:color="auto"/>
              <w:left w:val="nil"/>
              <w:bottom w:val="nil"/>
              <w:right w:val="nil"/>
            </w:tcBorders>
            <w:shd w:val="clear" w:color="auto" w:fill="FFFFFF" w:themeFill="background1"/>
            <w:vAlign w:val="center"/>
          </w:tcPr>
          <w:p w14:paraId="38EBC2A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7D606EA" w14:textId="77777777" w:rsidTr="0045157D">
        <w:tc>
          <w:tcPr>
            <w:tcW w:w="1783" w:type="dxa"/>
            <w:tcBorders>
              <w:left w:val="nil"/>
              <w:bottom w:val="single" w:sz="4" w:space="0" w:color="auto"/>
              <w:right w:val="nil"/>
            </w:tcBorders>
            <w:shd w:val="clear" w:color="auto" w:fill="auto"/>
            <w:vAlign w:val="center"/>
          </w:tcPr>
          <w:p w14:paraId="33029F22"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period</w:t>
            </w:r>
          </w:p>
        </w:tc>
        <w:tc>
          <w:tcPr>
            <w:tcW w:w="1862" w:type="dxa"/>
            <w:tcBorders>
              <w:left w:val="nil"/>
              <w:bottom w:val="single" w:sz="4" w:space="0" w:color="auto"/>
              <w:right w:val="nil"/>
            </w:tcBorders>
            <w:shd w:val="clear" w:color="auto" w:fill="auto"/>
            <w:vAlign w:val="center"/>
          </w:tcPr>
          <w:p w14:paraId="36D1B7AA" w14:textId="667825C7" w:rsidR="0045157D" w:rsidRPr="00EE7535" w:rsidRDefault="0045157D" w:rsidP="0045157D">
            <w:pPr>
              <w:spacing w:before="60" w:after="60"/>
              <w:rPr>
                <w:rFonts w:ascii="Arial" w:hAnsi="Arial" w:cs="Arial"/>
                <w:i/>
                <w:iCs/>
                <w:color w:val="4F81BD" w:themeColor="accent1"/>
                <w:lang w:val="en-US"/>
              </w:rPr>
            </w:pPr>
            <w:r w:rsidRPr="00EE7535">
              <w:rPr>
                <w:rFonts w:ascii="Arial" w:hAnsi="Arial" w:cs="Arial"/>
                <w:i/>
                <w:iCs/>
                <w:color w:val="4F81BD" w:themeColor="accent1"/>
                <w:lang w:val="en-US"/>
              </w:rPr>
              <w:t>CTN-0030</w:t>
            </w:r>
          </w:p>
        </w:tc>
        <w:tc>
          <w:tcPr>
            <w:tcW w:w="7008" w:type="dxa"/>
            <w:tcBorders>
              <w:left w:val="nil"/>
              <w:bottom w:val="single" w:sz="4" w:space="0" w:color="auto"/>
              <w:right w:val="nil"/>
            </w:tcBorders>
            <w:shd w:val="clear" w:color="auto" w:fill="auto"/>
            <w:vAlign w:val="center"/>
          </w:tcPr>
          <w:p w14:paraId="267FCC8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Negative UOS during the last week AND for at least 2 of the previous 3 weeks of the third month of BUP/NX treatment</w:t>
            </w:r>
          </w:p>
        </w:tc>
        <w:tc>
          <w:tcPr>
            <w:tcW w:w="2552" w:type="dxa"/>
            <w:tcBorders>
              <w:left w:val="nil"/>
              <w:bottom w:val="single" w:sz="4" w:space="0" w:color="auto"/>
              <w:right w:val="nil"/>
            </w:tcBorders>
            <w:shd w:val="clear" w:color="auto" w:fill="auto"/>
            <w:vAlign w:val="center"/>
          </w:tcPr>
          <w:p w14:paraId="0FD518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single" w:sz="4" w:space="0" w:color="auto"/>
              <w:right w:val="nil"/>
            </w:tcBorders>
            <w:shd w:val="clear" w:color="auto" w:fill="auto"/>
            <w:vAlign w:val="center"/>
          </w:tcPr>
          <w:p w14:paraId="7D2823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7354345"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38D3FA47"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Relapse to non-study opioids</w:t>
            </w:r>
          </w:p>
        </w:tc>
      </w:tr>
      <w:tr w:rsidR="0045157D" w:rsidRPr="00257961" w14:paraId="03859596" w14:textId="77777777" w:rsidTr="0045157D">
        <w:tc>
          <w:tcPr>
            <w:tcW w:w="1783" w:type="dxa"/>
            <w:tcBorders>
              <w:top w:val="single" w:sz="12" w:space="0" w:color="auto"/>
              <w:left w:val="nil"/>
              <w:bottom w:val="nil"/>
              <w:right w:val="nil"/>
            </w:tcBorders>
            <w:shd w:val="clear" w:color="auto" w:fill="FFFFFF" w:themeFill="background1"/>
            <w:vAlign w:val="center"/>
          </w:tcPr>
          <w:p w14:paraId="116280DE"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Time to opioid use/relapse</w:t>
            </w:r>
          </w:p>
        </w:tc>
        <w:tc>
          <w:tcPr>
            <w:tcW w:w="1862" w:type="dxa"/>
            <w:tcBorders>
              <w:top w:val="single" w:sz="12" w:space="0" w:color="auto"/>
              <w:left w:val="nil"/>
              <w:bottom w:val="nil"/>
              <w:right w:val="nil"/>
            </w:tcBorders>
            <w:shd w:val="clear" w:color="auto" w:fill="FFFFFF" w:themeFill="background1"/>
            <w:vAlign w:val="center"/>
          </w:tcPr>
          <w:p w14:paraId="0AF66D1D" w14:textId="3BF7E3C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
          <w:p w14:paraId="2AC4A84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relapse (3 consecutive positive UOS)</w:t>
            </w:r>
          </w:p>
        </w:tc>
        <w:tc>
          <w:tcPr>
            <w:tcW w:w="2552" w:type="dxa"/>
            <w:tcBorders>
              <w:top w:val="single" w:sz="12" w:space="0" w:color="auto"/>
              <w:left w:val="nil"/>
              <w:bottom w:val="nil"/>
              <w:right w:val="nil"/>
            </w:tcBorders>
            <w:shd w:val="clear" w:color="auto" w:fill="FFFFFF" w:themeFill="background1"/>
            <w:vAlign w:val="center"/>
          </w:tcPr>
          <w:p w14:paraId="5579B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
          <w:p w14:paraId="386486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B8AFE35" w14:textId="77777777" w:rsidTr="0045157D">
        <w:tc>
          <w:tcPr>
            <w:tcW w:w="1783" w:type="dxa"/>
            <w:tcBorders>
              <w:top w:val="nil"/>
              <w:left w:val="nil"/>
              <w:bottom w:val="nil"/>
              <w:right w:val="nil"/>
            </w:tcBorders>
            <w:shd w:val="clear" w:color="auto" w:fill="FFFFFF" w:themeFill="background1"/>
            <w:vAlign w:val="center"/>
          </w:tcPr>
          <w:p w14:paraId="36C83F62"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3B346CAA" w14:textId="231684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2016)","manualFormatting":"Lee et al., 2016","plainTextFormattedCitation":"(Lee et al., 2016)","previouslyFormattedCitation":"(Lee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2016</w:t>
            </w:r>
            <w:r w:rsidRPr="00EE7535">
              <w:rPr>
                <w:rFonts w:ascii="Arial" w:hAnsi="Arial" w:cs="Arial"/>
                <w:lang w:val="en-US"/>
              </w:rPr>
              <w:fldChar w:fldCharType="end"/>
            </w:r>
          </w:p>
          <w:p w14:paraId="65399C55" w14:textId="77777777" w:rsidR="0045157D" w:rsidRPr="00EE7535" w:rsidRDefault="0045157D" w:rsidP="0045157D">
            <w:pPr>
              <w:autoSpaceDE w:val="0"/>
              <w:autoSpaceDN w:val="0"/>
              <w:adjustRightInd w:val="0"/>
              <w:spacing w:before="60" w:after="60"/>
              <w:rPr>
                <w:rFonts w:ascii="Arial" w:hAnsi="Arial" w:cs="Arial"/>
                <w:lang w:val="en-US"/>
              </w:rPr>
            </w:pPr>
          </w:p>
        </w:tc>
        <w:tc>
          <w:tcPr>
            <w:tcW w:w="7008" w:type="dxa"/>
            <w:tcBorders>
              <w:top w:val="nil"/>
              <w:left w:val="nil"/>
              <w:bottom w:val="nil"/>
              <w:right w:val="nil"/>
            </w:tcBorders>
            <w:shd w:val="clear" w:color="auto" w:fill="FFFFFF" w:themeFill="background1"/>
            <w:vAlign w:val="center"/>
          </w:tcPr>
          <w:p w14:paraId="6E2F5C4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(≥10 days of opioid use in a 28</w:t>
            </w:r>
            <w:r w:rsidRPr="00EE7535">
              <w:rPr>
                <w:rFonts w:ascii="Cambria Math" w:hAnsi="Cambria Math" w:cs="Cambria Math"/>
                <w:lang w:val="en-US"/>
              </w:rPr>
              <w:t>‐</w:t>
            </w:r>
            <w:r w:rsidRPr="00EE7535">
              <w:rPr>
                <w:rFonts w:ascii="Arial" w:hAnsi="Arial" w:cs="Arial"/>
                <w:lang w:val="en-US"/>
              </w:rPr>
              <w:t>day period [a positive UOS was computed as 5 days of opioid use])</w:t>
            </w:r>
          </w:p>
        </w:tc>
        <w:tc>
          <w:tcPr>
            <w:tcW w:w="2552" w:type="dxa"/>
            <w:tcBorders>
              <w:top w:val="nil"/>
              <w:left w:val="nil"/>
              <w:bottom w:val="nil"/>
              <w:right w:val="nil"/>
            </w:tcBorders>
            <w:shd w:val="clear" w:color="auto" w:fill="FFFFFF" w:themeFill="background1"/>
            <w:vAlign w:val="center"/>
          </w:tcPr>
          <w:p w14:paraId="29F392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0044D4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8D091C5" w14:textId="77777777" w:rsidTr="0045157D">
        <w:tc>
          <w:tcPr>
            <w:tcW w:w="1783" w:type="dxa"/>
            <w:tcBorders>
              <w:top w:val="nil"/>
              <w:left w:val="nil"/>
              <w:bottom w:val="single" w:sz="4" w:space="0" w:color="auto"/>
              <w:right w:val="nil"/>
            </w:tcBorders>
            <w:shd w:val="clear" w:color="auto" w:fill="FFFFFF" w:themeFill="background1"/>
            <w:vAlign w:val="center"/>
          </w:tcPr>
          <w:p w14:paraId="4E4719A3"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18AF571C" w14:textId="03DC62D3"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2018)","manualFormatting":"Lee et al., 2018","plainTextFormattedCitation":"(Lee et al., 2018)","previouslyFormattedCitation":"(Lee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2018</w:t>
            </w:r>
            <w:r w:rsidRPr="00EE7535">
              <w:rPr>
                <w:rFonts w:ascii="Arial" w:hAnsi="Arial" w:cs="Arial"/>
                <w:lang w:val="en-US"/>
              </w:rPr>
              <w:fldChar w:fldCharType="end"/>
            </w:r>
            <w:r w:rsidRPr="00EE7535">
              <w:rPr>
                <w:rFonts w:ascii="Arial" w:hAnsi="Arial" w:cs="Arial"/>
                <w:i/>
                <w:iCs/>
                <w:color w:val="4F81BD" w:themeColor="accent1"/>
                <w:lang w:val="en-US"/>
              </w:rPr>
              <w:t xml:space="preserve"> CTN-0051</w:t>
            </w:r>
          </w:p>
        </w:tc>
        <w:tc>
          <w:tcPr>
            <w:tcW w:w="7008" w:type="dxa"/>
            <w:tcBorders>
              <w:top w:val="nil"/>
              <w:left w:val="nil"/>
              <w:bottom w:val="single" w:sz="4" w:space="0" w:color="auto"/>
              <w:right w:val="nil"/>
            </w:tcBorders>
            <w:shd w:val="clear" w:color="auto" w:fill="FFFFFF" w:themeFill="background1"/>
            <w:vAlign w:val="center"/>
          </w:tcPr>
          <w:p w14:paraId="19AD9F4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(starting at day 21 post-randomization: 4 consecutive weeks with positive UOS)</w:t>
            </w:r>
          </w:p>
        </w:tc>
        <w:tc>
          <w:tcPr>
            <w:tcW w:w="2552" w:type="dxa"/>
            <w:tcBorders>
              <w:top w:val="nil"/>
              <w:left w:val="nil"/>
              <w:bottom w:val="single" w:sz="4" w:space="0" w:color="auto"/>
              <w:right w:val="nil"/>
            </w:tcBorders>
            <w:shd w:val="clear" w:color="auto" w:fill="FFFFFF" w:themeFill="background1"/>
            <w:vAlign w:val="center"/>
          </w:tcPr>
          <w:p w14:paraId="34C4DD1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single" w:sz="4" w:space="0" w:color="auto"/>
              <w:right w:val="nil"/>
            </w:tcBorders>
            <w:shd w:val="clear" w:color="auto" w:fill="FFFFFF" w:themeFill="background1"/>
            <w:vAlign w:val="center"/>
          </w:tcPr>
          <w:p w14:paraId="7F624A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D9FAEDE" w14:textId="77777777" w:rsidTr="0045157D">
        <w:tc>
          <w:tcPr>
            <w:tcW w:w="1783" w:type="dxa"/>
            <w:tcBorders>
              <w:top w:val="single" w:sz="4" w:space="0" w:color="auto"/>
              <w:left w:val="nil"/>
              <w:bottom w:val="nil"/>
              <w:right w:val="nil"/>
            </w:tcBorders>
            <w:shd w:val="clear" w:color="auto" w:fill="FFFFFF" w:themeFill="background1"/>
            <w:vAlign w:val="center"/>
          </w:tcPr>
          <w:p w14:paraId="74753636"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 xml:space="preserve">Relapse/failure rate </w:t>
            </w:r>
          </w:p>
        </w:tc>
        <w:tc>
          <w:tcPr>
            <w:tcW w:w="1862" w:type="dxa"/>
            <w:tcBorders>
              <w:top w:val="single" w:sz="4" w:space="0" w:color="auto"/>
              <w:left w:val="nil"/>
              <w:bottom w:val="nil"/>
              <w:right w:val="nil"/>
            </w:tcBorders>
            <w:shd w:val="clear" w:color="auto" w:fill="FFFFFF" w:themeFill="background1"/>
            <w:vAlign w:val="center"/>
          </w:tcPr>
          <w:p w14:paraId="4FADBB5D" w14:textId="7BE0AC4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{"citationItems":[{"id":"ITEM-1","itemData":{"DOI":"10.1016/j.jsat.2006.05.005","ISSN":"07405472","PMID":"17084785","abstract":"This randomized placebo-controlled trial tested the efficacy of oral naltrexone with or without fluoxetine for preventing relapse to heroin addiction and for reducing HIV risk, psychiatric symptoms, and outcome. All patients received drug counseling with parental or significant-other involvement to encourage adherence. Patients totaling 414 were approached, 343 gave informed consent, and 280 were randomized (mean age, 23.6 ± 0.4 years). At 6 months, two to three times as many naltrexone patients as naltrexone placebo patients remained in treatment and had not relapsed, odds ratio (OR) = 3.5 (1.96-6.12), p &lt; .0001. Overall, adding fluoxetine did not improve outcomes, OR = 1.35 (0.68-2.66), p = .49; however, women receiving naltrexone and fluoxetine showed a trend toward a statistically significant advantage when compared to women receiving naltrexone and fluoxetine placebo, OR = 2.4 (0.88-6.59), p = .08. HIV risk, psychiatric symptoms, and overall adjustment were markedly improved among all patients who remained on treatment and did not relapse, regardless of group assignment. More widespread use of naltrexone could be an important addition to addiction treatment and HIV prevention in Russia. © 2006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y","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Treatment","id":"ITEM-1","issued":{"date-parts":[["2006"]]},"title":"Naltrexone with or without fluoxetine for preventing relapse to heroin addiction in St. Petersburg, Russia","type":"article-journal"},"uris":["http://www.mendeley.com/documents/?uuid=aeda3bfc-69c9-4a51-8827-1f3fd6634bc4"]},{"id":"ITEM-2","itemData":{"DOI":"10.1016/j.jsat.2004.02.002","ISSN":"07405472","PMID":"15182893","abstract":"Naltrexone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Treatment","id":"ITEM-2","issued":{"date-parts":[["2004"]]},"title":"Naltrexone for heroin dependence treatment in St. Petersburg, Russia","type":"article-journal"},"uris":["http://www.mendeley.com/documents/?uuid=afda11f1-b928-46a3-b7c4-0dc25a416189"]}],"mendeley":{"formattedCitation":"(E. M. Krupitsky et al., 2004, 2006)","manualFormatting":"Krupitsky et al., 2004, 2006","plainTextFormattedCitation":"(E. M. Krupitsky et al., 2004, 2006)","previouslyFormattedCitation":"(E. M. Krupitsky et al., 2004,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 2006</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67FD489" w14:textId="7605FE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Relapse rate (3 consecutive positive UOS)</w:t>
            </w:r>
          </w:p>
        </w:tc>
        <w:tc>
          <w:tcPr>
            <w:tcW w:w="2552" w:type="dxa"/>
            <w:tcBorders>
              <w:top w:val="single" w:sz="4" w:space="0" w:color="auto"/>
              <w:left w:val="nil"/>
              <w:bottom w:val="nil"/>
              <w:right w:val="nil"/>
            </w:tcBorders>
            <w:shd w:val="clear" w:color="auto" w:fill="FFFFFF" w:themeFill="background1"/>
            <w:vAlign w:val="center"/>
          </w:tcPr>
          <w:p w14:paraId="3109719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single" w:sz="4" w:space="0" w:color="auto"/>
              <w:left w:val="nil"/>
              <w:bottom w:val="nil"/>
              <w:right w:val="nil"/>
            </w:tcBorders>
            <w:shd w:val="clear" w:color="auto" w:fill="FFFFFF" w:themeFill="background1"/>
            <w:vAlign w:val="center"/>
          </w:tcPr>
          <w:p w14:paraId="5257CEA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23FAEB30" w14:textId="77777777" w:rsidTr="0045157D">
        <w:tc>
          <w:tcPr>
            <w:tcW w:w="1783" w:type="dxa"/>
            <w:tcBorders>
              <w:top w:val="nil"/>
              <w:left w:val="nil"/>
              <w:bottom w:val="single" w:sz="12" w:space="0" w:color="auto"/>
              <w:right w:val="nil"/>
            </w:tcBorders>
            <w:shd w:val="clear" w:color="auto" w:fill="FFFFFF" w:themeFill="background1"/>
            <w:vAlign w:val="center"/>
          </w:tcPr>
          <w:p w14:paraId="42043817"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12" w:space="0" w:color="auto"/>
              <w:right w:val="nil"/>
            </w:tcBorders>
            <w:shd w:val="clear" w:color="auto" w:fill="FFFFFF" w:themeFill="background1"/>
            <w:vAlign w:val="center"/>
          </w:tcPr>
          <w:p w14:paraId="36E8A219" w14:textId="46F1B1A1"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Jaffe, &amp; Fudala,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Jaffe, &amp; Fudala,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FFFFFF" w:themeFill="background1"/>
            <w:vAlign w:val="center"/>
          </w:tcPr>
          <w:p w14:paraId="159F677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Failure rate: 2 </w:t>
            </w:r>
            <w:proofErr w:type="gramStart"/>
            <w:r w:rsidRPr="00EE7535">
              <w:rPr>
                <w:rFonts w:ascii="Arial" w:hAnsi="Arial" w:cs="Arial"/>
                <w:lang w:val="en-US"/>
              </w:rPr>
              <w:t>consecutive</w:t>
            </w:r>
            <w:proofErr w:type="gramEnd"/>
            <w:r w:rsidRPr="00EE7535">
              <w:rPr>
                <w:rFonts w:ascii="Arial" w:hAnsi="Arial" w:cs="Arial"/>
                <w:lang w:val="en-US"/>
              </w:rPr>
              <w:t xml:space="preserve"> positive UOS following 4 weeks of treatment</w:t>
            </w:r>
          </w:p>
        </w:tc>
        <w:tc>
          <w:tcPr>
            <w:tcW w:w="2552" w:type="dxa"/>
            <w:tcBorders>
              <w:top w:val="nil"/>
              <w:left w:val="nil"/>
              <w:bottom w:val="single" w:sz="12" w:space="0" w:color="auto"/>
              <w:right w:val="nil"/>
            </w:tcBorders>
            <w:shd w:val="clear" w:color="auto" w:fill="FFFFFF" w:themeFill="background1"/>
            <w:vAlign w:val="center"/>
          </w:tcPr>
          <w:p w14:paraId="1F50CD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 (only Monday sample was considered for this endpoint)</w:t>
            </w:r>
          </w:p>
        </w:tc>
        <w:tc>
          <w:tcPr>
            <w:tcW w:w="1460" w:type="dxa"/>
            <w:tcBorders>
              <w:top w:val="nil"/>
              <w:left w:val="nil"/>
              <w:bottom w:val="single" w:sz="12" w:space="0" w:color="auto"/>
              <w:right w:val="nil"/>
            </w:tcBorders>
            <w:shd w:val="clear" w:color="auto" w:fill="FFFFFF" w:themeFill="background1"/>
            <w:vAlign w:val="center"/>
          </w:tcPr>
          <w:p w14:paraId="79DCBAE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DAB8CAD"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6C1D5DFC"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Reduction of regular opioid use</w:t>
            </w:r>
          </w:p>
        </w:tc>
      </w:tr>
      <w:tr w:rsidR="0045157D" w:rsidRPr="00257961" w14:paraId="5005ECE0" w14:textId="77777777" w:rsidTr="0045157D">
        <w:tc>
          <w:tcPr>
            <w:tcW w:w="1783" w:type="dxa"/>
            <w:tcBorders>
              <w:top w:val="single" w:sz="12" w:space="0" w:color="auto"/>
              <w:left w:val="nil"/>
              <w:bottom w:val="nil"/>
              <w:right w:val="nil"/>
            </w:tcBorders>
            <w:shd w:val="clear" w:color="auto" w:fill="FFFFFF" w:themeFill="background1"/>
            <w:vAlign w:val="center"/>
          </w:tcPr>
          <w:p w14:paraId="794093B3"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Opioid use rate</w:t>
            </w:r>
          </w:p>
        </w:tc>
        <w:tc>
          <w:tcPr>
            <w:tcW w:w="1862" w:type="dxa"/>
            <w:tcBorders>
              <w:top w:val="single" w:sz="12" w:space="0" w:color="auto"/>
              <w:left w:val="nil"/>
              <w:bottom w:val="nil"/>
              <w:right w:val="nil"/>
            </w:tcBorders>
            <w:shd w:val="clear" w:color="auto" w:fill="FFFFFF" w:themeFill="background1"/>
            <w:vAlign w:val="center"/>
          </w:tcPr>
          <w:p w14:paraId="3D6F257A" w14:textId="4E98935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{"citationItems":[{"id":"ITEM-1","itemData":{"DOI":"10.1001/jama.283.10.1303","ISSN":"00987484","PMID":"10714729","abstract":"Context: Despite evidence that methadone maintenance treatment (MMT) is effective for opioid dependence, it remains a controversial therapy because of its indefinite provision of a dependence-producing medication. Objective: To compare outcomes of patients with opioid dependence treated with MMT vs an alternative treatment, psychosocially enriched 180-day methadone-assisted detoxification. Design: Randomized controlled trial conducted from May 1995 to April 1999. Setting: Research clinic in an established drug treatment service. Patients: Of 858 volunteers screened, 179 adults with diagnosed opioid dependence were randomized into the study; 154 completed 12 weeks of follow-up. Interventions: Patients were randomized to MMT (n = 91), which required 2 hours of psychosocial therapy per week during the first 6 months; or detoxification (n = 88), which required 3 hours of psychosocial therapy per week, 14 education sessions, and 1 hour of cocaine group therapy, if appropriate, for 6 months, and 6 months of (non-methadone) aftercare services. Main Outcome Measures: Treatment retention, heroin and cocaine abstinence (by self-report and monthly urinalysis), human immunodeficiency virus (HIV) risk behaviors (Risk of AIDS Behavior scale score), and function in 5 problem areas: employment, family, psychiatric, legal, and alcohol use (Addiction Severity Index), compared by intervention group. Results: Methadone maintenance therapy resulted in greater treatment retention (median, 438.5 vs 174.0 days) and lower heroin use rates than did detoxification. Cocaine use was more closely related to study dropout in detoxification than in MMT. Methadone maintenance therapy resulted in a lower rate of drug-related (mean [SD] at 12 months, 2.17 [3.88] vs 3.73 [6.86]) but not sex-related HIV risk behaviors and in a lower severity score for legal status (mean [SD] at 12 months, 0.05 [0.13] vs 0.13 [0.19]). There were no differences between groups in employment or family functioning or alcohol use. In both groups, monthly heroin use rates were 50% or greater, but days of use per month dropped markedly from baseline. Conclusions: Our results confirm the usefulness of MMT in reducing heroin use and HIV risk behaviors. Illicit opioid use continued in both groups, but frequency was reduced. Results do not provide support for diverting resources from MMT into longterm detoxification.","author":[{"dropping-particle":"","family":"Sees","given":"Karen L.","non-dropping-particle":"","parse-names":false,"suffix":""},{"dropping-particle":"","family":"Delucchi","given":"Kevin L.","non-dropping-particle":"","parse-names":false,"suffix":""},{"dropping-particle":"","family":"Masson","given":"Carmen","non-dropping-particle":"","parse-names":false,"suffix":""},{"dropping-particle":"","family":"Rosen","given":"Amy","non-dropping-particle":"","parse-names":false,"suffix":""},{"dropping-particle":"","family":"Clark","given":"H. Westley","non-dropping-particle":"","parse-names":false,"suffix":""},{"dropping-particle":"","family":"Robillard","given":"Helen","non-dropping-particle":"","parse-names":false,"suffix":""},{"dropping-particle":"","family":"Banys","given":"Peter","non-dropping-particle":"","parse-names":false,"suffix":""},{"dropping-particle":"","family":"Hall","given":"Sharon M.","non-dropping-particle":"","parse-names":false,"suffix":""}],"container-title":"Journal of the American Medical Association","id":"ITEM-1","issued":{"date-parts":[["2000"]]},"title":"Methadone maintenance vs 180-day psychosocially enriched detoxification for treatment of opioid dependence: A randomized controlled trial","type":"article-journal"},"uris":["http://www.mendeley.com/documents/?uuid=b8fca1a9-9fe5-4644-9847-a8c936831e0d"]}],"mendeley":{"formattedCitation":"(Sees et al., 2000)","manualFormatting":"Sees et al., 2000","plainTextFormattedCitation":"(Sees et al., 2000)","previouslyFormattedCitation":"(Sees et al., 2000)"},"properties":{"noteIndex":0},"schema":"https://github.com/citation-style-language/schema/raw/master/csl-citation.json"}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Sees et al., 2000</w:t>
            </w:r>
            <w:r w:rsidRPr="00EE7535">
              <w:rPr>
                <w:rFonts w:ascii="Arial" w:hAnsi="Arial" w:cs="Arial"/>
                <w:lang w:val="en-US"/>
              </w:rPr>
              <w:fldChar w:fldCharType="end"/>
            </w:r>
            <w:r w:rsidRPr="00EE7535">
              <w:rPr>
                <w:rFonts w:ascii="Arial" w:hAnsi="Arial" w:cs="Arial"/>
                <w:lang w:val="en-US"/>
              </w:rPr>
              <w:t xml:space="preserve"> </w:t>
            </w:r>
          </w:p>
        </w:tc>
        <w:tc>
          <w:tcPr>
            <w:tcW w:w="7008" w:type="dxa"/>
            <w:tcBorders>
              <w:top w:val="single" w:sz="12" w:space="0" w:color="auto"/>
              <w:left w:val="nil"/>
              <w:bottom w:val="nil"/>
              <w:right w:val="nil"/>
            </w:tcBorders>
            <w:shd w:val="clear" w:color="auto" w:fill="FFFFFF" w:themeFill="background1"/>
            <w:vAlign w:val="center"/>
          </w:tcPr>
          <w:p w14:paraId="6BFD7F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proportion of positive UOS </w:t>
            </w:r>
          </w:p>
        </w:tc>
        <w:tc>
          <w:tcPr>
            <w:tcW w:w="2552" w:type="dxa"/>
            <w:tcBorders>
              <w:top w:val="single" w:sz="12" w:space="0" w:color="auto"/>
              <w:left w:val="nil"/>
              <w:bottom w:val="nil"/>
              <w:right w:val="nil"/>
            </w:tcBorders>
            <w:shd w:val="clear" w:color="auto" w:fill="FFFFFF" w:themeFill="background1"/>
            <w:vAlign w:val="center"/>
          </w:tcPr>
          <w:p w14:paraId="7701003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monthly</w:t>
            </w:r>
          </w:p>
        </w:tc>
        <w:tc>
          <w:tcPr>
            <w:tcW w:w="1460" w:type="dxa"/>
            <w:tcBorders>
              <w:top w:val="single" w:sz="12" w:space="0" w:color="auto"/>
              <w:left w:val="nil"/>
              <w:bottom w:val="nil"/>
              <w:right w:val="nil"/>
            </w:tcBorders>
            <w:shd w:val="clear" w:color="auto" w:fill="FFFFFF" w:themeFill="background1"/>
            <w:vAlign w:val="center"/>
          </w:tcPr>
          <w:p w14:paraId="7C72828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A52D532" w14:textId="77777777" w:rsidTr="0045157D">
        <w:tc>
          <w:tcPr>
            <w:tcW w:w="1783" w:type="dxa"/>
            <w:tcBorders>
              <w:top w:val="nil"/>
              <w:left w:val="nil"/>
              <w:bottom w:val="nil"/>
              <w:right w:val="nil"/>
            </w:tcBorders>
            <w:shd w:val="clear" w:color="auto" w:fill="FFFFFF" w:themeFill="background1"/>
            <w:vAlign w:val="center"/>
          </w:tcPr>
          <w:p w14:paraId="0E5D2F0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7E12D34" w14:textId="2FE7E41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{"citationItems":[{"id":"ITEM-1","itemData":{"DOI":"10.1017/S146114570700836X","ISSN":"14611457","PMID":"18205978","abstract":"This was a 6-month, randomized, flexible-dose study comparing the effects of methadone (Meth) and buprenorphine (Bup) on retention rate and substance use in a sample of 140 opioid-dependent, primarily heroin-addicted, patients who had been without opioid substitution therapy in the 4 weeks prior to the study. The major aims were to compare the efficacy of Bup and Meth in a flexible dosing regimen and to identify possible predictors of outcome. There were no major inhomogeneities between treatment groups. All patients also received standardized psychosocial interventions. Mean daily dosages after the induction phase were 44-50 mg for Meth and 9-12 mg for Bup. Results from this study indicate a favourable outcome, with an overall retention rate of 52.1% and no significant differences between treatment groups (55.3% vs. 48.4%). Substance use decreased significantly over time in both groups and was non-significantly lower in the Bup group. Predictors of outcome were length of continuous opioid use and age at onset of opioid use, although these were only significant in the Bup group. Mean dosage and other parameters were not significant predictors of outcome. Overall, the results of this study give further evidence that substitution treatment is a safe and effective treatment for drug dependence. Meth and Bup are equally effective. Duration of continuous opioid use and age at onset were found to have predictive value for negative outcome. The intensity of withdrawal symptoms showed the strongest correlation with drop-out. Future studies are warranted to further address patient profiles and outcome under different substitution regimens. Copyright © 2008 CINP.","author":[{"dropping-particle":"","family":"Soyka","given":"Michael","non-dropping-particle":"","parse-names":false,"suffix":""},{"dropping-particle":"","family":"Zingg","given":"Christina","non-dropping-particle":"","parse-names":false,"suffix":""},{"dropping-particle":"","family":"Koller","given":"Gabriele","non-dropping-particle":"","parse-names":false,"suffix":""},{"dropping-particle":"","family":"Kuefner","given":"Heinrich","non-dropping-particle":"","parse-names":false,"suffix":""}],"container-title":"International Journal of Neuropsychopharmacology","id":"ITEM-1","issued":{"date-parts":[["2008"]]},"title":"Retention rate and substance use in methadone and buprenorphine maintenance therapy and predictors of outcome: Results from a randomized study","type":"article-journal"},"uris":["http://www.mendeley.com/documents/?uuid=5675adba-5571-432c-a3b2-4e9a8c01b7c6"]}],"mendeley":{"formattedCitation":"(Soyka et al., 2008)","manualFormatting":"Soyka, Zingg, Koller, &amp; Kuefner, 2008","plainTextFormattedCitation":"(Soyka et al., 2008)","previouslyFormattedCitation":"(Soyka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Soyka, Zingg, Koller, &amp; Kuefner, 2008</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048FF6B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rates of positive UOS </w:t>
            </w:r>
          </w:p>
        </w:tc>
        <w:tc>
          <w:tcPr>
            <w:tcW w:w="2552" w:type="dxa"/>
            <w:tcBorders>
              <w:top w:val="nil"/>
              <w:left w:val="nil"/>
              <w:bottom w:val="nil"/>
              <w:right w:val="nil"/>
            </w:tcBorders>
            <w:shd w:val="clear" w:color="auto" w:fill="FFFFFF" w:themeFill="background1"/>
            <w:vAlign w:val="center"/>
          </w:tcPr>
          <w:p w14:paraId="21F78CC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30DFF1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2A82C4D" w14:textId="77777777" w:rsidTr="0045157D">
        <w:tc>
          <w:tcPr>
            <w:tcW w:w="1783" w:type="dxa"/>
            <w:tcBorders>
              <w:top w:val="nil"/>
              <w:left w:val="nil"/>
              <w:bottom w:val="nil"/>
              <w:right w:val="nil"/>
            </w:tcBorders>
            <w:shd w:val="clear" w:color="auto" w:fill="FFFFFF" w:themeFill="background1"/>
            <w:vAlign w:val="center"/>
          </w:tcPr>
          <w:p w14:paraId="76C99CA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F8C9DEC" w14:textId="33C8F1D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{"citationItems":[{"id":"ITEM-1","itemData":{"DOI":"10.1001/archpsyc.63.1.102","ISSN":"0003990X","PMID":"16389204","abstract":"Context: Effective alternatives to long waiting lists for entry into methadone hydrochloride maintenance treatment are needed to reduce the complications of continuing heroin dependence and to increase methadone treatment entry. Objective: To compare the effectiveness of interim methadone maintenance with that of the usual waiting list condition in facilitating methadone treatment entry and reducing heroin and cocaine use and criminal behavior. Design: Randomized, controlled, clinical trial using 2 conditions, with treatment assignment on a 3:2 basis to interim maintenance-waiting list control. Setting: A methadone treatment program in Baltimore. Participants: A total of 319 individuals meeting the criteria for current heroin dependence and methadone maintenance treatment. Interventions: Participants were randomly assigned to either interim methadone maintenance, consisting of an individually determined methadone dose and emergency counseling only for up to 120 days, or referral to community-based methadone treatment programs. Main Outcome Measures: Entry into comprehensive methadone maintenance therapy at 4 months from baseline; self-reported days of heroin use, cocaine use, and criminal behavior; and number of urine drug test results positive for heroin and cocaine at the follow-up interview conducted at time of entry into comprehensive methadone treatment (or at 4 months from baseline for participants who did not enter regular treatment). Results: Significantly more participants assigned to the interim methadone maintenance condition entered comprehensive methadone maintenance treatment by the 120th day from baseline (75.9%) than those assigned to the waiting list control condition (20.8%) (P&lt;.001). Overall, in the past 30 days at follow-up, interim participants reported significantly fewer days of heroin use (P&lt;.001), had a significant reduction in heroin-positive drug test results (P&lt;.001), reported spending less money on drugs (P&lt;.001), and received less illegal income (P&lt;.02) than the waiting list participants. Conclusion: Interim methadone maintenance results in a substantial increase in the likelihood of entry into comprehensive treatment, and is an effective means of reducing heroin use and criminal behavior among opioid-dependent individuals awaiting entry into a comprehensive methadone treatment program. ©2006 American Medical Association. All rights reserved.","author":[{"dropping-particle":"","family":"Schwartz","given":"Robert P.","non-dropping-particle":"","parse-names":false,"suffix":""},{"dropping-particle":"","family":"Highfield","given":"David A.","non-dropping-particle":"","parse-names":false,"suffix":""},{"dropping-particle":"","family":"Jaffe","given":"Jerome H.","non-dropping-particle":"","parse-names":false,"suffix":""},{"dropping-particle":"V.","family":"Brady","given":"Joseph","non-dropping-particle":"","parse-names":false,"suffix":""},{"dropping-particle":"","family":"Butler","given":"Carol B.","non-dropping-particle":"","parse-names":false,"suffix":""},{"dropping-particle":"","family":"Rouse","given":"Charles O.","non-dropping-particle":"","parse-names":false,"suffix":""},{"dropping-particle":"","family":"Callaman","given":"Jason M.","non-dropping-particle":"","parse-names":false,"suffix":""},{"dropping-particle":"","family":"O'Grady","given":"Kevin E.","non-dropping-particle":"","parse-names":false,"suffix":""},{"dropping-particle":"","family":"Battjes","given":"Robert J.","non-dropping-particle":"","parse-names":false,"suffix":""}],"container-title":"Archives of General Psychiatry","id":"ITEM-1","issued":{"date-parts":[["2006"]]},"title":"A randomized controlled trial of interim methadone maintenance","type":"article-journal"},"uris":["http://www.mendeley.com/documents/?uuid=7b5fdcf6-477c-46d4-b596-fba9ea4e4fd1"]}],"mendeley":{"formattedCitation":"(Schwartz et al., 2006)","manualFormatting":"Schwartz et al., 2006","plainTextFormattedCitation":"(Schwartz et al., 2006)","previouslyFormattedCitation":"(Schwartz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Schwartz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09330F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at 120-day follow-up</w:t>
            </w:r>
          </w:p>
        </w:tc>
        <w:tc>
          <w:tcPr>
            <w:tcW w:w="2552" w:type="dxa"/>
            <w:tcBorders>
              <w:top w:val="nil"/>
              <w:left w:val="nil"/>
              <w:bottom w:val="nil"/>
              <w:right w:val="nil"/>
            </w:tcBorders>
            <w:shd w:val="clear" w:color="auto" w:fill="FFFFFF" w:themeFill="background1"/>
            <w:vAlign w:val="center"/>
          </w:tcPr>
          <w:p w14:paraId="69CB33F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BL and 120-day follow-up</w:t>
            </w:r>
          </w:p>
        </w:tc>
        <w:tc>
          <w:tcPr>
            <w:tcW w:w="1460" w:type="dxa"/>
            <w:tcBorders>
              <w:top w:val="nil"/>
              <w:left w:val="nil"/>
              <w:bottom w:val="nil"/>
              <w:right w:val="nil"/>
            </w:tcBorders>
            <w:shd w:val="clear" w:color="auto" w:fill="FFFFFF" w:themeFill="background1"/>
            <w:vAlign w:val="center"/>
          </w:tcPr>
          <w:p w14:paraId="3395BE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15701A4" w14:textId="77777777" w:rsidTr="0045157D">
        <w:tc>
          <w:tcPr>
            <w:tcW w:w="1783" w:type="dxa"/>
            <w:tcBorders>
              <w:top w:val="nil"/>
              <w:left w:val="nil"/>
              <w:bottom w:val="nil"/>
              <w:right w:val="nil"/>
            </w:tcBorders>
            <w:shd w:val="clear" w:color="auto" w:fill="FFFFFF" w:themeFill="background1"/>
            <w:vAlign w:val="center"/>
          </w:tcPr>
          <w:p w14:paraId="58B82EF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CEE548E" w14:textId="554C9DCC"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{"citationItems":[{"id":"ITEM-1","itemData":{"DOI":"10.1097/00004714-199602000-00010","ISSN":"02710749","PMID":"8834420","abstract":"This article reports results for patients who completed the 16-week maintenance phase of a double-blind clinical trial comparing buprenorphine (N = 43; average dose = 9.0 mg/day sublingually) with methadone (N = 43; average dose = 54 mg/day orally) in the outpatient treatment of opioid dependence. In addition to pharmacotherapy, treatment during the clinical trial included individual counseling, weekly group therapy, and on-site medical services. Patients in both medication groups showed significant and substantial improvements over time in areas of psychosocial functioning, as assessed by the Addiction Severity Index, rates of urinalysis tests positive for opioids, and self-reports of opioid withdrawal symptoms, illicit opioid use, and cocaine use. Buprenorphine and methadone produced very similar outcomes on the wide array of outcome measures assessed, and improvements for both groups were large and occurred rapidly after treatment entry. A trend toward continued improvement in opioid-positive urines over time was noted for the buprenorphine but not the methadone group. These results provide further evidence of the efficacy of buprenorphine in the treatment of opioid dependence and provide a characterization of the time course of effects for buprenorphine and methadone. In addition, these results demonstrate the benefits of drug abuse treatment, both for drug and alcohol use and in other areas of psychosocial functioning.","author":[{"dropping-particle":"","family":"Strain","given":"Eric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E.","non-dropping-particle":"","parse-names":false,"suffix":""}],"container-title":"Journal of Clinical Psychopharmacology","id":"ITEM-1","issued":{"date-parts":[["1996"]]},"title":"Buprenorphine Versus Methadone in the Treatment of Opioid Dependence: Self-Reports, Urinalysis and Addiction Severity Index","type":"article-journal"},"uris":["http://www.mendeley.com/documents/?uuid=f2543a82-69dc-4e16-b200-373e0084e5ee"]}],"mendeley":{"formattedCitation":"(Eric C. Strain et al., 1996)","manualFormatting":"Strain, Stitzer, Liebson, &amp; Bigelow, 1996","plainTextFormattedCitation":"(Eric C. Strain et al., 1996)","previouslyFormattedCitation":"(Eric C. Strain et al., 1996)"},"properties":{"noteIndex":0},"schema":"https://github.com/citation-style-language/schema/raw/master/csl-citation.json"}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E2EA6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Percentage of positive UOS – Overall </w:t>
            </w:r>
            <w:r w:rsidRPr="00EE7535">
              <w:rPr>
                <w:rFonts w:ascii="Arial" w:hAnsi="Arial" w:cs="Arial"/>
                <w:i/>
                <w:iCs/>
                <w:lang w:val="en-US"/>
              </w:rPr>
              <w:t>AND</w:t>
            </w:r>
            <w:r w:rsidRPr="00EE7535">
              <w:rPr>
                <w:rFonts w:ascii="Arial" w:hAnsi="Arial" w:cs="Arial"/>
                <w:lang w:val="en-US"/>
              </w:rPr>
              <w:t xml:space="preserve"> summarized in consecutive 2-week blocks</w:t>
            </w:r>
          </w:p>
        </w:tc>
        <w:tc>
          <w:tcPr>
            <w:tcW w:w="2552" w:type="dxa"/>
            <w:tcBorders>
              <w:top w:val="nil"/>
              <w:left w:val="nil"/>
              <w:bottom w:val="nil"/>
              <w:right w:val="nil"/>
            </w:tcBorders>
            <w:shd w:val="clear" w:color="auto" w:fill="FFFFFF" w:themeFill="background1"/>
            <w:vAlign w:val="center"/>
          </w:tcPr>
          <w:p w14:paraId="6EB5567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DC2B2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FA03CA8" w14:textId="77777777" w:rsidTr="0045157D">
        <w:tc>
          <w:tcPr>
            <w:tcW w:w="1783" w:type="dxa"/>
            <w:tcBorders>
              <w:top w:val="nil"/>
              <w:left w:val="nil"/>
              <w:bottom w:val="nil"/>
              <w:right w:val="nil"/>
            </w:tcBorders>
            <w:shd w:val="clear" w:color="auto" w:fill="FFFFFF" w:themeFill="background1"/>
            <w:vAlign w:val="center"/>
          </w:tcPr>
          <w:p w14:paraId="31E6DEB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0FB39A6" w14:textId="3DD7F8AB" w:rsidR="0045157D" w:rsidRPr="00EE7535" w:rsidRDefault="0045157D" w:rsidP="0045157D">
            <w:pPr>
              <w:spacing w:before="60" w:after="60"/>
              <w:rPr>
                <w:rFonts w:ascii="Arial" w:hAnsi="Arial" w:cs="Arial"/>
                <w:lang w:val="de-DE"/>
              </w:rPr>
            </w:pPr>
            <w:r w:rsidRPr="00EE7535">
              <w:rPr>
                <w:rFonts w:ascii="Arial" w:hAnsi="Arial" w:cs="Arial"/>
                <w:lang w:val="de-DE"/>
              </w:rPr>
              <w:fldChar w:fldCharType="begin" w:fldLock="1"/>
            </w:r>
            <w:r>
              <w:rPr>
                <w:rFonts w:ascii="Arial" w:hAnsi="Arial" w:cs="Arial"/>
                <w:lang w:val="de-DE"/>
              </w:rPr>
              <w:instrText>ADDIN CSL_CITATION {"citationItems":[{"id":"ITEM-1","itemData":{"DOI":"10.1001/archpsyc.1976.01770060043007","ISSN":"15383636","PMID":"779705","abstract":"This was a double-blind comparison of methadyl acetate and two dose levels of methadone hydrochloride in the maintenance of 430 street heroin addicts from 12 Veterans Administration hospitals. The starting sample consisted of 146 patients receiving low-dose methadone, 142 patients receiving high-dose methadone, and 142 patients receiving methadyl acetate. Patients were first given 30 mg of both drugs, and doses were incremented by 10 mg/week until they stabilized at methadyl acetate, 80 mg three times a week, and methadone hydrochloride, 50 mg daily or 100 mg daily. Dosage was fixed for the balance of the 40-week treatment period. Safety was evaluated by clinical and laboratory observations conducted at frequent intervals throughout the study. Relative efficacy was evaluated by illicit drug use, program retention and attendance, and global staff judgments. It is concluded that methadyl acetate is as safe a drug as methadone and that it compares favorably with highdose methadone in terms of efficacy. Both methadyl acetate and high-dose methadone appear to be better maintenance regimens than low-dose methadone under the conditions of this study. © 1976, American Medical Association. All rights reserved.","author":[{"dropping-particle":"","family":"Ling","given":"Walter","non-dropping-particle":"","parse-names":false,"suffix":""},{"dropping-particle":"","family":"Charuvastra","given":"V. Charles","non-dropping-particle":"","parse-names":false,"suffix":""},{"dropping-particle":"","family":"Kaim","given":"Samuel C.","non-dropping-particle":"","parse-names":false,"suffix":""},{"dropping-particle":"","family":"Klett","given":"C. James","non-dropping-particle":"","parse-names":false,"suffix":""}],"container-title":"Archives of General Psychiatry","id":"ITEM-1","issued":{"date-parts":[["1976"]]},"title":"Methadyl Acetate and Methadone as Maintenance Treatments for Heroin Addicts: A Veterans Administration Cooperative Study","type":"article-journal"},"uris":["http://www.mendeley.com/documents/?uuid=2638e846-8890-48cf-9dc0-1ec5023bd0df"]}],"mendeley":{"formattedCitation":"(Ling et al., 1976)","manualFormatting":"Ling, Charuvastra, Kaim, &amp; Klett, 1976","plainTextFormattedCitation":"(Ling et al., 1976)","previouslyFormattedCitation":"(Ling et al., 1976)"},"properties":{"noteIndex":0},"schema":"https://github.com/citation-style-language/schema/raw/master/csl-citation.json"}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de-DE"/>
              </w:rPr>
              <w:t>Ling, Charuvastra, Kaim, &amp; Klett, 1976</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40DF51FF" w14:textId="3C5CB2F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Index of illicit morphine use</w:t>
            </w:r>
          </w:p>
        </w:tc>
        <w:tc>
          <w:tcPr>
            <w:tcW w:w="2552" w:type="dxa"/>
            <w:tcBorders>
              <w:top w:val="nil"/>
              <w:left w:val="nil"/>
              <w:bottom w:val="nil"/>
              <w:right w:val="nil"/>
            </w:tcBorders>
            <w:shd w:val="clear" w:color="auto" w:fill="FFFFFF" w:themeFill="background1"/>
            <w:vAlign w:val="center"/>
          </w:tcPr>
          <w:p w14:paraId="5259826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4EED45E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3</w:t>
            </w:r>
          </w:p>
        </w:tc>
      </w:tr>
      <w:tr w:rsidR="0045157D" w:rsidRPr="00257961" w14:paraId="4A8E0D69" w14:textId="77777777" w:rsidTr="0045157D">
        <w:tc>
          <w:tcPr>
            <w:tcW w:w="1783" w:type="dxa"/>
            <w:tcBorders>
              <w:top w:val="nil"/>
              <w:left w:val="nil"/>
              <w:bottom w:val="nil"/>
              <w:right w:val="nil"/>
            </w:tcBorders>
            <w:shd w:val="clear" w:color="auto" w:fill="FFFFFF" w:themeFill="background1"/>
            <w:vAlign w:val="center"/>
          </w:tcPr>
          <w:p w14:paraId="4143F5A3"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FFFFFF" w:themeFill="background1"/>
            <w:vAlign w:val="center"/>
          </w:tcPr>
          <w:p w14:paraId="67334AC0" w14:textId="037E2959"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w:instrText>
            </w:r>
            <w:r w:rsidRPr="00A57CB6">
              <w:rPr>
                <w:rFonts w:ascii="Arial" w:hAnsi="Arial" w:cs="Arial"/>
                <w:lang w:val="en-US"/>
              </w:rPr>
              <w:instrText>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2008)","manualFormatting":"Woody et al., 2008","plainTextFormattedCitation":"(Woody et al., 2008)","previouslyFormattedCitation":"(Woody et al., 2008)"},"properties":{"noteIndex":0},"schema":"https://github.com/citation-style-language/schema/raw/master/csl-citation.json"}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Woody et al., 2008</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35C78E1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 at weeks 4, 8, and 12</w:t>
            </w:r>
          </w:p>
        </w:tc>
        <w:tc>
          <w:tcPr>
            <w:tcW w:w="2552" w:type="dxa"/>
            <w:tcBorders>
              <w:top w:val="nil"/>
              <w:left w:val="nil"/>
              <w:bottom w:val="nil"/>
              <w:right w:val="nil"/>
            </w:tcBorders>
            <w:shd w:val="clear" w:color="auto" w:fill="FFFFFF" w:themeFill="background1"/>
            <w:vAlign w:val="center"/>
          </w:tcPr>
          <w:p w14:paraId="43A359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4, 8, 12</w:t>
            </w:r>
          </w:p>
        </w:tc>
        <w:tc>
          <w:tcPr>
            <w:tcW w:w="1460" w:type="dxa"/>
            <w:tcBorders>
              <w:top w:val="nil"/>
              <w:left w:val="nil"/>
              <w:bottom w:val="nil"/>
              <w:right w:val="nil"/>
            </w:tcBorders>
            <w:shd w:val="clear" w:color="auto" w:fill="FFFFFF" w:themeFill="background1"/>
            <w:vAlign w:val="center"/>
          </w:tcPr>
          <w:p w14:paraId="6CBDDB2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4</w:t>
            </w:r>
          </w:p>
        </w:tc>
      </w:tr>
      <w:tr w:rsidR="0045157D" w:rsidRPr="00257961" w14:paraId="73FFE9B4" w14:textId="77777777" w:rsidTr="0045157D">
        <w:tc>
          <w:tcPr>
            <w:tcW w:w="1783" w:type="dxa"/>
            <w:tcBorders>
              <w:top w:val="nil"/>
              <w:left w:val="nil"/>
              <w:bottom w:val="nil"/>
              <w:right w:val="nil"/>
            </w:tcBorders>
            <w:shd w:val="clear" w:color="auto" w:fill="FFFFFF" w:themeFill="background1"/>
            <w:vAlign w:val="center"/>
          </w:tcPr>
          <w:p w14:paraId="46A55AA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094570B" w14:textId="05B3BFE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{"citationItems":[{"id":"ITEM-1","itemData":{"DOI":"10.1001/jama.277.24.1945","ISSN":"00987484","PMID":"9200635","abstract":"Objective. - To compare the clinical efficacy of different doses of levomethadyl acetate hydrochloride (known as LAAM) in the treatment of opioid dependence. Design. - A randomized controlled, double-blind, parallel group, 17-week study. Setting. - Outpatient facilities at Johns Hopkins University Bayview Medical Center, Baltimore, Md. Patients. - Opioid-dependent volunteers (N=180) applying to a treatment-research clinic. Intervention. - Thrice-weekly (Monday/Wednesday/Friday) oral LAAM dose conditions of 25/25/35 mg, 50/50/70 mg, and 100/100/140 mg and nonmandatory counseling. Main Outcome Measures. - Retention in treatment, self-reported heroin use, and opioid- positive urine specimens. Results. - Retention was independent of subjects' sex and dose. Self-reported heroin use decreased in a dose-related manner. At final assessment, patients in the high-dose condition reported using heroin 2.5 of 30 days as compared with 4.1 or 6.3 days for patients in the medium- dose and low-dose conditions, respectively (high dose vs low dose, P&lt;.05); urinalysis results were similarly dose related. Overall, 20 (34%) of 59 patients in the high-dose condition remained opioid-abstinent for 4 consecutive weeks, as compared with 8 (14%) of 59 in the medium-dose and 7 (11%) of 62 in the low-dose conditions (P&lt;.01). Self-report and urinalysis data are consistent with a greater than 90% reduction in illicit opioid use by the high-dose group relative to pretreatment levels. Conclusion. - Opioid substitution treatment with LAAM substantially reduces illicit opioid use. The clinical efficacy of LAAM is positively related to dose.","author":[{"dropping-particle":"","family":"Eissenberg","given":"Thomas","non-dropping-particle":"","parse-names":false,"suffix":""},{"dropping-particle":"","family":"Bigelow","given":"George E.","non-dropping-particle":"","parse-names":false,"suffix":""},{"dropping-particle":"","family":"Strain","given":"Eric C.","non-dropping-particle":"","parse-names":false,"suffix":""},{"dropping-particle":"","family":"Walsh","given":"Sharon L.","non-dropping-particle":"","parse-names":false,"suffix":""},{"dropping-particle":"","family":"Brooner","given":"Robert K.","non-dropping-particle":"","parse-names":false,"suffix":""},{"dropping-particle":"","family":"Stitzer","given":"Maxine L.","non-dropping-particle":"","parse-names":false,"suffix":""},{"dropping-particle":"","family":"Johnson","given":"Rolley E.","non-dropping-particle":"","parse-names":false,"suffix":""}],"container-title":"Journal of the American Medical Association","id":"ITEM-1","issued":{"date-parts":[["1997"]]},"title":"Dose-related efficacy of levomethadyl acetate for treatment of opioid dependence: A randomized clinical trial","type":"article-journal"},"uris":["http://www.mendeley.com/documents/?uuid=e38996b9-11ba-45fd-b636-e44cf3f84763"]}],"mendeley":{"formattedCitation":"(Eissenberg et al., 1997)","manualFormatting":"Eissenberg et al., 1997","plainTextFormattedCitation":"(Eissenberg et al., 1997)","previouslyFormattedCitation":"(Eissenberg et al., 1997)"},"properties":{"noteIndex":0},"schema":"https://github.com/citation-style-language/schema/raw/master/csl-citation.json"}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Eissenberg et al., 1997</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5DC23A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percentage of positive UOS for patients who remained in treatment through week 17</w:t>
            </w:r>
          </w:p>
        </w:tc>
        <w:tc>
          <w:tcPr>
            <w:tcW w:w="2552" w:type="dxa"/>
            <w:tcBorders>
              <w:top w:val="nil"/>
              <w:left w:val="nil"/>
              <w:bottom w:val="nil"/>
              <w:right w:val="nil"/>
            </w:tcBorders>
            <w:shd w:val="clear" w:color="auto" w:fill="FFFFFF" w:themeFill="background1"/>
            <w:vAlign w:val="center"/>
          </w:tcPr>
          <w:p w14:paraId="4951862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57946BF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5</w:t>
            </w:r>
          </w:p>
        </w:tc>
      </w:tr>
      <w:tr w:rsidR="0045157D" w:rsidRPr="00EE7535" w14:paraId="162996A3" w14:textId="77777777" w:rsidTr="0045157D">
        <w:tc>
          <w:tcPr>
            <w:tcW w:w="1783" w:type="dxa"/>
            <w:tcBorders>
              <w:top w:val="nil"/>
              <w:left w:val="nil"/>
              <w:bottom w:val="nil"/>
              <w:right w:val="nil"/>
            </w:tcBorders>
            <w:shd w:val="clear" w:color="auto" w:fill="FFFFFF" w:themeFill="background1"/>
            <w:vAlign w:val="center"/>
          </w:tcPr>
          <w:p w14:paraId="3BB596F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6CCC28" w14:textId="11FB97CE"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{"citationItems":[{"id":"ITEM-1","itemData":{"DOI":"10.7326/0003-4819-119-1-199307010-00004","ISSN":"00034819","PMID":"8498759","abstract":"Objective: To compare the dose effectiveness of low to moderate doses of methadone in a sample of a contemporary population of opioid abusers, because the optimal dosing of methadone in the treatment of opioid dependence remains an issue. Design: A randomized, double-blind, placebo-controlled study. Setting: A methadone treatment research clinic. Patients: Participants (n = 247) were opioid-dependent patients with a high rate of cocaine use. Intervention: All participants were initially treated with active methadone for a minimum of 5 weeks and then received 15 weeks of stable dosing at 50, 20, or 0 mg per day. Individual counseling and group therapy were included. Measurements: Treatment retention and illicit drug use as determined by intensive urine monitoring. Results: Retention was better for patients who remained on active medication. By treatment week 20, retention was 52.4% for the 50-mg, 41.5% for the 20-mg, and 21.0% for the 0-mg group (50 versus 0 and 20 versus 0, P &lt; 0.05; 50 versus 20, P &gt; 0.05). Only the 50-mg treatment group had a reduced rate of opioid-positive urine samples (56.4% versus 67.6% and 73.6% for the 20-mg and 0-mg groups, respectively; P &lt; 0.05) and cocaine- positive urine samples (52.6% versus 62.4% and 67.1% for the 20- and 0-mg groups, respectively; P &lt; 0.05). Conclusions: There is a dose-response effect for methadone treatment. Doses as low as 20 mg may improve retention but are inadequate for suppressing illicit drug use.","author":[{"dropping-particle":"","family":"Strain","given":"E. C.","non-dropping-particle":"","parse-names":false,"suffix":""},{"dropping-particle":"","family":"Stitzer","given":"M. L.","non-dropping-particle":"","parse-names":false,"suffix":""},{"dropping-particle":"","family":"Liebson","given":"I. A.","non-dropping-particle":"","parse-names":false,"suffix":""},{"dropping-particle":"","family":"Bigelow","given":"G. E.","non-dropping-particle":"","parse-names":false,"suffix":""}],"container-title":"Annals of Internal Medicine","id":"ITEM-1","issued":{"date-parts":[["1993"]]},"title":"Dose-response effects of methadone in the treatment of opioid dependence","type":"article-journal"},"uris":["http://www.mendeley.com/documents/?uuid=d10689d2-f1a1-463b-8c95-83e7b91135c6"]}],"mendeley":{"formattedCitation":"(E. C. Strain et al., 1993)","manualFormatting":"Strain, Stitzer, Liebson, &amp; Bigelow, 1993","plainTextFormattedCitation":"(E. C. Strain et al., 1993)","previouslyFormattedCitation":"(E. C. Strain et al., 1993)"},"properties":{"noteIndex":0},"schema":"https://github.com/citation-style-language/schema/raw/master/csl-citation.json"}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1993</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8E0F93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positive UOS through the end of the stable dosing period</w:t>
            </w:r>
          </w:p>
        </w:tc>
        <w:tc>
          <w:tcPr>
            <w:tcW w:w="2552" w:type="dxa"/>
            <w:tcBorders>
              <w:top w:val="nil"/>
              <w:left w:val="nil"/>
              <w:bottom w:val="nil"/>
              <w:right w:val="nil"/>
            </w:tcBorders>
            <w:shd w:val="clear" w:color="auto" w:fill="FFFFFF" w:themeFill="background1"/>
            <w:vAlign w:val="center"/>
          </w:tcPr>
          <w:p w14:paraId="59C689C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0A0715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41A47243" w14:textId="77777777" w:rsidTr="0045157D">
        <w:tc>
          <w:tcPr>
            <w:tcW w:w="1783" w:type="dxa"/>
            <w:tcBorders>
              <w:top w:val="nil"/>
              <w:left w:val="nil"/>
              <w:bottom w:val="nil"/>
              <w:right w:val="nil"/>
            </w:tcBorders>
            <w:shd w:val="clear" w:color="auto" w:fill="FFFFFF" w:themeFill="background1"/>
            <w:vAlign w:val="center"/>
          </w:tcPr>
          <w:p w14:paraId="5484B83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29CF1E0" w14:textId="3B375FA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{"citationItems":[{"id":"ITEM-1","itemData":{"DOI":"10.1001/jama.1972.03200060039005","ISSN":"15383598","PMID":"5067346","abstract":"In a comparison of methadone hydrochloride and levomethadyl acetate (I-alpha-acetylmethadol), 20 male, opiate-dependent subjects were assigned at random to either regimen. Methadone-treated subjects received methadone hydrochloride, 100 mg daily. Levomethadyl patients received doses on Monday, Wednesday, and Friday only. Four received low doses (30 to 50 mg), and six received high doses (80 mg). Both regimens were well tolerated. At six months, eight of ten methadone-treated patients and eight of nine levomethadyl-treated patients were undergoing treatment. In patient acceptance, withdrawal symptoms, response to heroin challenges, and number of positive results for urine tests measured for morphine, the two groups were equivalent. Levomethadyl acetate, 80 mg administered three times per week, is equivalent to daily administration of 100 mg of methadone hydrochloride. Large-scale clinical trials of levomethadyl acetate are suggested. © 1972, American Medical Association. All rights reserved.","author":[{"dropping-particle":"","family":"Zaks","given":"Arthur","non-dropping-particle":"","parse-names":false,"suffix":""},{"dropping-particle":"","family":"Fink","given":"Max","non-dropping-particle":"","parse-names":false,"suffix":""},{"dropping-particle":"","family":"Freedman","given":"Alfred M.","non-dropping-particle":"","parse-names":false,"suffix":""}],"container-title":"JAMA: The Journal of the American Medical Association","id":"ITEM-1","issued":{"date-parts":[["1972"]]},"title":"Levomethadyl in Maintenance Treatment of Opiate Dependence","type":"article-journal"},"uris":["http://www.mendeley.com/documents/?uuid=9125586e-8e90-4bbd-b8e5-93bf5f1c8d05"]}],"mendeley":{"formattedCitation":"(Zaks et al., 1972)","manualFormatting":"Zaks, Fink, &amp; Freedman, 1972","plainTextFormattedCitation":"(Zaks et al., 1972)","previouslyFormattedCitation":"(Zaks et al., 1972)"},"properties":{"noteIndex":0},"schema":"https://github.com/citation-style-language/schema/raw/master/csl-citation.json"}</w:instrText>
            </w:r>
            <w:r w:rsidRPr="00EE7535">
              <w:rPr>
                <w:rFonts w:ascii="Arial" w:hAnsi="Arial" w:cs="Arial"/>
                <w:lang w:val="en-US"/>
              </w:rPr>
              <w:fldChar w:fldCharType="separate"/>
            </w:r>
            <w:r w:rsidRPr="00A57CB6">
              <w:rPr>
                <w:rFonts w:ascii="Arial" w:hAnsi="Arial" w:cs="Arial"/>
                <w:noProof/>
                <w:lang w:val="en-US"/>
              </w:rPr>
              <w:t>Zaks, Fink, &amp; Freedman, 1972</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59F7DF9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w:t>
            </w:r>
          </w:p>
        </w:tc>
        <w:tc>
          <w:tcPr>
            <w:tcW w:w="2552" w:type="dxa"/>
            <w:tcBorders>
              <w:top w:val="nil"/>
              <w:left w:val="nil"/>
              <w:bottom w:val="nil"/>
              <w:right w:val="nil"/>
            </w:tcBorders>
            <w:shd w:val="clear" w:color="auto" w:fill="FFFFFF" w:themeFill="background1"/>
            <w:vAlign w:val="center"/>
          </w:tcPr>
          <w:p w14:paraId="154872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17520C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58888641" w14:textId="77777777" w:rsidTr="0045157D">
        <w:tc>
          <w:tcPr>
            <w:tcW w:w="1783" w:type="dxa"/>
            <w:tcBorders>
              <w:top w:val="nil"/>
              <w:left w:val="nil"/>
              <w:bottom w:val="nil"/>
              <w:right w:val="nil"/>
            </w:tcBorders>
            <w:shd w:val="clear" w:color="auto" w:fill="FFFFFF" w:themeFill="background1"/>
            <w:vAlign w:val="center"/>
          </w:tcPr>
          <w:p w14:paraId="5CC048A2"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7AF55F4" w14:textId="4ABED1B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{"citationItems":[{"id":"ITEM-1","itemData":{"DOI":"10.1001/jama.281.11.1000","ISSN":"00987484","PMID":"10086434","abstract":"Context: Methadone hydrochloride treatment is the most common pharmacological intervention for opioid dependence, and recent interest has focused on expanding methadone treatment availability beyond traditional specially licensed clinics. However, despite recommendations regarding effective dosing of methadone, controlled clinical trials of higher-dose methadone have not been conducted. Objective: To compare the relative clinical efficacy of moderate- vs high-dose methadone in the treatment of opioid dependence. Design: A 40-week randomized, double-blind clinical trial starting in June 1992 and ending in October 1995. Setting: Outpatient substance abuse treatment research clinic at the Johns Hopkins University Bayview Campus, Baltimore, Md. Participants: One hundred ninety-two eligible clinic patients. Intervention: Daily oral methadone hydrochloride in the dose range of 40 to 50 mg (n = 97) or 80 to 100 mg (n = 95), with concurrent substance abuse counseling. Main Outcome Measures: Opioid-positive urinalysis results and retention in treatment. Results: By intent-to-treat analysis, through week 30 patients in the high-dose group had significantly lower rates of opioid-positive urine samples compared with patients in the moderate-dose group (53.0% [95% confidence interval {CI}, 46.9%-59.2%] vs 61.9% [95% CI, 55.9%-68.0%]; P = .047). These differences persisted during withdrawal from methadone. Through day 210 no significant difference was evident between dose groups in treatment retention (high-dose group mean retention, 159 days; moderate-dose group mean retention, 157 days). Nineteen (33%) of 57 patients in the high-dose group and 11 (20%) of 54 patients in the moderate-dose group completed detoxification. Conclusions: Both moderate- and high-dose methadone treatment resulted in decreased illicit opioid use during methadone maintenance and detoxification. The high-dose group had significantly greater decreases in illicit opiod use.","author":[{"dropping-particle":"","family":"Strain","given":"Eric C.","non-dropping-particle":"","parse-names":false,"suffix":""},{"dropping-particle":"","family":"Bigelow","given":"George E.","non-dropping-particle":"","parse-names":false,"suffix":""},{"dropping-particle":"","family":"Liebson","given":"Ira A.","non-dropping-particle":"","parse-names":false,"suffix":""},{"dropping-particle":"","family":"Stitzer","given":"Maxine L.","non-dropping-particle":"","parse-names":false,"suffix":""}],"container-title":"Journal of the American Medical Association","id":"ITEM-1","issued":{"date-parts":[["1999"]]},"title":"Moderate- vs high-dose methadone in the treatment of opioid dependence: A randomized trial","type":"article-journal"},"uris":["http://www.mendeley.com/documents/?uuid=4cb54ddf-da94-46a9-b4c7-1946e6027de7"]}],"mendeley":{"formattedCitation":"(Eric C. Strain et al., 1999)","manualFormatting":"Strain, Bigelow, Liebson, &amp; Stitzer, 1999","plainTextFormattedCitation":"(Eric C. Strain et al., 1999)","previouslyFormattedCitation":"(Eric C. Strain et al., 1999)"},"properties":{"noteIndex":0},"schema":"https://github.com/citation-style-language/schema/raw/master/csl-citation.json"}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Bigelow, Liebson, &amp; Stitzer, 1999</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7C8149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1) Intent-to-treat analysis: Overall rate of positive UOS; 2) Retained sample: Three-weekly rate of positive UOS for patients who remained in treatment to the end of the stable dosing phase</w:t>
            </w:r>
          </w:p>
        </w:tc>
        <w:tc>
          <w:tcPr>
            <w:tcW w:w="2552" w:type="dxa"/>
            <w:tcBorders>
              <w:top w:val="nil"/>
              <w:left w:val="nil"/>
              <w:bottom w:val="nil"/>
              <w:right w:val="nil"/>
            </w:tcBorders>
            <w:shd w:val="clear" w:color="auto" w:fill="FFFFFF" w:themeFill="background1"/>
            <w:vAlign w:val="center"/>
          </w:tcPr>
          <w:p w14:paraId="06DD83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7B0A631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70C882F" w14:textId="77777777" w:rsidTr="0045157D">
        <w:tc>
          <w:tcPr>
            <w:tcW w:w="1783" w:type="dxa"/>
            <w:tcBorders>
              <w:top w:val="nil"/>
              <w:left w:val="nil"/>
              <w:bottom w:val="nil"/>
              <w:right w:val="nil"/>
            </w:tcBorders>
            <w:shd w:val="clear" w:color="auto" w:fill="FFFFFF" w:themeFill="background1"/>
            <w:vAlign w:val="center"/>
          </w:tcPr>
          <w:p w14:paraId="0893533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16ED2D05" w14:textId="76E3254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{"citationItems":[{"id":"ITEM-1","itemData":{"DOI":"10.1016/S0376-8716(00)00163-0","ISSN":"03768716","PMID":"11173173","abstract":"This study compared the safety and efficacy of sublingual buprenorphine tablets with oral methadone in a population of opioid-dependent individuals in a double-blind, randomized, 6-week trial using a flexible dosing procedure. Fifty-eight patients seeking treatment for opioid dependence were recruited in three outpatient facilities and randomly assigned to substitution with buprenorphine or methadone. The retention rate was significantly better in the methadone maintained group (90 vs. 56%; P &lt; 0.001). Subjects completing the study in both the treatment groups had similar proportions of opioid positive urine samples (buprenorphine 62%; methadone 59%) and positive urine specimens, as well as mean heroin craving scores decreased significantly over time (P = 0.035 and P &lt; 0.001). The proportion of cocaine-positive toxicology results did not differ between groups. At week six mean stabilization doses were 10.5 mg per day for the sublingual buprenorphine tablet, and 69.8 mg per day for methadone, respectively. Patient performance during maintenance was similar in both the groups. The high attrition rate in the buprenorphine group during the induction phase might reflect inadequate induction doses. Thus, buprenorphine is a viable alternative for methadone in short-term maintenance treatment for heroin dependence if treatment induction is done with adequate dosages. © 2001 Elsevier Science Ireland Ltd.","author":[{"dropping-particle":"","family":"Petitjean","given":"Sylvie","non-dropping-particle":"","parse-names":false,"suffix":""},{"dropping-particle":"","family":"Stohler","given":"Rudolf","non-dropping-particle":"","parse-names":false,"suffix":""},{"dropping-particle":"","family":"Déglon","given":"Jean Jacques","non-dropping-particle":"","parse-names":false,"suffix":""},{"dropping-particle":"","family":"Livoti","given":"Santino","non-dropping-particle":"","parse-names":false,"suffix":""},{"dropping-particle":"","family":"Waldvogel","given":"Doris","non-dropping-particle":"","parse-names":false,"suffix":""},{"dropping-particle":"","family":"Uehlinger","given":"Claude","non-dropping-particle":"","parse-names":false,"suffix":""},{"dropping-particle":"","family":"Ladewig","given":"Dieter","non-dropping-particle":"","parse-names":false,"suffix":""}],"container-title":"Drug and Alcohol Dependence","id":"ITEM-1","issued":{"date-parts":[["2001"]]},"title":"Double-blind randomized trial of buprenorphine and methadone in opiate dependence","type":"article-journal"},"uris":["http://www.mendeley.com/documents/?uuid=61273383-c59f-4db5-80e4-2dbdeb9794d8"]}],"mendeley":{"formattedCitation":"(Petitjean et al., 2001)","manualFormatting":"Petitjean et al., 2001","plainTextFormattedCitation":"(Petitjean et al., 2001)","previouslyFormattedCitation":"(Petitjean et al., 2001)"},"properties":{"noteIndex":0},"schema":"https://github.com/citation-style-language/schema/raw/master/csl-citation.json"}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Petitjean et al., 2001</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3E4D4D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proportion of positive UOS (intent-to-treat and completer analysis)</w:t>
            </w:r>
          </w:p>
        </w:tc>
        <w:tc>
          <w:tcPr>
            <w:tcW w:w="2552" w:type="dxa"/>
            <w:tcBorders>
              <w:top w:val="nil"/>
              <w:left w:val="nil"/>
              <w:bottom w:val="nil"/>
              <w:right w:val="nil"/>
            </w:tcBorders>
            <w:shd w:val="clear" w:color="auto" w:fill="FFFFFF" w:themeFill="background1"/>
            <w:vAlign w:val="center"/>
          </w:tcPr>
          <w:p w14:paraId="1CC5DC2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6D9C7A4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949314F" w14:textId="77777777" w:rsidTr="0045157D">
        <w:tc>
          <w:tcPr>
            <w:tcW w:w="1783" w:type="dxa"/>
            <w:tcBorders>
              <w:top w:val="nil"/>
              <w:left w:val="nil"/>
              <w:bottom w:val="nil"/>
              <w:right w:val="nil"/>
            </w:tcBorders>
            <w:shd w:val="clear" w:color="auto" w:fill="auto"/>
            <w:vAlign w:val="center"/>
          </w:tcPr>
          <w:p w14:paraId="26D12D2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1BDB584" w14:textId="2F87272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5E950F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w:t>
            </w:r>
          </w:p>
        </w:tc>
        <w:tc>
          <w:tcPr>
            <w:tcW w:w="2552" w:type="dxa"/>
            <w:tcBorders>
              <w:top w:val="nil"/>
              <w:left w:val="nil"/>
              <w:bottom w:val="nil"/>
              <w:right w:val="nil"/>
            </w:tcBorders>
            <w:shd w:val="clear" w:color="auto" w:fill="auto"/>
            <w:vAlign w:val="center"/>
          </w:tcPr>
          <w:p w14:paraId="02D3B63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0F018B4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49FF3CED" w14:textId="77777777" w:rsidTr="0045157D">
        <w:tc>
          <w:tcPr>
            <w:tcW w:w="1783" w:type="dxa"/>
            <w:tcBorders>
              <w:top w:val="nil"/>
              <w:left w:val="nil"/>
              <w:bottom w:val="nil"/>
              <w:right w:val="nil"/>
            </w:tcBorders>
            <w:shd w:val="clear" w:color="auto" w:fill="FFFFFF" w:themeFill="background1"/>
            <w:vAlign w:val="center"/>
          </w:tcPr>
          <w:p w14:paraId="17F5809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53C381" w14:textId="1909C40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Treatment","id":"ITEM-1","issued":{"date-parts":[["2004"]]},"title":"Naltrexone for heroin dependence treatment in St. Petersburg, Russia","type":"article-journal"},"uris":["http://www.mendeley.com/documents/?uuid=afda11f1-b928-46a3-b7c4-0dc25a416189"]}],"mendeley":{"formattedCitation":"(E. M. Krupitsky et al., 2004)","manualFormatting":"Krupitsky et al., 2004","plainTextFormattedCitation":"(E. M. Krupitsky et al., 2004)","previouslyFormattedCitation":"(E. M. Krupitsky et al., 2004)"},"properties":{"noteIndex":0},"schema":"https://github.com/citation-style-language/schema/raw/master/csl-citation.json"}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87FF5B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among retained sample at each time point</w:t>
            </w:r>
          </w:p>
        </w:tc>
        <w:tc>
          <w:tcPr>
            <w:tcW w:w="2552" w:type="dxa"/>
            <w:tcBorders>
              <w:top w:val="nil"/>
              <w:left w:val="nil"/>
              <w:bottom w:val="nil"/>
              <w:right w:val="nil"/>
            </w:tcBorders>
            <w:shd w:val="clear" w:color="auto" w:fill="FFFFFF" w:themeFill="background1"/>
            <w:vAlign w:val="center"/>
          </w:tcPr>
          <w:p w14:paraId="1003579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6B44D0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328B891A" w14:textId="77777777" w:rsidTr="0045157D">
        <w:tc>
          <w:tcPr>
            <w:tcW w:w="1783" w:type="dxa"/>
            <w:tcBorders>
              <w:top w:val="nil"/>
              <w:left w:val="nil"/>
              <w:bottom w:val="nil"/>
              <w:right w:val="nil"/>
            </w:tcBorders>
            <w:shd w:val="clear" w:color="auto" w:fill="auto"/>
            <w:vAlign w:val="center"/>
          </w:tcPr>
          <w:p w14:paraId="5FD1312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756A171" w14:textId="682B84AF"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{"citationItems":[{"id":"ITEM-1","itemData":{"DOI":"10.1176/ajp.151.7.1025","ISSN":"0002953X","PMID":"8010359","abstract":"Objective: This study compared the efficacy of buprenorphine and methadone in the treatment of opioid dependence. Method: Participants (N=164) were relatively treatment-naive, opioid-dependent applicants to a 26-week treatment program who were randomly assigned to either methadone or buprenorphine treatment. Dosing was double-blind and double-dummy. Patients were stabilized on a regimen of either methadone, 50 mg, or buprenorphine, 8 mg, with dose changes possible through week 16 of treatment. Urine samples were collected three times a week, and weekly counseling was provided. Results: Buprenorphine (mean dose=8.9 mg/day) and methadone (mean dose=54 mg/day) were equally effective in sustaining retention in treatment, compliance with medication, and counseling regimens. In both groups, 56% of patients remained in treatment through the 16-week flexible dosing period. Overall opioid-positive urine sample rates were 55% and 47% for buprenorphine and methadone groups, respectively; cocaine-positive urine sample rates were 70% and 58%. Evidence was obtained for the effectiveness of dose increases in suppressing opioid, but not cocaine, use among those who received dose increases. Conclusions: The results of this study provide further support for the utility of buprenorphine as a new medication in the treatment of opioid dependence and demonstrate efficacy equivalent to that of methadone when used during a clinically guided flexible dosing procedure.","author":[{"dropping-particle":"","family":"Strain","given":"Eric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E.","non-dropping-particle":"","parse-names":false,"suffix":""}],"container-title":"American Journal of Psychiatry","id":"ITEM-1","issued":{"date-parts":[["1994"]]},"title":"Comparison of buprenorphine and methadone in the treatment of opioid dependence","type":"article-journal"},"uris":["http://www.mendeley.com/documents/?uuid=d6a98710-ebce-486f-928f-f53a1d234dc0"]}],"mendeley":{"formattedCitation":"(Eric C. Strain et al., 1994)","manualFormatting":"Strain, Stitzer, Liebson, &amp; Bigelow, 1994","plainTextFormattedCitation":"(Eric C. Strain et al., 1994)","previouslyFormattedCitation":"(Eric C. Strain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Stitzer, Liebson, &amp; Bigelow,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517C5FD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Overall rate of positive UOS</w:t>
            </w:r>
          </w:p>
        </w:tc>
        <w:tc>
          <w:tcPr>
            <w:tcW w:w="2552" w:type="dxa"/>
            <w:tcBorders>
              <w:top w:val="nil"/>
              <w:left w:val="nil"/>
              <w:bottom w:val="nil"/>
              <w:right w:val="nil"/>
            </w:tcBorders>
            <w:shd w:val="clear" w:color="auto" w:fill="auto"/>
            <w:vAlign w:val="center"/>
          </w:tcPr>
          <w:p w14:paraId="2B74A0D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44ABE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0087174C" w14:textId="77777777" w:rsidTr="0045157D">
        <w:tc>
          <w:tcPr>
            <w:tcW w:w="1783" w:type="dxa"/>
            <w:tcBorders>
              <w:top w:val="nil"/>
              <w:left w:val="nil"/>
              <w:bottom w:val="single" w:sz="6" w:space="0" w:color="auto"/>
              <w:right w:val="nil"/>
            </w:tcBorders>
            <w:shd w:val="clear" w:color="auto" w:fill="auto"/>
            <w:vAlign w:val="center"/>
          </w:tcPr>
          <w:p w14:paraId="2E177FB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6" w:space="0" w:color="auto"/>
              <w:right w:val="nil"/>
            </w:tcBorders>
            <w:shd w:val="clear" w:color="auto" w:fill="auto"/>
            <w:vAlign w:val="center"/>
          </w:tcPr>
          <w:p w14:paraId="568B5E14" w14:textId="746A1D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{"citationItems":[{"id":"ITEM-1","itemData":{"DOI":"10.1046/j.1360-0443.1999.94913376.x","ISSN":"09652140","PMID":"10615719","abstract":"Aims. To evaluate the effectiveness of buprenorphine compared with methadone maintenance therapy in opiate addicts over a treatment period of 24 weeks. Design. Subjects were randomized to receive either buprenorphine or methadone in an open, comparative study. Setting. Subjects were recruited and treated at the drug addiction outpatient clinic at the University of Vienna. Participants. Sixty subjects (19 females and 41 males) who met DSM-IV criteria for opioid dependence and were seeking treatment. Intervention. Subjects received either sublingual buprenorphine (2-mg or 8-mg tablets; maximum daily dose 8 mg) or oral methadone (racemic D-/+ L-methadone; maximum daily dose 80 mg). A stable dose was maintained following the 6-day induction phase. Measurement. Assessment of treatment retention and illicit substance use (opiates, cocaine and benzodiazepines) was made by urinalysis. Findings. The retention rate was significantly better in the methadone maintained group (p &lt; 0.05) but subjects completing the study in the buprenorphine group had significantly lower rates of illicit opiate consumption (p = 0.04). Conclusion. The results support the superiority of methadone with respect to retention rate. However, they also confirm previous reports of buprenorphine use as an alternative in maintenance therapy for opiate addiction, suggesting that a specific subgroup may be benefiting from buprenorphine. This is the first comparative trial to use sublingual buprenorphine tablets: previously published comparison studies refer to 30% solutions of buprenorphine in alcohol.","author":[{"dropping-particle":"","family":"Fischer","given":"Gabriele","non-dropping-particle":"","parse-names":false,"suffix":""},{"dropping-particle":"","family":"Gombas","given":"Wolfgang","non-dropping-particle":"","parse-names":false,"suffix":""},{"dropping-particle":"","family":"Eder","given":"Harald","non-dropping-particle":"","parse-names":false,"suffix":""},{"dropping-particle":"","family":"Jagsch","given":"Reinhold","non-dropping-particle":"","parse-names":false,"suffix":""},{"dropping-particle":"","family":"Peternell","given":"Alexandra","non-dropping-particle":"","parse-names":false,"suffix":""},{"dropping-particle":"","family":"Stühlinger","given":"Georg","non-dropping-particle":"","parse-names":false,"suffix":""},{"dropping-particle":"","family":"Pezawas","given":"Lukas","non-dropping-particle":"","parse-names":false,"suffix":""},{"dropping-particle":"","family":"Aschauer","given":"Harald N.","non-dropping-particle":"","parse-names":false,"suffix":""},{"dropping-particle":"","family":"Kasper","given":"Siegfried","non-dropping-particle":"","parse-names":false,"suffix":""}],"container-title":"Addiction","id":"ITEM-1","issued":{"date-parts":[["1999"]]},"title":"Buprenorphine versus methadone maintenance for the treatment of opioid dependence","type":"article-journal"},"uris":["http://www.mendeley.com/documents/?uuid=e7f7cf9b-42d1-4a9e-8b0d-d3bc335005d3"]}],"mendeley":{"formattedCitation":"(Fischer et al., 1999)","manualFormatting":"Fischer et al., 1999","plainTextFormattedCitation":"(Fischer et al., 1999)","previouslyFormattedCitation":"(Fischer et al., 1999)"},"properties":{"noteIndex":0},"schema":"https://github.com/citation-style-language/schema/raw/master/csl-citation.json"}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Fischer et al., 1999</w:t>
            </w:r>
            <w:r w:rsidRPr="00EE7535">
              <w:rPr>
                <w:rFonts w:ascii="Arial" w:hAnsi="Arial" w:cs="Arial"/>
                <w:lang w:val="de-DE"/>
              </w:rPr>
              <w:fldChar w:fldCharType="end"/>
            </w:r>
          </w:p>
        </w:tc>
        <w:tc>
          <w:tcPr>
            <w:tcW w:w="7008" w:type="dxa"/>
            <w:tcBorders>
              <w:top w:val="nil"/>
              <w:left w:val="nil"/>
              <w:bottom w:val="single" w:sz="6" w:space="0" w:color="auto"/>
              <w:right w:val="nil"/>
            </w:tcBorders>
            <w:shd w:val="clear" w:color="auto" w:fill="auto"/>
            <w:vAlign w:val="center"/>
          </w:tcPr>
          <w:p w14:paraId="3BA513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 positive UOS in 8 successive 3-week intervals</w:t>
            </w:r>
          </w:p>
        </w:tc>
        <w:tc>
          <w:tcPr>
            <w:tcW w:w="2552" w:type="dxa"/>
            <w:tcBorders>
              <w:top w:val="nil"/>
              <w:left w:val="nil"/>
              <w:bottom w:val="single" w:sz="6" w:space="0" w:color="auto"/>
              <w:right w:val="nil"/>
            </w:tcBorders>
            <w:shd w:val="clear" w:color="auto" w:fill="auto"/>
            <w:vAlign w:val="center"/>
          </w:tcPr>
          <w:p w14:paraId="46F7BCA8"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twice weekly in the first 3 weeks of the study</w:t>
            </w:r>
          </w:p>
        </w:tc>
        <w:tc>
          <w:tcPr>
            <w:tcW w:w="1460" w:type="dxa"/>
            <w:tcBorders>
              <w:top w:val="nil"/>
              <w:left w:val="nil"/>
              <w:bottom w:val="single" w:sz="6" w:space="0" w:color="auto"/>
              <w:right w:val="nil"/>
            </w:tcBorders>
            <w:shd w:val="clear" w:color="auto" w:fill="auto"/>
            <w:vAlign w:val="center"/>
          </w:tcPr>
          <w:p w14:paraId="290D5BC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58001B92" w14:textId="77777777" w:rsidTr="00277AEF">
        <w:tblPrEx>
          <w:tblW w:w="14665" w:type="dxa"/>
          <w:tblPrExChange w:id="25" w:author="Brandt, Laura" w:date="2021-12-21T17:16:00Z">
            <w:tblPrEx>
              <w:tblW w:w="14665" w:type="dxa"/>
            </w:tblPrEx>
          </w:tblPrExChange>
        </w:tblPrEx>
        <w:tc>
          <w:tcPr>
            <w:tcW w:w="1783" w:type="dxa"/>
            <w:tcBorders>
              <w:top w:val="single" w:sz="6" w:space="0" w:color="auto"/>
              <w:left w:val="nil"/>
              <w:bottom w:val="nil"/>
              <w:right w:val="nil"/>
            </w:tcBorders>
            <w:vAlign w:val="center"/>
            <w:tcPrChange w:id="26" w:author="Brandt, Laura" w:date="2021-12-21T17:16:00Z">
              <w:tcPr>
                <w:tcW w:w="1783" w:type="dxa"/>
                <w:tcBorders>
                  <w:top w:val="single" w:sz="6" w:space="0" w:color="auto"/>
                  <w:left w:val="nil"/>
                  <w:bottom w:val="nil"/>
                  <w:right w:val="nil"/>
                </w:tcBorders>
                <w:vAlign w:val="center"/>
              </w:tcPr>
            </w:tcPrChange>
          </w:tcPr>
          <w:p w14:paraId="599579F4" w14:textId="7F07EC11" w:rsidR="0045157D" w:rsidRPr="00EE7535" w:rsidRDefault="0045157D" w:rsidP="0045157D">
            <w:pPr>
              <w:spacing w:before="60" w:after="60"/>
              <w:rPr>
                <w:rFonts w:ascii="Arial" w:hAnsi="Arial" w:cs="Arial"/>
                <w:b/>
                <w:bCs/>
                <w:lang w:val="en-US"/>
              </w:rPr>
            </w:pPr>
            <w:r w:rsidRPr="00EE7535">
              <w:rPr>
                <w:rFonts w:ascii="Arial" w:hAnsi="Arial" w:cs="Arial"/>
                <w:b/>
                <w:bCs/>
                <w:lang w:val="en-US"/>
              </w:rPr>
              <w:t>Rate of negative UOS</w:t>
            </w:r>
          </w:p>
        </w:tc>
        <w:tc>
          <w:tcPr>
            <w:tcW w:w="1862" w:type="dxa"/>
            <w:tcBorders>
              <w:top w:val="single" w:sz="6" w:space="0" w:color="auto"/>
              <w:left w:val="nil"/>
              <w:bottom w:val="nil"/>
              <w:right w:val="nil"/>
            </w:tcBorders>
            <w:vAlign w:val="center"/>
            <w:tcPrChange w:id="27" w:author="Brandt, Laura" w:date="2021-12-21T17:16:00Z">
              <w:tcPr>
                <w:tcW w:w="1862" w:type="dxa"/>
                <w:tcBorders>
                  <w:top w:val="single" w:sz="6" w:space="0" w:color="auto"/>
                  <w:left w:val="nil"/>
                  <w:bottom w:val="nil"/>
                  <w:right w:val="nil"/>
                </w:tcBorders>
                <w:vAlign w:val="center"/>
              </w:tcPr>
            </w:tcPrChange>
          </w:tcPr>
          <w:p w14:paraId="56745A16" w14:textId="0CC4196E" w:rsidR="0045157D" w:rsidRPr="00EE7535" w:rsidRDefault="0045157D" w:rsidP="0045157D">
            <w:pPr>
              <w:spacing w:before="60" w:after="60"/>
              <w:rPr>
                <w:rFonts w:ascii="Arial" w:hAnsi="Arial" w:cs="Arial"/>
                <w:b/>
                <w:bCs/>
                <w:i/>
                <w:iCs/>
                <w:lang w:val="en-US"/>
              </w:rPr>
            </w:pPr>
            <w:r w:rsidRPr="00EE7535">
              <w:rPr>
                <w:rFonts w:ascii="Arial" w:hAnsi="Arial" w:cs="Arial"/>
                <w:b/>
                <w:bCs/>
                <w:i/>
                <w:iCs/>
                <w:lang w:val="en-US"/>
              </w:rPr>
              <w:fldChar w:fldCharType="begin" w:fldLock="1"/>
            </w:r>
            <w:r>
              <w:rPr>
                <w:rFonts w:ascii="Arial" w:hAnsi="Arial" w:cs="Arial"/>
                <w:b/>
                <w:bCs/>
                <w:i/>
                <w:iCs/>
                <w:lang w:val="en-US"/>
              </w:rPr>
              <w:instrText>ADDIN CSL_CITATION {"citationItems":[{"id":"ITEM-1","itemData":{"DOI":"10.1016/S0140-6736(10)60349-2","ISSN":"01406736","PMID":"20511018","abstract":"Background: Some heroin addicts persistently fail to benefit from conventional treatments. We aimed to compare the effectiveness of supervised injectable treatment with medicinal heroin (diamorphine or diacetylmorphine) or supervised injectable methadone versus optimised oral methadone for chronic heroin addiction. Methods: In this multisite, open-label, randomised controlled trial, we enrolled chronic heroin addicts who were receiving conventional oral treatment (≥6 months), but continued to inject street heroin regularly (≥50% of days in preceding 3 months). Randomisation by minimisation was used to assign patients to receive supervised injectable methadone, supervised injectable heroin, or optimised oral methadone. Treatment was provided for 26 weeks in three supervised injecting clinics in England. Primary outcome was 50% or more of negative specimens for street heroin on weekly urinalysis during weeks 14-26. Primary analysis was by intention to treat; data were adjusted for centre, regular crack use at baseline, and treatment with optimised oral methadone at baseline. Percentages were calculated with Rubin's rules and were then used to estimate numbers of patients in the multiple imputed samples. This study is registered, ISRCTN01338071. Findings: Of 301 patients screened, 127 were enrolled and randomly allocated to receive injectable methadone (n=42 patients), injectable heroin (n=43), or oral methadone (n=42); all patients were included in the primary analysis. At 26 weeks, 80% (n=101) patients remained in assigned treatment: 81% (n=34) on injectable methadone, 88% (n=38) on injectable heroin, and 69% (n=29) on oral methadone. Patients on injectable heroin were significantly more likely to have achieved the primary outcome (72% [n=31]) than were those on oral methadone (27% [n=11], OR 7·42, 95% CI 2·69-20·46, p&lt;0·0001; adjusted: 66% [n=28] vs 19% [n=8], 8·17, 2·88-23·16, p&lt;0·0001), with number needed to treat of 2·17 (95% CI 1·60-3·97). For injectable methadone (39% [n=16]; adjusted: 30% [n=14]) versus oral methadone, the difference was not significant (OR 1·74, 95% CI 0·66-4·60, p=0·264; adjusted: 1·79, 0·67-4·82, p=0·249). For injectable heroin versus injectable methadone, a significant difference was recorded (4·26, 1·63-11·14, p=0·003; adjusted: 4·57, 1·71-12·19, p=0·002), but the study was not powered for this comparison. Differences were evident within the first 6 weeks of treatment. Interpretation: Treatment with supervised injectable hero…","author":[{"dropping-particle":"","family":"Strang","given":"John","non-dropping-particle":"","parse-names":false,"suffix":""},{"dropping-particle":"","family":"Metrebian","given":"Nicola","non-dropping-particle":"","parse-names":false,"suffix":""},{"dropping-particle":"","family":"Lintzeris","given":"Nicholas","non-dropping-particle":"","parse-names":false,"suffix":""},{"dropping-particle":"","family":"Potts","given":"Laura","non-dropping-particle":"","parse-names":false,"suffix":""},{"dropping-particle":"","family":"Carnwath","given":"Tom","non-dropping-particle":"","parse-names":false,"suffix":""},{"dropping-particle":"","family":"Mayet","given":"Soraya","non-dropping-particle":"","parse-names":false,"suffix":""},{"dropping-particle":"","family":"Williams","given":"Hugh","non-dropping-particle":"","parse-names":false,"suffix":""},{"dropping-particle":"","family":"Zador","given":"Deborah","non-dropping-particle":"","parse-names":false,"suffix":""},{"dropping-particle":"","family":"Evers","given":"Richard","non-dropping-particle":"","parse-names":false,"suffix":""},{"dropping-particle":"","family":"Groshkova","given":"Teodora","non-dropping-particle":"","parse-names":false,"suffix":""},{"dropping-particle":"","family":"Charles","given":"Vikki","non-dropping-particle":"","parse-names":false,"suffix":""},{"dropping-particle":"","family":"Martin","given":"Anthea","non-dropping-particle":"","parse-names":false,"suffix":""},{"dropping-particle":"","family":"Forzisi","given":"Luciana","non-dropping-particle":"","parse-names":false,"suffix":""}],"container-title":"The Lancet","id":"ITEM-1","issued":{"date-parts":[["2010"]]},"title":"Supervised injectable heroin or injectable methadone versus optimised oral methadone as treatment for chronic heroin addicts in England after persistent failure in orthodox treatment (RIOTT): a randomised trial","type":"article-journal"},"uris":["http://www.mendeley.com/documents/?uuid=041c8097-99c0-4576-bc81-6f03e39dfb7d"]}],"mendeley":{"formattedCitation":"(Strang et al., 2010)","manualFormatting":"Strang et al., 2010","plainTextFormattedCitation":"(Strang et al., 2010)","previouslyFormattedCitation":"(Strang et al., 2010)"},"properties":{"noteIndex":0},"schema":"https://github.com/citation-style-language/schema/raw/master/csl-citation.json"}</w:instrText>
            </w:r>
            <w:r w:rsidRPr="00EE7535">
              <w:rPr>
                <w:rFonts w:ascii="Arial" w:hAnsi="Arial" w:cs="Arial"/>
                <w:b/>
                <w:bCs/>
                <w:i/>
                <w:iCs/>
                <w:lang w:val="en-US"/>
              </w:rPr>
              <w:fldChar w:fldCharType="separate"/>
            </w:r>
            <w:r w:rsidRPr="00EE7535">
              <w:rPr>
                <w:rFonts w:ascii="Arial" w:hAnsi="Arial" w:cs="Arial"/>
                <w:bCs/>
                <w:iCs/>
                <w:noProof/>
                <w:lang w:val="en-US"/>
              </w:rPr>
              <w:t>Strang et al., 2010</w:t>
            </w:r>
            <w:r w:rsidRPr="00EE7535">
              <w:rPr>
                <w:rFonts w:ascii="Arial" w:hAnsi="Arial" w:cs="Arial"/>
                <w:b/>
                <w:bCs/>
                <w:i/>
                <w:iCs/>
                <w:lang w:val="en-US"/>
              </w:rPr>
              <w:fldChar w:fldCharType="end"/>
            </w:r>
          </w:p>
        </w:tc>
        <w:tc>
          <w:tcPr>
            <w:tcW w:w="7008" w:type="dxa"/>
            <w:tcBorders>
              <w:top w:val="single" w:sz="6" w:space="0" w:color="auto"/>
              <w:left w:val="nil"/>
              <w:bottom w:val="nil"/>
              <w:right w:val="nil"/>
            </w:tcBorders>
            <w:vAlign w:val="center"/>
            <w:tcPrChange w:id="28" w:author="Brandt, Laura" w:date="2021-12-21T17:16:00Z">
              <w:tcPr>
                <w:tcW w:w="7008" w:type="dxa"/>
                <w:tcBorders>
                  <w:top w:val="single" w:sz="6" w:space="0" w:color="auto"/>
                  <w:left w:val="nil"/>
                  <w:bottom w:val="nil"/>
                  <w:right w:val="nil"/>
                </w:tcBorders>
                <w:vAlign w:val="center"/>
              </w:tcPr>
            </w:tcPrChange>
          </w:tcPr>
          <w:p w14:paraId="48B0D82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≥50% negative UOS during weeks 14-26</w:t>
            </w:r>
          </w:p>
        </w:tc>
        <w:tc>
          <w:tcPr>
            <w:tcW w:w="2552" w:type="dxa"/>
            <w:tcBorders>
              <w:top w:val="single" w:sz="6" w:space="0" w:color="auto"/>
              <w:left w:val="nil"/>
              <w:bottom w:val="nil"/>
              <w:right w:val="nil"/>
            </w:tcBorders>
            <w:vAlign w:val="center"/>
            <w:tcPrChange w:id="29" w:author="Brandt, Laura" w:date="2021-12-21T17:16:00Z">
              <w:tcPr>
                <w:tcW w:w="2552" w:type="dxa"/>
                <w:tcBorders>
                  <w:top w:val="single" w:sz="6" w:space="0" w:color="auto"/>
                  <w:left w:val="nil"/>
                  <w:bottom w:val="nil"/>
                  <w:right w:val="nil"/>
                </w:tcBorders>
                <w:vAlign w:val="center"/>
              </w:tcPr>
            </w:tcPrChange>
          </w:tcPr>
          <w:p w14:paraId="4360578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 xml:space="preserve">weekly </w:t>
            </w:r>
          </w:p>
        </w:tc>
        <w:tc>
          <w:tcPr>
            <w:tcW w:w="1460" w:type="dxa"/>
            <w:tcBorders>
              <w:top w:val="single" w:sz="6" w:space="0" w:color="auto"/>
              <w:left w:val="nil"/>
              <w:bottom w:val="nil"/>
              <w:right w:val="nil"/>
            </w:tcBorders>
            <w:vAlign w:val="center"/>
            <w:tcPrChange w:id="30" w:author="Brandt, Laura" w:date="2021-12-21T17:16:00Z">
              <w:tcPr>
                <w:tcW w:w="1460" w:type="dxa"/>
                <w:tcBorders>
                  <w:top w:val="single" w:sz="6" w:space="0" w:color="auto"/>
                  <w:left w:val="nil"/>
                  <w:bottom w:val="nil"/>
                  <w:right w:val="nil"/>
                </w:tcBorders>
                <w:vAlign w:val="center"/>
              </w:tcPr>
            </w:tcPrChange>
          </w:tcPr>
          <w:p w14:paraId="620AEBA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6</w:t>
            </w:r>
          </w:p>
        </w:tc>
      </w:tr>
      <w:tr w:rsidR="0045157D" w:rsidRPr="00277AEF" w14:paraId="40784022" w14:textId="77777777" w:rsidTr="00277AEF">
        <w:tblPrEx>
          <w:tblW w:w="14665" w:type="dxa"/>
          <w:tblPrExChange w:id="31" w:author="Brandt, Laura" w:date="2021-12-21T17:16:00Z">
            <w:tblPrEx>
              <w:tblW w:w="14665" w:type="dxa"/>
            </w:tblPrEx>
          </w:tblPrExChange>
        </w:tblPrEx>
        <w:trPr>
          <w:ins w:id="32" w:author="Brandt, Laura" w:date="2021-12-21T17:12:00Z"/>
        </w:trPr>
        <w:tc>
          <w:tcPr>
            <w:tcW w:w="1783" w:type="dxa"/>
            <w:tcBorders>
              <w:top w:val="nil"/>
              <w:left w:val="nil"/>
              <w:bottom w:val="nil"/>
              <w:right w:val="nil"/>
            </w:tcBorders>
            <w:vAlign w:val="center"/>
            <w:tcPrChange w:id="33" w:author="Brandt, Laura" w:date="2021-12-21T17:16:00Z">
              <w:tcPr>
                <w:tcW w:w="1783" w:type="dxa"/>
                <w:tcBorders>
                  <w:top w:val="single" w:sz="6" w:space="0" w:color="auto"/>
                  <w:left w:val="nil"/>
                  <w:bottom w:val="nil"/>
                  <w:right w:val="nil"/>
                </w:tcBorders>
                <w:vAlign w:val="center"/>
              </w:tcPr>
            </w:tcPrChange>
          </w:tcPr>
          <w:p w14:paraId="7A696573" w14:textId="77777777" w:rsidR="0045157D" w:rsidRPr="00EE7535" w:rsidRDefault="0045157D" w:rsidP="0045157D">
            <w:pPr>
              <w:spacing w:before="60" w:after="60"/>
              <w:rPr>
                <w:ins w:id="34" w:author="Brandt, Laura" w:date="2021-12-21T17:12:00Z"/>
                <w:rFonts w:ascii="Arial" w:hAnsi="Arial" w:cs="Arial"/>
                <w:b/>
                <w:bCs/>
                <w:lang w:val="en-US"/>
              </w:rPr>
            </w:pPr>
          </w:p>
        </w:tc>
        <w:tc>
          <w:tcPr>
            <w:tcW w:w="1862" w:type="dxa"/>
            <w:tcBorders>
              <w:top w:val="nil"/>
              <w:left w:val="nil"/>
              <w:bottom w:val="nil"/>
              <w:right w:val="nil"/>
            </w:tcBorders>
            <w:vAlign w:val="center"/>
            <w:tcPrChange w:id="35" w:author="Brandt, Laura" w:date="2021-12-21T17:16:00Z">
              <w:tcPr>
                <w:tcW w:w="1862" w:type="dxa"/>
                <w:tcBorders>
                  <w:top w:val="single" w:sz="6" w:space="0" w:color="auto"/>
                  <w:left w:val="nil"/>
                  <w:bottom w:val="nil"/>
                  <w:right w:val="nil"/>
                </w:tcBorders>
                <w:vAlign w:val="center"/>
              </w:tcPr>
            </w:tcPrChange>
          </w:tcPr>
          <w:p w14:paraId="3865E6E9" w14:textId="7D95CB62" w:rsidR="0045157D" w:rsidRPr="00EE7535" w:rsidRDefault="0045157D" w:rsidP="0045157D">
            <w:pPr>
              <w:spacing w:before="60" w:after="60"/>
              <w:rPr>
                <w:ins w:id="36" w:author="Brandt, Laura" w:date="2021-12-21T17:12:00Z"/>
                <w:rFonts w:ascii="Arial" w:hAnsi="Arial" w:cs="Arial"/>
                <w:b/>
                <w:bCs/>
                <w:i/>
                <w:iCs/>
                <w:lang w:val="en-US"/>
              </w:rPr>
            </w:pPr>
            <w:ins w:id="37" w:author="Brandt, Laura" w:date="2021-12-21T17:12:00Z">
              <w:r>
                <w:rPr>
                  <w:rFonts w:ascii="Arial" w:hAnsi="Arial" w:cs="Arial"/>
                  <w:b/>
                  <w:bCs/>
                  <w:i/>
                  <w:iCs/>
                  <w:lang w:val="en-US"/>
                </w:rPr>
                <w:fldChar w:fldCharType="begin" w:fldLock="1"/>
              </w:r>
            </w:ins>
            <w:r>
              <w:rPr>
                <w:rFonts w:ascii="Arial" w:hAnsi="Arial" w:cs="Arial"/>
                <w:b/>
                <w:bCs/>
                <w:i/>
                <w:iCs/>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1993)"},"properties":{"noteIndex":0},"schema":"https://github.com/citation-style-language/schema/raw/master/csl-citation.json"}</w:instrText>
            </w:r>
            <w:r>
              <w:rPr>
                <w:rFonts w:ascii="Arial" w:hAnsi="Arial" w:cs="Arial"/>
                <w:b/>
                <w:bCs/>
                <w:i/>
                <w:iCs/>
                <w:lang w:val="en-US"/>
              </w:rPr>
              <w:fldChar w:fldCharType="separate"/>
            </w:r>
            <w:r w:rsidRPr="0045157D">
              <w:rPr>
                <w:rFonts w:ascii="Arial" w:hAnsi="Arial" w:cs="Arial"/>
                <w:bCs/>
                <w:iCs/>
                <w:noProof/>
                <w:lang w:val="en-US"/>
              </w:rPr>
              <w:t>(Kosten et al., 1993)</w:t>
            </w:r>
            <w:ins w:id="38" w:author="Brandt, Laura" w:date="2021-12-21T17:12:00Z">
              <w:r>
                <w:rPr>
                  <w:rFonts w:ascii="Arial" w:hAnsi="Arial" w:cs="Arial"/>
                  <w:b/>
                  <w:bCs/>
                  <w:i/>
                  <w:iCs/>
                  <w:lang w:val="en-US"/>
                </w:rPr>
                <w:fldChar w:fldCharType="end"/>
              </w:r>
            </w:ins>
          </w:p>
        </w:tc>
        <w:tc>
          <w:tcPr>
            <w:tcW w:w="7008" w:type="dxa"/>
            <w:tcBorders>
              <w:top w:val="nil"/>
              <w:left w:val="nil"/>
              <w:bottom w:val="nil"/>
              <w:right w:val="nil"/>
            </w:tcBorders>
            <w:vAlign w:val="center"/>
            <w:tcPrChange w:id="39" w:author="Brandt, Laura" w:date="2021-12-21T17:16:00Z">
              <w:tcPr>
                <w:tcW w:w="7008" w:type="dxa"/>
                <w:tcBorders>
                  <w:top w:val="single" w:sz="6" w:space="0" w:color="auto"/>
                  <w:left w:val="nil"/>
                  <w:bottom w:val="nil"/>
                  <w:right w:val="nil"/>
                </w:tcBorders>
                <w:vAlign w:val="center"/>
              </w:tcPr>
            </w:tcPrChange>
          </w:tcPr>
          <w:p w14:paraId="3858557B" w14:textId="143DEEC6" w:rsidR="0045157D" w:rsidRPr="00EE7535" w:rsidRDefault="00277AEF" w:rsidP="0045157D">
            <w:pPr>
              <w:autoSpaceDE w:val="0"/>
              <w:autoSpaceDN w:val="0"/>
              <w:adjustRightInd w:val="0"/>
              <w:spacing w:before="60" w:after="60"/>
              <w:rPr>
                <w:ins w:id="40" w:author="Brandt, Laura" w:date="2021-12-21T17:12:00Z"/>
                <w:rFonts w:ascii="Arial" w:hAnsi="Arial" w:cs="Arial"/>
                <w:lang w:val="en-US"/>
              </w:rPr>
            </w:pPr>
            <w:ins w:id="41" w:author="Brandt, Laura" w:date="2021-12-21T17:15:00Z">
              <w:r w:rsidRPr="00EE7535">
                <w:rPr>
                  <w:rFonts w:ascii="Arial" w:hAnsi="Arial" w:cs="Arial"/>
                  <w:lang w:val="en-US"/>
                </w:rPr>
                <w:t>≥</w:t>
              </w:r>
            </w:ins>
            <w:ins w:id="42" w:author="Brandt, Laura" w:date="2021-12-21T17:13:00Z">
              <w:r w:rsidRPr="00277AEF">
                <w:rPr>
                  <w:rFonts w:ascii="Arial" w:hAnsi="Arial" w:cs="Arial"/>
                  <w:lang w:val="en-US"/>
                </w:rPr>
                <w:t xml:space="preserve">70% </w:t>
              </w:r>
            </w:ins>
            <w:ins w:id="43" w:author="Brandt, Laura" w:date="2021-12-21T17:15:00Z">
              <w:r>
                <w:rPr>
                  <w:rFonts w:ascii="Arial" w:hAnsi="Arial" w:cs="Arial"/>
                  <w:lang w:val="en-US"/>
                </w:rPr>
                <w:t>negative UOS during the 24-week trial period</w:t>
              </w:r>
            </w:ins>
          </w:p>
        </w:tc>
        <w:tc>
          <w:tcPr>
            <w:tcW w:w="2552" w:type="dxa"/>
            <w:tcBorders>
              <w:top w:val="nil"/>
              <w:left w:val="nil"/>
              <w:bottom w:val="nil"/>
              <w:right w:val="nil"/>
            </w:tcBorders>
            <w:vAlign w:val="center"/>
            <w:tcPrChange w:id="44" w:author="Brandt, Laura" w:date="2021-12-21T17:16:00Z">
              <w:tcPr>
                <w:tcW w:w="2552" w:type="dxa"/>
                <w:tcBorders>
                  <w:top w:val="single" w:sz="6" w:space="0" w:color="auto"/>
                  <w:left w:val="nil"/>
                  <w:bottom w:val="nil"/>
                  <w:right w:val="nil"/>
                </w:tcBorders>
                <w:vAlign w:val="center"/>
              </w:tcPr>
            </w:tcPrChange>
          </w:tcPr>
          <w:p w14:paraId="2FD42B8C" w14:textId="52CC8E3C" w:rsidR="0045157D" w:rsidRPr="00EE7535" w:rsidRDefault="00277AEF" w:rsidP="0045157D">
            <w:pPr>
              <w:spacing w:before="60" w:after="60"/>
              <w:rPr>
                <w:ins w:id="45" w:author="Brandt, Laura" w:date="2021-12-21T17:12:00Z"/>
                <w:rFonts w:ascii="Arial" w:hAnsi="Arial" w:cs="Arial"/>
                <w:lang w:val="en-US"/>
              </w:rPr>
            </w:pPr>
            <w:ins w:id="46" w:author="Brandt, Laura" w:date="2021-12-21T17:16:00Z">
              <w:r>
                <w:rPr>
                  <w:rFonts w:ascii="Arial" w:hAnsi="Arial" w:cs="Arial"/>
                  <w:lang w:val="en-US"/>
                </w:rPr>
                <w:t>w</w:t>
              </w:r>
            </w:ins>
            <w:ins w:id="47" w:author="Brandt, Laura" w:date="2021-12-21T17:15:00Z">
              <w:r>
                <w:rPr>
                  <w:rFonts w:ascii="Arial" w:hAnsi="Arial" w:cs="Arial"/>
                  <w:lang w:val="en-US"/>
                </w:rPr>
                <w:t>eekly</w:t>
              </w:r>
            </w:ins>
          </w:p>
        </w:tc>
        <w:tc>
          <w:tcPr>
            <w:tcW w:w="1460" w:type="dxa"/>
            <w:tcBorders>
              <w:top w:val="nil"/>
              <w:left w:val="nil"/>
              <w:bottom w:val="nil"/>
              <w:right w:val="nil"/>
            </w:tcBorders>
            <w:vAlign w:val="center"/>
            <w:tcPrChange w:id="48" w:author="Brandt, Laura" w:date="2021-12-21T17:16:00Z">
              <w:tcPr>
                <w:tcW w:w="1460" w:type="dxa"/>
                <w:tcBorders>
                  <w:top w:val="single" w:sz="6" w:space="0" w:color="auto"/>
                  <w:left w:val="nil"/>
                  <w:bottom w:val="nil"/>
                  <w:right w:val="nil"/>
                </w:tcBorders>
                <w:vAlign w:val="center"/>
              </w:tcPr>
            </w:tcPrChange>
          </w:tcPr>
          <w:p w14:paraId="799767DB" w14:textId="680534DD" w:rsidR="0045157D" w:rsidRPr="00EE7535" w:rsidRDefault="00277AEF" w:rsidP="0045157D">
            <w:pPr>
              <w:spacing w:before="60" w:after="60"/>
              <w:rPr>
                <w:ins w:id="49" w:author="Brandt, Laura" w:date="2021-12-21T17:12:00Z"/>
                <w:rFonts w:ascii="Arial" w:hAnsi="Arial" w:cs="Arial"/>
                <w:lang w:val="en-US"/>
              </w:rPr>
            </w:pPr>
            <w:ins w:id="50" w:author="Brandt, Laura" w:date="2021-12-21T17:16:00Z">
              <w:r w:rsidRPr="00EE7535">
                <w:rPr>
                  <w:rFonts w:ascii="Arial" w:hAnsi="Arial" w:cs="Arial"/>
                  <w:lang w:val="en-US"/>
                </w:rPr>
                <w:t>Missing/not imputed</w:t>
              </w:r>
            </w:ins>
          </w:p>
        </w:tc>
      </w:tr>
      <w:tr w:rsidR="0045157D" w:rsidRPr="00257961" w14:paraId="3D3ACB79" w14:textId="77777777" w:rsidTr="0045157D">
        <w:tc>
          <w:tcPr>
            <w:tcW w:w="1783" w:type="dxa"/>
            <w:tcBorders>
              <w:top w:val="nil"/>
              <w:left w:val="nil"/>
              <w:bottom w:val="nil"/>
              <w:right w:val="nil"/>
            </w:tcBorders>
            <w:shd w:val="clear" w:color="auto" w:fill="auto"/>
            <w:vAlign w:val="center"/>
          </w:tcPr>
          <w:p w14:paraId="172E9412" w14:textId="7981C4FE"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auto"/>
            <w:vAlign w:val="center"/>
          </w:tcPr>
          <w:p w14:paraId="70F33CD2" w14:textId="0FAC921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2010)","manualFormatting":"Ling et al., 2010","plainTextFormattedCitation":"(Ling et al., 2010)","previouslyFormattedCitation":"(Ling et al., 2010)"},"properties":{"noteIndex":0},"schema":"https://github.com/citation-style-language/schema/raw/master/csl-citation.json"}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Ling et al., 2010</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E712CA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weeks 1-16 of the trial</w:t>
            </w:r>
          </w:p>
        </w:tc>
        <w:tc>
          <w:tcPr>
            <w:tcW w:w="2552" w:type="dxa"/>
            <w:tcBorders>
              <w:top w:val="nil"/>
              <w:left w:val="nil"/>
              <w:bottom w:val="nil"/>
              <w:right w:val="nil"/>
            </w:tcBorders>
            <w:shd w:val="clear" w:color="auto" w:fill="auto"/>
            <w:vAlign w:val="center"/>
          </w:tcPr>
          <w:p w14:paraId="16CB50A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3×/week</w:t>
            </w:r>
          </w:p>
        </w:tc>
        <w:tc>
          <w:tcPr>
            <w:tcW w:w="1460" w:type="dxa"/>
            <w:tcBorders>
              <w:top w:val="nil"/>
              <w:left w:val="nil"/>
              <w:bottom w:val="nil"/>
              <w:right w:val="nil"/>
            </w:tcBorders>
            <w:shd w:val="clear" w:color="auto" w:fill="auto"/>
            <w:vAlign w:val="center"/>
          </w:tcPr>
          <w:p w14:paraId="10E1B07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7567CD1" w14:textId="77777777" w:rsidTr="0045157D">
        <w:tc>
          <w:tcPr>
            <w:tcW w:w="1783" w:type="dxa"/>
            <w:tcBorders>
              <w:top w:val="nil"/>
              <w:left w:val="nil"/>
              <w:bottom w:val="nil"/>
              <w:right w:val="nil"/>
            </w:tcBorders>
            <w:shd w:val="clear" w:color="auto" w:fill="auto"/>
            <w:vAlign w:val="center"/>
          </w:tcPr>
          <w:p w14:paraId="139CB46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DC2A0C5" w14:textId="751D410A"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2003)","manualFormatting":"Mattick et al., 2003","plainTextFormattedCitation":"(Mattick et al., 2003)","previouslyFormattedCitation":"(Mattick et al., 2003)"},"properties":{"noteIndex":0},"schema":"https://github.com/citation-style-language/schema/raw/master/csl-citation.json"}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Mattick et al., 2003</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E9EAA5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 “Percentage of clean urines (PCU)”: Rate of negative UOS for the time that the patient remained in the study </w:t>
            </w:r>
            <w:r w:rsidRPr="00EE7535">
              <w:rPr>
                <w:rFonts w:ascii="Arial" w:hAnsi="Arial" w:cs="Arial"/>
                <w:i/>
                <w:iCs/>
                <w:lang w:val="en-US"/>
              </w:rPr>
              <w:t>AND</w:t>
            </w:r>
            <w:r w:rsidRPr="00EE7535">
              <w:rPr>
                <w:rFonts w:ascii="Arial" w:hAnsi="Arial" w:cs="Arial"/>
                <w:lang w:val="en-US"/>
              </w:rPr>
              <w:t xml:space="preserve"> “treatment effectiveness percentage (TEP)”: Rate of negative UOS for the full 13</w:t>
            </w:r>
            <w:r w:rsidRPr="00EE7535">
              <w:rPr>
                <w:rFonts w:ascii="Cambria Math" w:hAnsi="Cambria Math" w:cs="Cambria Math"/>
                <w:lang w:val="en-US"/>
              </w:rPr>
              <w:t>‐</w:t>
            </w:r>
            <w:r w:rsidRPr="00EE7535">
              <w:rPr>
                <w:rFonts w:ascii="Arial" w:hAnsi="Arial" w:cs="Arial"/>
                <w:lang w:val="en-US"/>
              </w:rPr>
              <w:t>week study (ITT)</w:t>
            </w:r>
          </w:p>
        </w:tc>
        <w:tc>
          <w:tcPr>
            <w:tcW w:w="2552" w:type="dxa"/>
            <w:tcBorders>
              <w:top w:val="nil"/>
              <w:left w:val="nil"/>
              <w:bottom w:val="nil"/>
              <w:right w:val="nil"/>
            </w:tcBorders>
            <w:shd w:val="clear" w:color="auto" w:fill="auto"/>
            <w:vAlign w:val="center"/>
          </w:tcPr>
          <w:p w14:paraId="17F9A05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auto"/>
            <w:vAlign w:val="center"/>
          </w:tcPr>
          <w:p w14:paraId="5E8960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5C25CACC" w14:textId="77777777" w:rsidTr="0045157D">
        <w:tc>
          <w:tcPr>
            <w:tcW w:w="1783" w:type="dxa"/>
            <w:tcBorders>
              <w:top w:val="nil"/>
              <w:left w:val="nil"/>
              <w:bottom w:val="nil"/>
              <w:right w:val="nil"/>
            </w:tcBorders>
            <w:shd w:val="clear" w:color="auto" w:fill="auto"/>
            <w:vAlign w:val="center"/>
          </w:tcPr>
          <w:p w14:paraId="2BFF390A"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93C09AC" w14:textId="24E9D48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2006)","manualFormatting":"Fiellin et al., 2006","plainTextFormattedCitation":"(Fiellin et al., 2006)","previouslyFormattedCitation":"(Fiellin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0F4C11E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7457C60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654BEB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8E72121" w14:textId="77777777" w:rsidTr="0045157D">
        <w:tc>
          <w:tcPr>
            <w:tcW w:w="1783" w:type="dxa"/>
            <w:tcBorders>
              <w:top w:val="nil"/>
              <w:left w:val="nil"/>
              <w:bottom w:val="nil"/>
              <w:right w:val="nil"/>
            </w:tcBorders>
            <w:shd w:val="clear" w:color="auto" w:fill="auto"/>
            <w:vAlign w:val="center"/>
          </w:tcPr>
          <w:p w14:paraId="30E1DD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EE3AB2" w14:textId="5509D1B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2017)","manualFormatting":"Tanum et al., 2017","plainTextFormattedCitation":"(Tanum et al., 2017)","previouslyFormattedCitation":"(Tanum et al., 2017)"},"properties":{"noteIndex":0},"schema":"https://github.com/citation-style-language/schema/raw/master/csl-citation.json"}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Tanum et al., 2017</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54E9F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negative UOS: Number of negative UOS divided by the total number of attended tests (group proportion)</w:t>
            </w:r>
          </w:p>
        </w:tc>
        <w:tc>
          <w:tcPr>
            <w:tcW w:w="2552" w:type="dxa"/>
            <w:tcBorders>
              <w:top w:val="nil"/>
              <w:left w:val="nil"/>
              <w:bottom w:val="nil"/>
              <w:right w:val="nil"/>
            </w:tcBorders>
            <w:shd w:val="clear" w:color="auto" w:fill="auto"/>
            <w:vAlign w:val="center"/>
          </w:tcPr>
          <w:p w14:paraId="7448B28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23F4FEF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4592C2F" w14:textId="77777777" w:rsidTr="0045157D">
        <w:tc>
          <w:tcPr>
            <w:tcW w:w="1783" w:type="dxa"/>
            <w:tcBorders>
              <w:top w:val="nil"/>
              <w:left w:val="nil"/>
              <w:bottom w:val="nil"/>
              <w:right w:val="nil"/>
            </w:tcBorders>
            <w:shd w:val="clear" w:color="auto" w:fill="auto"/>
            <w:vAlign w:val="center"/>
          </w:tcPr>
          <w:p w14:paraId="25EEB41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17F0283" w14:textId="6508AD3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2019)","manualFormatting":"Haight et al., 2019","plainTextFormattedCitation":"(Haight et al., 2019)","previouslyFormattedCitation":"(Haight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Haight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0902B9E" w14:textId="03E3ED5D"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from week 5 to week 24</w:t>
            </w:r>
          </w:p>
        </w:tc>
        <w:tc>
          <w:tcPr>
            <w:tcW w:w="2552" w:type="dxa"/>
            <w:tcBorders>
              <w:top w:val="nil"/>
              <w:left w:val="nil"/>
              <w:bottom w:val="nil"/>
              <w:right w:val="nil"/>
            </w:tcBorders>
            <w:shd w:val="clear" w:color="auto" w:fill="auto"/>
            <w:vAlign w:val="center"/>
          </w:tcPr>
          <w:p w14:paraId="05E5FF9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38A869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A4E694F" w14:textId="77777777" w:rsidTr="0045157D">
        <w:tc>
          <w:tcPr>
            <w:tcW w:w="1783" w:type="dxa"/>
            <w:tcBorders>
              <w:top w:val="nil"/>
              <w:left w:val="nil"/>
              <w:bottom w:val="nil"/>
              <w:right w:val="nil"/>
            </w:tcBorders>
            <w:shd w:val="clear" w:color="auto" w:fill="auto"/>
            <w:vAlign w:val="center"/>
          </w:tcPr>
          <w:p w14:paraId="7C00FA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C89F719" w14:textId="6920CDB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3D94BD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of negative UOS for weeks 1 to 24 </w:t>
            </w:r>
          </w:p>
        </w:tc>
        <w:tc>
          <w:tcPr>
            <w:tcW w:w="2552" w:type="dxa"/>
            <w:tcBorders>
              <w:top w:val="nil"/>
              <w:left w:val="nil"/>
              <w:bottom w:val="nil"/>
              <w:right w:val="nil"/>
            </w:tcBorders>
            <w:shd w:val="clear" w:color="auto" w:fill="auto"/>
            <w:vAlign w:val="center"/>
          </w:tcPr>
          <w:p w14:paraId="223EE46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plus 3 random visits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nil"/>
              <w:right w:val="nil"/>
            </w:tcBorders>
            <w:shd w:val="clear" w:color="auto" w:fill="auto"/>
            <w:vAlign w:val="center"/>
          </w:tcPr>
          <w:p w14:paraId="61CC00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07A2B90" w14:textId="77777777" w:rsidTr="0045157D">
        <w:tc>
          <w:tcPr>
            <w:tcW w:w="1783" w:type="dxa"/>
            <w:tcBorders>
              <w:top w:val="nil"/>
              <w:left w:val="nil"/>
              <w:bottom w:val="nil"/>
              <w:right w:val="nil"/>
            </w:tcBorders>
            <w:shd w:val="clear" w:color="auto" w:fill="auto"/>
            <w:vAlign w:val="center"/>
          </w:tcPr>
          <w:p w14:paraId="5D2AEA84"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273BC98" w14:textId="713DB8F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2019)","manualFormatting":"Strang et al., 2019","plainTextFormattedCitation":"(Strang et al., 2019)","previouslyFormattedCitation":"(Strang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Strang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D16E99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 at the end of the 12</w:t>
            </w:r>
            <w:r w:rsidRPr="00EE7535">
              <w:rPr>
                <w:rFonts w:ascii="Cambria Math" w:hAnsi="Cambria Math" w:cs="Cambria Math"/>
                <w:lang w:val="en-US"/>
              </w:rPr>
              <w:t>‐</w:t>
            </w:r>
            <w:r w:rsidRPr="00EE7535">
              <w:rPr>
                <w:rFonts w:ascii="Arial" w:hAnsi="Arial" w:cs="Arial"/>
                <w:lang w:val="en-US"/>
              </w:rPr>
              <w:t>week post-randomization time point</w:t>
            </w:r>
          </w:p>
        </w:tc>
        <w:tc>
          <w:tcPr>
            <w:tcW w:w="2552" w:type="dxa"/>
            <w:tcBorders>
              <w:top w:val="nil"/>
              <w:left w:val="nil"/>
              <w:bottom w:val="nil"/>
              <w:right w:val="nil"/>
            </w:tcBorders>
            <w:shd w:val="clear" w:color="auto" w:fill="auto"/>
            <w:vAlign w:val="center"/>
          </w:tcPr>
          <w:p w14:paraId="330CF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1262B9A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7</w:t>
            </w:r>
          </w:p>
        </w:tc>
      </w:tr>
      <w:tr w:rsidR="0045157D" w:rsidRPr="00EE7535" w14:paraId="06181681" w14:textId="77777777" w:rsidTr="0045157D">
        <w:tc>
          <w:tcPr>
            <w:tcW w:w="1783" w:type="dxa"/>
            <w:tcBorders>
              <w:top w:val="nil"/>
              <w:left w:val="nil"/>
              <w:bottom w:val="nil"/>
              <w:right w:val="nil"/>
            </w:tcBorders>
            <w:shd w:val="clear" w:color="auto" w:fill="auto"/>
            <w:vAlign w:val="center"/>
          </w:tcPr>
          <w:p w14:paraId="19E62DF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E7E6A45" w14:textId="33D4235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{"citationItems":[{"id":"ITEM-1","itemData":{"DOI":"10.1001/archpsyc.63.2.210","ISSN":"0003-990X","author":[{"dropping-particle":"","family":"Comer","given":"Sandra D.","non-dropping-particle":"","parse-names":false,"suffix":""},{"dropping-particle":"","family":"Sullivan","given":"Maria A.","non-dropping-particle":"","parse-names":false,"suffix":""},{"dropping-particle":"","family":"Yu","given":"Elmer","non-dropping-particle":"","parse-names":false,"suffix":""},{"dropping-particle":"","family":"Rothenberg","given":"Jami L.","non-dropping-particle":"","parse-names":false,"suffix":""},{"dropping-particle":"","family":"Kleber","given":"Herbert D.","non-dropping-particle":"","parse-names":false,"suffix":""},{"dropping-particle":"","family":"Kampman","given":"Kyle","non-dropping-particle":"","parse-names":false,"suffix":""},{"dropping-particle":"","family":"Dackis","given":"Charles","non-dropping-particle":"","parse-names":false,"suffix":""},{"dropping-particle":"","family":"O’Brien","given":"Charles P.","non-dropping-particle":"","parse-names":false,"suffix":""}],"container-title":"Archives of General Psychiatry","id":"ITEM-1","issue":"2","issued":{"date-parts":[["2006","2","1"]]},"page":"210","title":"Injectable, Sustained-Release Naltrexone for the Treatment of Opioid Dependence","type":"article-journal","volume":"63"},"uris":["http://www.mendeley.com/documents/?uuid=a3698521-d99a-40b2-b9a5-4efa3bcb2c6a"]}],"mendeley":{"formattedCitation":"(Comer et al., 2006)","manualFormatting":"Comer et al., 2006","plainTextFormattedCitation":"(Comer et al., 2006)","previouslyFormattedCitation":"(Comer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Comer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2BFB77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8 weeks of treatment</w:t>
            </w:r>
          </w:p>
        </w:tc>
        <w:tc>
          <w:tcPr>
            <w:tcW w:w="2552" w:type="dxa"/>
            <w:tcBorders>
              <w:top w:val="nil"/>
              <w:left w:val="nil"/>
              <w:bottom w:val="nil"/>
              <w:right w:val="nil"/>
            </w:tcBorders>
            <w:shd w:val="clear" w:color="auto" w:fill="auto"/>
            <w:vAlign w:val="center"/>
          </w:tcPr>
          <w:p w14:paraId="4FEE98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auto"/>
            <w:vAlign w:val="center"/>
          </w:tcPr>
          <w:p w14:paraId="0F4C885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294A28F5" w14:textId="77777777" w:rsidTr="0045157D">
        <w:tc>
          <w:tcPr>
            <w:tcW w:w="1783" w:type="dxa"/>
            <w:tcBorders>
              <w:top w:val="nil"/>
              <w:left w:val="nil"/>
              <w:bottom w:val="nil"/>
              <w:right w:val="nil"/>
            </w:tcBorders>
            <w:shd w:val="clear" w:color="auto" w:fill="auto"/>
            <w:vAlign w:val="center"/>
          </w:tcPr>
          <w:p w14:paraId="6524079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3244E714" w14:textId="2B226BD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de-DE"/>
              </w:rPr>
              <w:instrText>ADDIN CSL_CITATION {"citationItems":[{"id":"ITEM-1","itemData":{"ISSN":"15921638","abstract":"This is the first randomised study comparing buprenorphine-naloxone with methadone for maintenance treatment of opioid dependence. A 17-week, double-blind, double-dummy trial of daily dosing compared buprenorphine-naloxone (8/2 mg and 16/4 mg) with methadone (45 mg and 90 mg) in 268 participants. The percentage of opioid-free urine samples over time did not differ by drug or dosage. The percentage of patients with ≥12 consecutive opioid-negative urine samples did not differ by drug and was significantly greater for patients receiving higher doses of either agent. Induction success, compliance, nonopioid drug use, retention and Addiction Severity Index scores did not differ among groups. Buprenorphine-naloxone is a viable alternative to methadone in clinical practice.","author":[{"dropping-particle":"","family":"Kamien","given":"Jonathan B.","non-dropping-particle":"","parse-names":false,"suffix":""},{"dropping-particle":"","family":"Branstetter","given":"Steven A.","non-dropping-particle":"","parse-names":false,"suffix":""},{"dropping-particle":"","family":"Amass","given":"Leslie","non-dropping-particle":"","parse-names":false,"suffix":""}],"container-title":"Heroin Addiction and Related Clinical Problems","id":"ITEM-1","issue":"4","issued":{"date-parts":[["2008"]]},"page":"5-18","title":"Buprenorphine-naloxone versus methadone maintenance therapy: A randomised double-blind trial with opioid-dependent patients","type":"article-journal","volume":"10"},"uris":["http://www.mendeley.com/documents/?uuid=5eead318-89cf-416c-ba8c-660b559e3a9e"]}],"mendeley":{"formattedCitation":"(Kamien et al., 2008)","manualFormatting":"Kamien, Branstetter, &amp; Amass, 2008","plainTextFormattedCitation":"(Kamien et al., 2008)","previouslyFormattedCitation":"(Kamien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Kamien, Branstetter, &amp; Amass, 2008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861CA54" w14:textId="5A15BBBC"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per week</w:t>
            </w:r>
          </w:p>
        </w:tc>
        <w:tc>
          <w:tcPr>
            <w:tcW w:w="2552" w:type="dxa"/>
            <w:tcBorders>
              <w:top w:val="nil"/>
              <w:left w:val="nil"/>
              <w:bottom w:val="nil"/>
              <w:right w:val="nil"/>
            </w:tcBorders>
            <w:shd w:val="clear" w:color="auto" w:fill="auto"/>
            <w:vAlign w:val="center"/>
          </w:tcPr>
          <w:p w14:paraId="7A9BA6B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4058CA0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6F76952" w14:textId="77777777" w:rsidTr="0045157D">
        <w:tc>
          <w:tcPr>
            <w:tcW w:w="1783" w:type="dxa"/>
            <w:tcBorders>
              <w:top w:val="nil"/>
              <w:left w:val="nil"/>
              <w:bottom w:val="nil"/>
              <w:right w:val="nil"/>
            </w:tcBorders>
            <w:shd w:val="clear" w:color="auto" w:fill="auto"/>
            <w:vAlign w:val="center"/>
          </w:tcPr>
          <w:p w14:paraId="1D12195F"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auto"/>
            <w:vAlign w:val="center"/>
          </w:tcPr>
          <w:p w14:paraId="5A64073C" w14:textId="1BA9D40F" w:rsidR="0045157D" w:rsidRPr="00A57CB6"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{"citationItems":[{"id":"ITEM-1","itemData":{"DOI":"10.1055/s-0028-1083818","ISSN":"01763679","PMID":"19153939","abstract":"Introduction: Levo-Alpha-Acetylmethadol (LAAM) is a synthetic opioid analgesic with -agonistic activity and a long duration of action. There are several, almost exclusively US American studies showing the efficacy of LAAM as a maintenance drug which has the advantage that it needs to be administered only three times a week. LAAM is currently not marketed in EU countries due to cardiac complications. We report on the first European multi-center, parallel group, flexible dose, open-label, randomized clinical trial comparing LAAM and methadone in patients with opioid dependence. METHODS: Eighty-four opioid addicts in ongoing maintenance treatment with stable methadone doses were treated with methadone under study conditions for 5 weeks (run-in phase), then randomly assigned to a methadone (n=41) or a LAAM (n=43) group. Study duration was 24 weeks after randomization. Objective measures (drug urine screenings, retention rate), subjective measures (symptoms of withdrawal and craving, report of substance use), and safety data were collected weekly. The main outcome criterion was the number of opiate-free urine samples per number of weeks of study participation. RESULTS: Non-inferiority was shown for LAAM compared to methadone. Both substances were well tolerated. There were no clinical cardiac complications in either group. DISCUSSION: Our study confirmed the results of previous investigations with LAAM as being efficacious and well tolerated in opioid dependence. A discussion to reconsider the availability of LAAM is recommended. © Georg Thieme Verlag KG Stuttgart • New York.","author":[{"</w:instrText>
            </w:r>
            <w:r w:rsidRPr="00A57CB6">
              <w:rPr>
                <w:rFonts w:ascii="Arial" w:hAnsi="Arial" w:cs="Arial"/>
                <w:lang w:val="en-US"/>
              </w:rPr>
              <w:instrText>dropping-particle":"","family":"Wolstein","given":"J.","non-dropping-particle":"","parse-names":false,"suffix":""},{"dropping-particle":"","family":"Gastpar","given":"M.","non-dropping-particle":"","parse-names":false,"suffix":""},{"dropping-particle":"","family":"Finkbeiner","given":"T.","non-dropping-particle":"","parse-names":false,"suffix":""},{"dropping-particle":"","family":"Heinrich","given":"C.","non-dropping-particle":"","parse-names":false,"suffix":""},{"dropping-particle":"","family":"Heitkamp","given":"R.","non-dropping-particle":"","parse-names":false,"suffix":""},{"dropping-particle":"","family":"Poehlke","given":"T.","non-dropping-particle":"","parse-names":false,"suffix":""},{"dropping-particle":"","family":"Scherbaum","given":"N.","non-dropping-particle":"","parse-names":false,"suffix":""}],"container-title":"Pharmacopsychiatry","id":"ITEM-1","issued":{"date-parts":[["2009"]]},"title":"A randomized, open-label trial comparing methadone and Levo-Alpha- Acetylmethadol (LAAM) in maintenance treatment of opioid addiction","type":"article-journal"},"uris":["http://www.mendeley.com/documents/?uuid=7f1b8ccf-23e6-4e34-b31a-1d36993945d6"]}],"mendeley":{"formattedCitation":"(Wolstein et al., 2009)","manualFormatting":"Wolstein et al., 2009","plainTextFormattedCitation":"(Wolstein et al., 2009)","previouslyFormattedCitation":"(Wolstein et al., 2009)"},"properties":{"noteIndex":0},"schema":"https://github.com/citation-style-language/schema/raw/master/csl-citation.json"}</w:instrText>
            </w:r>
            <w:r w:rsidRPr="00EE7535">
              <w:rPr>
                <w:rFonts w:ascii="Arial" w:hAnsi="Arial" w:cs="Arial"/>
                <w:lang w:val="de-DE"/>
              </w:rPr>
              <w:fldChar w:fldCharType="separate"/>
            </w:r>
            <w:r w:rsidRPr="00A57CB6">
              <w:rPr>
                <w:rFonts w:ascii="Arial" w:hAnsi="Arial" w:cs="Arial"/>
                <w:noProof/>
                <w:lang w:val="en-US"/>
              </w:rPr>
              <w:t>Wolstein et al., 2009</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A766BB4" w14:textId="77777777" w:rsidR="0045157D" w:rsidRPr="00A57CB6" w:rsidRDefault="0045157D" w:rsidP="0045157D">
            <w:pPr>
              <w:autoSpaceDE w:val="0"/>
              <w:autoSpaceDN w:val="0"/>
              <w:adjustRightInd w:val="0"/>
              <w:spacing w:before="60" w:after="60"/>
              <w:rPr>
                <w:rFonts w:ascii="Arial" w:hAnsi="Arial" w:cs="Arial"/>
                <w:lang w:val="en-US"/>
              </w:rPr>
            </w:pPr>
            <w:r w:rsidRPr="00A57CB6">
              <w:rPr>
                <w:rFonts w:ascii="Arial" w:hAnsi="Arial" w:cs="Arial"/>
                <w:lang w:val="en-US"/>
              </w:rPr>
              <w:t>Number of negative UOS per number of weeks of study participation</w:t>
            </w:r>
          </w:p>
        </w:tc>
        <w:tc>
          <w:tcPr>
            <w:tcW w:w="2552" w:type="dxa"/>
            <w:tcBorders>
              <w:top w:val="nil"/>
              <w:left w:val="nil"/>
              <w:bottom w:val="nil"/>
              <w:right w:val="nil"/>
            </w:tcBorders>
            <w:shd w:val="clear" w:color="auto" w:fill="auto"/>
            <w:vAlign w:val="center"/>
          </w:tcPr>
          <w:p w14:paraId="3C0EA93D" w14:textId="77777777" w:rsidR="0045157D" w:rsidRPr="00A57CB6" w:rsidRDefault="0045157D" w:rsidP="0045157D">
            <w:pPr>
              <w:spacing w:before="60" w:after="60"/>
              <w:rPr>
                <w:rFonts w:ascii="Arial" w:hAnsi="Arial" w:cs="Arial"/>
                <w:lang w:val="en-US"/>
              </w:rPr>
            </w:pPr>
            <w:r w:rsidRPr="00A57CB6">
              <w:rPr>
                <w:rFonts w:ascii="Arial" w:hAnsi="Arial" w:cs="Arial"/>
                <w:lang w:val="en-US"/>
              </w:rPr>
              <w:t>weekly</w:t>
            </w:r>
          </w:p>
        </w:tc>
        <w:tc>
          <w:tcPr>
            <w:tcW w:w="1460" w:type="dxa"/>
            <w:tcBorders>
              <w:top w:val="nil"/>
              <w:left w:val="nil"/>
              <w:bottom w:val="nil"/>
              <w:right w:val="nil"/>
            </w:tcBorders>
            <w:shd w:val="clear" w:color="auto" w:fill="auto"/>
            <w:vAlign w:val="center"/>
          </w:tcPr>
          <w:p w14:paraId="197F62A1" w14:textId="77777777" w:rsidR="0045157D" w:rsidRPr="00A57CB6" w:rsidRDefault="0045157D" w:rsidP="0045157D">
            <w:pPr>
              <w:spacing w:before="60" w:after="60"/>
              <w:rPr>
                <w:rFonts w:ascii="Arial" w:hAnsi="Arial" w:cs="Arial"/>
                <w:i/>
                <w:iCs/>
                <w:lang w:val="en-US"/>
              </w:rPr>
            </w:pPr>
            <w:r w:rsidRPr="00A57CB6">
              <w:rPr>
                <w:rFonts w:ascii="Arial" w:hAnsi="Arial" w:cs="Arial"/>
                <w:i/>
                <w:iCs/>
                <w:lang w:val="en-US"/>
              </w:rPr>
              <w:t>No access to full text</w:t>
            </w:r>
          </w:p>
        </w:tc>
      </w:tr>
      <w:tr w:rsidR="0045157D" w:rsidRPr="00257961" w14:paraId="49A4CBA9" w14:textId="77777777" w:rsidTr="0045157D">
        <w:tc>
          <w:tcPr>
            <w:tcW w:w="1783" w:type="dxa"/>
            <w:tcBorders>
              <w:top w:val="nil"/>
              <w:left w:val="nil"/>
              <w:bottom w:val="nil"/>
              <w:right w:val="nil"/>
            </w:tcBorders>
            <w:shd w:val="clear" w:color="auto" w:fill="auto"/>
            <w:vAlign w:val="center"/>
          </w:tcPr>
          <w:p w14:paraId="1C90366C"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849996" w14:textId="6D9F4AE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1993)","manualFormatting":"Kosten, Schottenfeld, Ziedonis, &amp; Falcioni, 1993","plainTextFormattedCitation":"(Kosten et al., 1993)","previouslyFormattedCitation":"(Kosten et al., 1993)"},"properties":{"noteIndex":0},"schema":"https://github.com/citation-style-language/schema/raw/master/csl-citation.json"}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Kosten, Schottenfeld, Ziedonis, &amp; Falcioni, 1993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104ECD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percentage of negative UOS (ITT, completer, and efficacy [patients remaining for at least 1 week of the medication dosage] analysis)</w:t>
            </w:r>
          </w:p>
        </w:tc>
        <w:tc>
          <w:tcPr>
            <w:tcW w:w="2552" w:type="dxa"/>
            <w:tcBorders>
              <w:top w:val="nil"/>
              <w:left w:val="nil"/>
              <w:bottom w:val="nil"/>
              <w:right w:val="nil"/>
            </w:tcBorders>
            <w:shd w:val="clear" w:color="auto" w:fill="auto"/>
            <w:vAlign w:val="center"/>
          </w:tcPr>
          <w:p w14:paraId="64FF4D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314BF28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BDFF286" w14:textId="77777777" w:rsidTr="0045157D">
        <w:tc>
          <w:tcPr>
            <w:tcW w:w="1783" w:type="dxa"/>
            <w:tcBorders>
              <w:top w:val="nil"/>
              <w:left w:val="nil"/>
              <w:bottom w:val="nil"/>
              <w:right w:val="nil"/>
            </w:tcBorders>
            <w:shd w:val="clear" w:color="auto" w:fill="auto"/>
            <w:vAlign w:val="center"/>
          </w:tcPr>
          <w:p w14:paraId="5225F45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51AFD81" w14:textId="237DB64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Ling et al., 1998</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77C002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negative UOS </w:t>
            </w:r>
            <w:r w:rsidRPr="00EE7535">
              <w:rPr>
                <w:rFonts w:ascii="Arial" w:hAnsi="Arial" w:cs="Arial"/>
                <w:i/>
                <w:iCs/>
                <w:lang w:val="en-US"/>
              </w:rPr>
              <w:t>AND</w:t>
            </w:r>
            <w:r w:rsidRPr="00EE7535">
              <w:rPr>
                <w:rFonts w:ascii="Arial" w:hAnsi="Arial" w:cs="Arial"/>
                <w:lang w:val="en-US"/>
              </w:rPr>
              <w:t xml:space="preserve"> mean no. of negative UOS (“treatment effectiveness score”)</w:t>
            </w:r>
          </w:p>
        </w:tc>
        <w:tc>
          <w:tcPr>
            <w:tcW w:w="2552" w:type="dxa"/>
            <w:tcBorders>
              <w:top w:val="nil"/>
              <w:left w:val="nil"/>
              <w:bottom w:val="nil"/>
              <w:right w:val="nil"/>
            </w:tcBorders>
            <w:shd w:val="clear" w:color="auto" w:fill="auto"/>
            <w:vAlign w:val="center"/>
          </w:tcPr>
          <w:p w14:paraId="7B1F8EA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4B12B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64D0AA6" w14:textId="77777777" w:rsidTr="0045157D">
        <w:tc>
          <w:tcPr>
            <w:tcW w:w="1783" w:type="dxa"/>
            <w:tcBorders>
              <w:top w:val="nil"/>
              <w:left w:val="nil"/>
              <w:bottom w:val="nil"/>
              <w:right w:val="nil"/>
            </w:tcBorders>
            <w:shd w:val="clear" w:color="auto" w:fill="auto"/>
            <w:vAlign w:val="center"/>
          </w:tcPr>
          <w:p w14:paraId="7967CAA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DD66FEA" w14:textId="69832504" w:rsidR="0045157D" w:rsidRPr="0045157D" w:rsidRDefault="0045157D" w:rsidP="0045157D">
            <w:pPr>
              <w:spacing w:before="60" w:after="60"/>
              <w:rPr>
                <w:rFonts w:ascii="Arial" w:hAnsi="Arial" w:cs="Arial"/>
                <w:lang w:val="de-DE"/>
                <w:rPrChange w:id="51" w:author="Brandt, Laura" w:date="2021-12-21T17:09:00Z">
                  <w:rPr>
                    <w:rFonts w:ascii="Arial" w:hAnsi="Arial" w:cs="Arial"/>
                    <w:lang w:val="en-US"/>
                  </w:rPr>
                </w:rPrChange>
              </w:rPr>
            </w:pPr>
            <w:r w:rsidRPr="00EE7535">
              <w:rPr>
                <w:rFonts w:ascii="Arial" w:hAnsi="Arial" w:cs="Arial"/>
                <w:lang w:val="de-DE"/>
              </w:rPr>
              <w:fldChar w:fldCharType="begin" w:fldLock="1"/>
            </w:r>
            <w:r w:rsidRPr="0045157D">
              <w:rPr>
                <w:rFonts w:ascii="Arial" w:hAnsi="Arial" w:cs="Arial"/>
                <w:lang w:val="de-DE"/>
              </w:rPr>
              <w:instrText xml:space="preserve">ADDIN CSL_CITATION {"citationItems":[{"id":"ITEM-1","itemData":{"DOI":"10.1016/s0376-8716(99)00140-4","ISSN":"03768716","abstract":"Clinical trials carried out to compare methadone and buprenorphine in the treatment of opioid dependence have generally employed an alcoholic solution of buprenorphine, which has a bioavailability superior to that of the tablets. Since the product available for large scale use is in tablet form, one intended to verify the efficacy of this formulation. In a multicentre randomised controlled double blind study, 72 opioid dependent patients were assigned to treatment with buprenorphine (8 mg/day) or methadone (60 mg/day) for a period of 6 months. The two compounds did not show any significant difference with regard to urinalyses: the average percentage of analyses proving negative was 60.4% for patients assigned to buprenorphine, and 65.5% for those assigned to methadone. With regard to retention, a non-significant trend in favour of methadone was observed. Patients completing the trial improved significantly in terms of psychosocial adjustment and global functioning, as ascertained by the DSM-IV-GAF and symptom checklist-90 (SCL-90) scales, and this was independent of the treatment group. Finally, in the case of buprenorphine, patients who dropped out differed significantly from those who stayed, in terms of </w:instrText>
            </w:r>
            <w:r>
              <w:rPr>
                <w:rFonts w:ascii="Arial" w:hAnsi="Arial" w:cs="Arial"/>
                <w:lang w:val="de-DE"/>
              </w:rPr>
              <w:instrText>a higher level of psychopathological symptoms, and a lower level of psychosocial functioning. The results of the study further support the utility of buprenorphine for the treatment of opioid dependence. Copyright (C) 2000 Elsevier Science Ireland Ltd.","author":[{"dropping-particle":"","family":"Pani","given":"P","non-dropping-particle":"","parse-names":false,"suffix":""},{"dropping-particle":"","family":"Maremmani","given":"I","non-dropping-particle":"","parse-names":false,"suffix":""},{"dropping-particle":"","family":"Pirastu","given":"R","non-dropping-particle":"","parse-names":false,"suffix":""},{"dropping-particle":"","family":"Tagliamonte","given":"A","non-dropping-particle":"","parse-names":false,"suffix":""},{"dropping-particle":"","family":"Gessa","given":"GL","non-dropping-particle":"","parse-names":false,"suffix":""}],"container-title":"Drug and Alcohol Dependence","id":"ITEM-1","issued":{"date-parts":[["2000"]]},"title":"Buprenorphine: a controlled clinical trial in the treatment of opioid dependence","type":"article-journal"},"uris":["http://www.mendeley.com/documents/?uuid=41fb4a21-24ab-4fd5-ac0c-a0f998e785a2"]}],"mendeley":{"formattedCitation":"(Pani et al., 2000)","manualFormatting":"Pani, Maremmani, Pirastu, Tagliamonte, &amp; Gessa, 2000","plainTextFormattedCitation":"(Pani et al., 2000)","previouslyFormattedCitation":"(Pani et al., 2000)"},"properties":{"noteIndex":0},"schema":"https://github.com/citation-style-language/schema/raw/master/csl-citation.json"}</w:instrText>
            </w:r>
            <w:r w:rsidRPr="00EE7535">
              <w:rPr>
                <w:rFonts w:ascii="Arial" w:hAnsi="Arial" w:cs="Arial"/>
                <w:lang w:val="de-DE"/>
              </w:rPr>
              <w:fldChar w:fldCharType="separate"/>
            </w:r>
            <w:r w:rsidRPr="0045157D">
              <w:rPr>
                <w:rFonts w:ascii="Arial" w:hAnsi="Arial" w:cs="Arial"/>
                <w:noProof/>
                <w:lang w:val="de-DE"/>
                <w:rPrChange w:id="52" w:author="Brandt, Laura" w:date="2021-12-21T17:09:00Z">
                  <w:rPr>
                    <w:rFonts w:ascii="Arial" w:hAnsi="Arial" w:cs="Arial"/>
                    <w:noProof/>
                    <w:lang w:val="en-US"/>
                  </w:rPr>
                </w:rPrChange>
              </w:rPr>
              <w:t>Pani, Maremmani, Pirastu, Tagliamonte, &amp; Gessa,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690389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PCC: Percentage ratio of negative UOS and the total number of UOS carried out for each patient during the period of treatment </w:t>
            </w:r>
            <w:r w:rsidRPr="00EE7535">
              <w:rPr>
                <w:rFonts w:ascii="Arial" w:hAnsi="Arial" w:cs="Arial"/>
                <w:i/>
                <w:iCs/>
                <w:lang w:val="en-US"/>
              </w:rPr>
              <w:t xml:space="preserve">AND </w:t>
            </w:r>
            <w:r w:rsidRPr="00EE7535">
              <w:rPr>
                <w:rFonts w:ascii="Arial" w:hAnsi="Arial" w:cs="Arial"/>
                <w:lang w:val="en-US"/>
              </w:rPr>
              <w:t>TEC: Percentage ratio between the number of negative UOS and the number of UOS as per protocol</w:t>
            </w:r>
          </w:p>
        </w:tc>
        <w:tc>
          <w:tcPr>
            <w:tcW w:w="2552" w:type="dxa"/>
            <w:tcBorders>
              <w:top w:val="nil"/>
              <w:left w:val="nil"/>
              <w:bottom w:val="nil"/>
              <w:right w:val="nil"/>
            </w:tcBorders>
            <w:shd w:val="clear" w:color="auto" w:fill="auto"/>
            <w:vAlign w:val="center"/>
          </w:tcPr>
          <w:p w14:paraId="25D8488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75645CE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AEA0676" w14:textId="77777777" w:rsidTr="0045157D">
        <w:tc>
          <w:tcPr>
            <w:tcW w:w="1783" w:type="dxa"/>
            <w:tcBorders>
              <w:top w:val="nil"/>
              <w:left w:val="nil"/>
              <w:bottom w:val="nil"/>
              <w:right w:val="nil"/>
            </w:tcBorders>
            <w:shd w:val="clear" w:color="auto" w:fill="auto"/>
            <w:vAlign w:val="center"/>
          </w:tcPr>
          <w:p w14:paraId="749E382D"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4DE0730" w14:textId="65BCC3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{"citationItems":[{"id":"ITEM-1","itemData":{"DOI":"10.1001/archpsyc.57.4.395","ISSN":"0003-990X","abstract":"Background: Although methadone maintenance is an effective therapy for heroin dependence, some patients continue to use heroin and may benefit from therapeutic modifications. This study evaluated a behavioral intervention, a pharmacological intervention, and a combination of both interventions. Methods: Throughout the study all patients received daily methadone hydrochloride maintenance (initially 50 mg/d orally) and weekly counseling. Following baseline treatment patients who continued to use heroin were randomly assigned to 1 of 4 interventions: (1) contingent vouchers for opiate-negative urine specimens (n = 29 patients); (2) methadone hydrochloride dose increase to 70 mg/d (n = 31 patients); (3) combined contingent vouchers and methadone dose increase (n = 32 patients); and (4) neither intervention (comparison standard; n = 28 patients). Methadone dose increases were double blind. Vouchers had monetary value and were exchangeable for goods and services. Groups not receiving contingent vouchers received matching vouchers independent of urine test results. Primary outcome measure was opiate-negative urine specimens (thrice weekly urinalysis). Results: Contingent vouchers and a methadone dose increase each significantly increased the percentage of opiate-negative urine specimens during intervention. Contingent vouchers, with or without a methadone dose increase, increased the duration of sustained abstinence as assessed by urine screenings. Methadone dose increase, with or without contingent vouchers, reduced self-reported frequency of use and self-reported craving. Conclusions: In patients enrolled in a methadone-maintenance program who continued to use heroin, abstinence reinforcement and a methadone dose increase were each effective in reducing use. When combined, they did not dramatically enhance each other's effects on any 1 outcome measure, but they did seem to have complementary benefits.","author":[{"dropping-particle":"","family":"Preston","given":"Kenzie L.","non-dropping-particle":"","parse-names":false,"suffix":""},{"dropping-particle":"","family":"Umbricht","given":"Annie","non-dropping-particle":"","parse-names":false,"suffix":""},{"dropping-particle":"","family":"Epstein","given":"David H.","non-dropping-particle":"","parse-names":false,"suffix":""}],"container-title":"Archives of General Psychiatry","id":"ITEM-1","issue":"4","issued":{"date-parts":[["2000","4","1"]]},"page":"395","title":"Methadone Dose Increase and Abstinence Reinforcement for Treatment of Continued Heroin Use During Methadone Maintenance","type":"article-journal","volume":"57"},"uris":["http://www.mendeley.com/documents/?uuid=68e98ea8-30b6-42e6-bade-5c6de69df494"]}],"mendeley":{"formattedCitation":"(Preston et al., 2000)","manualFormatting":"Preston, Umbricht, &amp; Epstein, 2000","plainTextFormattedCitation":"(Preston et al., 2000)","previouslyFormattedCitation":"(Preston et al., 2000)"},"properties":{"noteIndex":0},"schema":"https://github.com/citation-style-language/schema/raw/master/csl-citation.json"}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Preston, Umbricht, &amp; Epstein,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04C6AB8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“Mean intervention percent negative”: Percentage of negative UOS in the treatment phase</w:t>
            </w:r>
          </w:p>
        </w:tc>
        <w:tc>
          <w:tcPr>
            <w:tcW w:w="2552" w:type="dxa"/>
            <w:tcBorders>
              <w:top w:val="nil"/>
              <w:left w:val="nil"/>
              <w:bottom w:val="nil"/>
              <w:right w:val="nil"/>
            </w:tcBorders>
            <w:shd w:val="clear" w:color="auto" w:fill="auto"/>
            <w:vAlign w:val="center"/>
          </w:tcPr>
          <w:p w14:paraId="54B04E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ACC4E7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5D37A07" w14:textId="77777777" w:rsidTr="0045157D">
        <w:tc>
          <w:tcPr>
            <w:tcW w:w="1783" w:type="dxa"/>
            <w:tcBorders>
              <w:top w:val="nil"/>
              <w:left w:val="nil"/>
              <w:bottom w:val="nil"/>
              <w:right w:val="nil"/>
            </w:tcBorders>
            <w:shd w:val="clear" w:color="auto" w:fill="auto"/>
            <w:vAlign w:val="center"/>
          </w:tcPr>
          <w:p w14:paraId="5F06CCA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2E64989" w14:textId="2DF3FB76"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Schottenfeld et al., 2005</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79FD3F3"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w:t>
            </w:r>
          </w:p>
        </w:tc>
        <w:tc>
          <w:tcPr>
            <w:tcW w:w="2552" w:type="dxa"/>
            <w:tcBorders>
              <w:top w:val="nil"/>
              <w:left w:val="nil"/>
              <w:bottom w:val="nil"/>
              <w:right w:val="nil"/>
            </w:tcBorders>
            <w:shd w:val="clear" w:color="auto" w:fill="auto"/>
            <w:vAlign w:val="center"/>
          </w:tcPr>
          <w:p w14:paraId="4993008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2788CAA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7A5EC348" w14:textId="77777777" w:rsidTr="0045157D">
        <w:tc>
          <w:tcPr>
            <w:tcW w:w="1783" w:type="dxa"/>
            <w:tcBorders>
              <w:top w:val="nil"/>
              <w:left w:val="nil"/>
              <w:bottom w:val="nil"/>
              <w:right w:val="nil"/>
            </w:tcBorders>
            <w:shd w:val="clear" w:color="auto" w:fill="auto"/>
            <w:vAlign w:val="center"/>
          </w:tcPr>
          <w:p w14:paraId="5CFD471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B9C3FEC" w14:textId="6802459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{"citationItems":[{"id":"ITEM-1","itemData":{"DOI":"10.1056/nejmoa022164","ISSN":"0028-4793","PMID":"12954743","abstract":"BACKGROUND: Office-based treatment of opiate addiction with a sublingual-tablet formulation of buprenorphine and naloxone has been proposed, but its efficacy and safety have not been well studied. METHODS: We conducted a multicenter, randomized, placebo-controlled trial involving 326 opiate-addicted persons who were assigned to office-based treatment with sublingual tablets consisting of buprenorphine (16 mg) in combination with naloxone (4 mg), buprenorphine alone (16 mg), or placebo given daily for four weeks. The primary outcome measures were the percentage of urine samples negative for opiates and the subjects' selfreported craving for opiates. Safety data were obtained on 461 opiate-addicted persons who participated in an open-label study of buprenorphine and naloxone (at daily doses of up to 24 mg and 6 mg, respectively) and another 11 persons who received this combination only during the trial. RESULTS: The double-blind trial was terminated early because buprenorphine and naloxone in combination and buprenorphine alone were found to have greater efficacy than placebo. The proportion of urine samples that were negative for opiates was greater in the combined-treatment and buprenorphine groups (17.8 percent and 20.7 percent, respectively) than in the placebo group (5.8 percent, P&lt;0.001 for both comparisons); the active-treatment groups also reported less opiate craving (P&lt;0.001 for both comparisons with placebo). Rates of adverse events were similar in the active-treatment and placebo groups. During the open-label phase, the percentage of urine samples negative for opiates ranged from 35.2 percent to 67.4 percent. Results from the open-label follow-up study indicated that the combined treatment was safe and well tolerated. CONCLUSIONS: Buprenorphine and naloxone in combination and buprenorphine alone are safe and reduce the use of opiates and the craving for opiates among opiate-addicted persons who receive these medications in an office-based setting.","author":[{"dropping-particle":"","family":"Fudala","given":"Paul J.","non-dropping-particle":"","parse-names":false,"suffix":""},{"dropping-particle":"","family":"Bridge","given":"T. Peter","non-dropping-particle":"","parse-names":false,"suffix":""},{"dropping-particle":"","family":"Herbert","given":"Susan","non-dropping-particle":"","parse-names":false,"suffix":""},{"dropping-particle":"","family":"Williford","given":"William O.","non-dropping-particle":"","parse-names":false,"suffix":""},{"dropping-particle":"","family":"Chiang","given":"C. Nora","non-dropping-particle":"","parse-names":false,"suffix":""},{"dropping-particle":"","family":"Jones","given":"Karen","non-dropping-particle":"","parse-names":false,"suffix":""},{"dropping-particle":"","family":"Collins","given":"Joseph","non-dropping-particle":"","parse-names":false,"suffix":""},{"dropping-particle":"","family":"Raisch","given":"Dennis","non-dropping-particle":"","parse-names":false,"suffix":""},{"dropping-particle":"","family":"Casadonte","given":"Paul","non-dropping-particle":"","parse-names":false,"suffix":""},{"dropping-particle":"","family":"Goldsmith","given":"R. Jeffrey","non-dropping-particle":"","parse-names":false,"suffix":""},{"dropping-particle":"","family":"Ling","given":"Walter","non-dropping-particle":"","parse-names":false,"suffix":""},{"dropping-particle":"","family":"Malkerneker","given":"Usha","non-dropping-particle":"","parse-names":false,"suffix":""},{"dropping-particle":"","family":"McNicholas","given":"Laura","non-dropping-particle":"","parse-names":false,"suffix":""},{"dropping-particle":"","family":"Renner","given":"John","non-dropping-particle":"","parse-names":false,"suffix":""},{"dropping-particle":"","family":"Stine","given":"Susan","non-dropping-particle":"","parse-names":false,"suffix":""},{"dropping-particle":"","family":"Tusel","given":"Donald","non-dropping-particle":"","parse-names":false,"suffix":""}],"container-title":"New England Journal of Medicine","id":"ITEM-1","issued":{"date-parts":[["2003"]]},"title":"Office-Based Treatment of Opiate Addiction with a Sublingual-Tablet Formulation of Buprenorphine and Naloxone","type":"article-journal"},"uris":["http://www.mendeley.com/documents/?uuid=48e5f93e-3d14-46b6-8b10-bd1cb5a8a0af"]}],"mendeley":{"formattedCitation":"(Fudala et al., 2003)","manualFormatting":"Fudala et al., 2003","plainTextFormattedCitation":"(Fudala et al., 2003)","previouslyFormattedCitation":"(Fudala et al., 2003)"},"properties":{"noteIndex":0},"schema":"https://github.com/citation-style-language/schema/raw/master/csl-citation.json"}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Fudala et al., 2003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344D3E6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125F4D5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6D2688E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EE7535" w14:paraId="2AA02DFD" w14:textId="77777777" w:rsidTr="0045157D">
        <w:tc>
          <w:tcPr>
            <w:tcW w:w="1783" w:type="dxa"/>
            <w:tcBorders>
              <w:top w:val="nil"/>
              <w:left w:val="nil"/>
              <w:bottom w:val="nil"/>
              <w:right w:val="nil"/>
            </w:tcBorders>
            <w:shd w:val="clear" w:color="auto" w:fill="auto"/>
            <w:vAlign w:val="center"/>
          </w:tcPr>
          <w:p w14:paraId="2076985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00C027B1" w14:textId="3EB5831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{"citationItems":[{"id":"ITEM-1","itemData":{"DOI":"10.1001/jama.1972.03210040013004","ISSN":"15383598","PMID":"4561559","abstract":"Thirty-four long-term heroin addicts were treated with either methadone hydrochloride or methadyl acetate (dl-methadyl acetate, acetylmethadol) under double-blind conditions over 15 weeks. These drugs were not found to be significantly different with regard to acceptability to patients, reduction of illicit drug use, increase in legitimate employment, reduction of criminal activity, frequency of clinic attendance, and medical safety. These results suggest that the advantages of methadyl acetate, namely reduction in the frequency of clinic visits and the possibility of more effective control over administration and illegal redistribution, are not outweighed by any problems detectable under the conditions of the present study. However, in spite of these potential advantages, the unusual pharmacological actions of methadyl acetate could represent potential hazards. © 1972 American Medical Association. All rights reserved.","author":[{"dropping-particle":"","family":"Jaffe","given":"Jerome H.","non-dropping-particle":"","parse-names":false,"suffix":""},{"dropping-particle":"","family":"Senay","given":"Edward C.","non-dropping-particle":"","parse-names":false,"suffix":""},{"dropping-particle":"","family":"Schuster","given":"Charles R.","non-dropping-particle":"","parse-names":false,"suffix":""},{"dropping-particle":"","family":"Renault","given":"Pierre R.","non-dropping-particle":"","parse-names":false,"suffix":""},{"dropping-particle":"","family":"Smith","given":"Beth","non-dropping-particle":"","parse-names":false,"suffix":""},{"dropping-particle":"","family":"Dimenza","given":"Salvatore","non-dropping-particle":"","parse-names":false,"suffix":""}],"container-title":"JAMA: The Journal of the American Medical Association","id":"ITEM-1","issued":{"date-parts":[["1972"]]},"title":"Methadyl Acetate vs Methadone: A Double-Blind Study in Heroin Users","type":"article-journal"},"uris":["http://www.mendeley.com/documents/?uuid=af357314-8049-4642-b9cd-c7689574a6ea"]}],"mendeley":{"formattedCitation":"(Jaffe et al., 1972)","manualFormatting":"Jaffe et al., 1972","plainTextFormattedCitation":"(Jaffe et al., 1972)","previouslyFormattedCitation":"(Jaffe et al., 1972)"},"properties":{"noteIndex":0},"schema":"https://github.com/citation-style-language/schema/raw/master/csl-citation.json"}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Jaffe et al., 1972</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6BF671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treatment weeks characterized by negative UOS for patients who completed ≥8 weeks of the study</w:t>
            </w:r>
          </w:p>
        </w:tc>
        <w:tc>
          <w:tcPr>
            <w:tcW w:w="2552" w:type="dxa"/>
            <w:tcBorders>
              <w:top w:val="nil"/>
              <w:left w:val="nil"/>
              <w:bottom w:val="nil"/>
              <w:right w:val="nil"/>
            </w:tcBorders>
            <w:shd w:val="clear" w:color="auto" w:fill="auto"/>
            <w:vAlign w:val="center"/>
          </w:tcPr>
          <w:p w14:paraId="57E313F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D8176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8</w:t>
            </w:r>
          </w:p>
        </w:tc>
      </w:tr>
      <w:tr w:rsidR="0045157D" w:rsidRPr="00257961" w14:paraId="6A31CDE4" w14:textId="77777777" w:rsidTr="0045157D">
        <w:tc>
          <w:tcPr>
            <w:tcW w:w="1783" w:type="dxa"/>
            <w:tcBorders>
              <w:top w:val="nil"/>
              <w:left w:val="nil"/>
              <w:bottom w:val="single" w:sz="12" w:space="0" w:color="auto"/>
              <w:right w:val="nil"/>
            </w:tcBorders>
            <w:shd w:val="clear" w:color="auto" w:fill="auto"/>
            <w:vAlign w:val="center"/>
          </w:tcPr>
          <w:p w14:paraId="5E1103D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12" w:space="0" w:color="auto"/>
              <w:right w:val="nil"/>
            </w:tcBorders>
            <w:shd w:val="clear" w:color="auto" w:fill="auto"/>
            <w:vAlign w:val="center"/>
          </w:tcPr>
          <w:p w14:paraId="4DCE6E5C" w14:textId="47A4BE4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et al.,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et al.,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auto"/>
            <w:vAlign w:val="center"/>
          </w:tcPr>
          <w:p w14:paraId="036C8BE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Average percentage of negative UOS</w:t>
            </w:r>
          </w:p>
        </w:tc>
        <w:tc>
          <w:tcPr>
            <w:tcW w:w="2552" w:type="dxa"/>
            <w:tcBorders>
              <w:top w:val="nil"/>
              <w:left w:val="nil"/>
              <w:bottom w:val="single" w:sz="12" w:space="0" w:color="auto"/>
              <w:right w:val="nil"/>
            </w:tcBorders>
            <w:shd w:val="clear" w:color="auto" w:fill="auto"/>
            <w:vAlign w:val="center"/>
          </w:tcPr>
          <w:p w14:paraId="7640C80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12" w:space="0" w:color="auto"/>
              <w:right w:val="nil"/>
            </w:tcBorders>
            <w:shd w:val="clear" w:color="auto" w:fill="auto"/>
            <w:vAlign w:val="center"/>
          </w:tcPr>
          <w:p w14:paraId="2E46B8F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bl>
    <w:p w14:paraId="13B48397" w14:textId="77777777" w:rsidR="00D115A4" w:rsidRPr="00EE7535" w:rsidRDefault="00D115A4" w:rsidP="00D115A4">
      <w:pPr>
        <w:spacing w:after="0"/>
        <w:rPr>
          <w:rFonts w:ascii="Arial" w:hAnsi="Arial" w:cs="Arial"/>
          <w:lang w:val="en-US"/>
        </w:rPr>
      </w:pPr>
      <w:r w:rsidRPr="00EE7535">
        <w:rPr>
          <w:rFonts w:ascii="Arial" w:hAnsi="Arial" w:cs="Arial"/>
          <w:lang w:val="en-US"/>
        </w:rPr>
        <w:t>ITT: Intention to Treat; UOS: Urine Opioid Screen</w:t>
      </w:r>
    </w:p>
    <w:p w14:paraId="0F28F094"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1</w:t>
      </w:r>
      <w:r w:rsidRPr="00EE7535">
        <w:rPr>
          <w:rFonts w:ascii="Arial" w:hAnsi="Arial" w:cs="Arial"/>
          <w:sz w:val="18"/>
          <w:szCs w:val="18"/>
          <w:lang w:val="en-US"/>
        </w:rPr>
        <w:t xml:space="preserve">For the assessment of urine tests, patients were divided into four subgroups, each providing a similar number of urine tests (1-3, 4-5, 6-7, above 8 analyses). </w:t>
      </w:r>
    </w:p>
    <w:p w14:paraId="30A22480"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lastRenderedPageBreak/>
        <w:t>2</w:t>
      </w:r>
      <w:r w:rsidRPr="00EE7535">
        <w:rPr>
          <w:rFonts w:ascii="Arial" w:hAnsi="Arial" w:cs="Arial"/>
          <w:sz w:val="18"/>
          <w:szCs w:val="18"/>
          <w:lang w:val="en-US"/>
        </w:rPr>
        <w:t>Missing urine test data were imputed by randomly generated binary outcome (positive or negative for opioid use) using a 20% relative penalty against the buprenorphine implant group based on urine test results from each group.</w:t>
      </w:r>
    </w:p>
    <w:p w14:paraId="575F07F5"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3</w:t>
      </w:r>
      <w:r w:rsidRPr="00EE7535">
        <w:rPr>
          <w:rFonts w:ascii="Arial" w:hAnsi="Arial" w:cs="Arial"/>
          <w:sz w:val="18"/>
          <w:szCs w:val="18"/>
          <w:lang w:val="en-US"/>
        </w:rPr>
        <w:t xml:space="preserve">A missing urine test result is handled in </w:t>
      </w:r>
      <w:proofErr w:type="gramStart"/>
      <w:r w:rsidRPr="00EE7535">
        <w:rPr>
          <w:rFonts w:ascii="Arial" w:hAnsi="Arial" w:cs="Arial"/>
          <w:sz w:val="18"/>
          <w:szCs w:val="18"/>
          <w:lang w:val="en-US"/>
        </w:rPr>
        <w:t>exactly the same</w:t>
      </w:r>
      <w:proofErr w:type="gramEnd"/>
      <w:r w:rsidRPr="00EE7535">
        <w:rPr>
          <w:rFonts w:ascii="Arial" w:hAnsi="Arial" w:cs="Arial"/>
          <w:sz w:val="18"/>
          <w:szCs w:val="18"/>
          <w:lang w:val="en-US"/>
        </w:rPr>
        <w:t xml:space="preserve"> manner as a positive urine test except that it is not weighted as heavily. A positive urine test in the last eight weeks would be weighted 5 1 = 5; a missing value would be weighted 5 x 0.22 = 1.1.</w:t>
      </w:r>
    </w:p>
    <w:p w14:paraId="73C12A73"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4</w:t>
      </w:r>
      <w:r w:rsidRPr="00EE7535">
        <w:rPr>
          <w:rFonts w:ascii="Arial" w:hAnsi="Arial" w:cs="Arial"/>
          <w:sz w:val="18"/>
          <w:szCs w:val="18"/>
          <w:lang w:val="en-US"/>
        </w:rPr>
        <w:t>A pattern-mixture model was used to assess the impact of missing data on urine test results.</w:t>
      </w:r>
    </w:p>
    <w:p w14:paraId="548685E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5</w:t>
      </w:r>
      <w:r w:rsidRPr="00EE7535">
        <w:rPr>
          <w:rFonts w:ascii="Arial" w:hAnsi="Arial" w:cs="Arial"/>
          <w:sz w:val="18"/>
          <w:szCs w:val="18"/>
          <w:lang w:val="en-US"/>
        </w:rPr>
        <w:t>The percentages of opioid-positive urine specimens were calculated for each patient based on all available specimens in each week. Where urinalysis data were missing for an entire week the average of that patient's results from the 2 weeks surrounding the missing week was substituted for the missing value.</w:t>
      </w:r>
    </w:p>
    <w:p w14:paraId="47CC8A39" w14:textId="5DF2EF3E"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6</w:t>
      </w:r>
      <w:r w:rsidRPr="00EE7535">
        <w:rPr>
          <w:rFonts w:ascii="Arial" w:hAnsi="Arial" w:cs="Arial"/>
          <w:sz w:val="18"/>
          <w:szCs w:val="18"/>
          <w:lang w:val="en-US"/>
        </w:rPr>
        <w:t>Missing data were handled with multiple imputation for cases in which urine samples were missing because of hospital admission, imprisonment, agreed absence (holiday), safety reasons, or clinical omission or error (e.g., leakage, no label, failure to ask patient for sample, sample not sent for analysis). Urine samples that were not provided because of non-compliance (refusal to provide or unplanned failure to attend) were presumed to be positive.</w:t>
      </w:r>
    </w:p>
    <w:p w14:paraId="0CDF7E3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7</w:t>
      </w:r>
      <w:r w:rsidRPr="00EE7535">
        <w:rPr>
          <w:rFonts w:ascii="Arial" w:hAnsi="Arial" w:cs="Arial"/>
          <w:sz w:val="18"/>
          <w:szCs w:val="18"/>
          <w:lang w:val="en-US"/>
        </w:rPr>
        <w:t>It was proposed that urine samples be recorded as positive if patients did not attend (or refused) clinic visits or refused to give urine samples. It was planned to impute missing values for the urine samples, provided there was a reasonable assumption that the missing data mechanism was ignorable (</w:t>
      </w:r>
      <w:proofErr w:type="gramStart"/>
      <w:r w:rsidRPr="00EE7535">
        <w:rPr>
          <w:rFonts w:ascii="Arial" w:hAnsi="Arial" w:cs="Arial"/>
          <w:sz w:val="18"/>
          <w:szCs w:val="18"/>
          <w:lang w:val="en-US"/>
        </w:rPr>
        <w:t>i.e.</w:t>
      </w:r>
      <w:proofErr w:type="gramEnd"/>
      <w:r w:rsidRPr="00EE7535">
        <w:rPr>
          <w:rFonts w:ascii="Arial" w:hAnsi="Arial" w:cs="Arial"/>
          <w:sz w:val="18"/>
          <w:szCs w:val="18"/>
          <w:lang w:val="en-US"/>
        </w:rPr>
        <w:t xml:space="preserve"> at least ‘missing at random’).</w:t>
      </w:r>
    </w:p>
    <w:p w14:paraId="74FA68E2"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8</w:t>
      </w:r>
      <w:r w:rsidRPr="00EE7535">
        <w:rPr>
          <w:rFonts w:ascii="Arial" w:hAnsi="Arial" w:cs="Arial"/>
          <w:sz w:val="18"/>
          <w:szCs w:val="18"/>
          <w:lang w:val="en-US"/>
        </w:rPr>
        <w:t xml:space="preserve">Estimates were calculated by averaging </w:t>
      </w:r>
      <w:proofErr w:type="gramStart"/>
      <w:r w:rsidRPr="00EE7535">
        <w:rPr>
          <w:rFonts w:ascii="Arial" w:hAnsi="Arial" w:cs="Arial"/>
          <w:sz w:val="18"/>
          <w:szCs w:val="18"/>
          <w:lang w:val="en-US"/>
        </w:rPr>
        <w:t>all of</w:t>
      </w:r>
      <w:proofErr w:type="gramEnd"/>
      <w:r w:rsidRPr="00EE7535">
        <w:rPr>
          <w:rFonts w:ascii="Arial" w:hAnsi="Arial" w:cs="Arial"/>
          <w:sz w:val="18"/>
          <w:szCs w:val="18"/>
          <w:lang w:val="en-US"/>
        </w:rPr>
        <w:t xml:space="preserve"> a patient's available scores for the day (e.g., Mondays) which correspond to the missing day. </w:t>
      </w:r>
    </w:p>
    <w:p w14:paraId="0790F55B" w14:textId="0D5B5DC8" w:rsidR="00C15584" w:rsidRDefault="00C15584">
      <w:pPr>
        <w:rPr>
          <w:rFonts w:ascii="Arial" w:hAnsi="Arial" w:cs="Arial"/>
          <w:lang w:val="en-US"/>
        </w:rPr>
      </w:pPr>
    </w:p>
    <w:p w14:paraId="05298193" w14:textId="702861EE" w:rsidR="00EE7535" w:rsidRPr="00EE7535" w:rsidRDefault="00EE7535">
      <w:pPr>
        <w:rPr>
          <w:rFonts w:ascii="Arial" w:hAnsi="Arial" w:cs="Arial"/>
          <w:b/>
          <w:bCs/>
          <w:lang w:val="en-US"/>
        </w:rPr>
      </w:pPr>
      <w:r w:rsidRPr="00EE7535">
        <w:rPr>
          <w:rFonts w:ascii="Arial" w:hAnsi="Arial" w:cs="Arial"/>
          <w:b/>
          <w:bCs/>
          <w:lang w:val="en-US"/>
        </w:rPr>
        <w:t>References</w:t>
      </w:r>
    </w:p>
    <w:p w14:paraId="3B6696FD" w14:textId="11CDFDCF" w:rsidR="0045157D" w:rsidRPr="0045157D" w:rsidRDefault="00EE7535" w:rsidP="0045157D">
      <w:pPr>
        <w:widowControl w:val="0"/>
        <w:autoSpaceDE w:val="0"/>
        <w:autoSpaceDN w:val="0"/>
        <w:adjustRightInd w:val="0"/>
        <w:spacing w:line="240" w:lineRule="auto"/>
        <w:ind w:left="480" w:hanging="48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45157D" w:rsidRPr="0045157D">
        <w:rPr>
          <w:rFonts w:ascii="Arial" w:hAnsi="Arial" w:cs="Arial"/>
          <w:noProof/>
          <w:szCs w:val="24"/>
        </w:rPr>
        <w:t xml:space="preserve">Biondi, B. E., Zheng, X., Frank, C. A., Petrakis, I., &amp; Springer, S. A. (2020). A Literature Review Examining Primary Outcomes of Medication Treatment Studies for Opioid Use Disorder: What Outcome Should Be Used to Measure Opioid Treatment Success? </w:t>
      </w:r>
      <w:r w:rsidR="0045157D" w:rsidRPr="0045157D">
        <w:rPr>
          <w:rFonts w:ascii="Arial" w:hAnsi="Arial" w:cs="Arial"/>
          <w:i/>
          <w:iCs/>
          <w:noProof/>
          <w:szCs w:val="24"/>
        </w:rPr>
        <w:t>The American Journal on Addictions</w:t>
      </w:r>
      <w:r w:rsidR="0045157D" w:rsidRPr="0045157D">
        <w:rPr>
          <w:rFonts w:ascii="Arial" w:hAnsi="Arial" w:cs="Arial"/>
          <w:noProof/>
          <w:szCs w:val="24"/>
        </w:rPr>
        <w:t xml:space="preserve">, </w:t>
      </w:r>
      <w:r w:rsidR="0045157D" w:rsidRPr="0045157D">
        <w:rPr>
          <w:rFonts w:ascii="Arial" w:hAnsi="Arial" w:cs="Arial"/>
          <w:i/>
          <w:iCs/>
          <w:noProof/>
          <w:szCs w:val="24"/>
        </w:rPr>
        <w:t>29</w:t>
      </w:r>
      <w:r w:rsidR="0045157D" w:rsidRPr="0045157D">
        <w:rPr>
          <w:rFonts w:ascii="Arial" w:hAnsi="Arial" w:cs="Arial"/>
          <w:noProof/>
          <w:szCs w:val="24"/>
        </w:rPr>
        <w:t>(4), 249–267. https://doi.org/10.1111/ajad.13051</w:t>
      </w:r>
    </w:p>
    <w:p w14:paraId="69BB451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Comer, S. D., Sullivan, M. A., Yu, E., Rothenberg, J. L., Kleber, H. D., Kampman, K., Dackis, C., &amp; O’Brien, C. P. (2006). Injectable, Sustained-Release Naltrexone for the Treatment of Opioid Dependence.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63</w:t>
      </w:r>
      <w:r w:rsidRPr="0045157D">
        <w:rPr>
          <w:rFonts w:ascii="Arial" w:hAnsi="Arial" w:cs="Arial"/>
          <w:noProof/>
          <w:szCs w:val="24"/>
        </w:rPr>
        <w:t>(2), 210. https://doi.org/10.1001/archpsyc.63.2.210</w:t>
      </w:r>
    </w:p>
    <w:p w14:paraId="50578E9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Dennis, B. B., Sanger, N., Bawor, M., Naji, L., Plater, C., Worster, A., Woo, J., Bhalerao, A., Baptist-Mohseni, N., Hillmer, A., Rice, D., Corace, K., Hutton, B., Tugwell, P., Thabane, L., &amp; Samaan, Z. (2020). A call for consensus in defining efficacy in clinical trials for opioid addiction: combined results from a systematic review and qualitative study in patients receiving pharmacological assisted therapy for opioid use disorder. </w:t>
      </w:r>
      <w:r w:rsidRPr="0045157D">
        <w:rPr>
          <w:rFonts w:ascii="Arial" w:hAnsi="Arial" w:cs="Arial"/>
          <w:i/>
          <w:iCs/>
          <w:noProof/>
          <w:szCs w:val="24"/>
        </w:rPr>
        <w:t>Trials</w:t>
      </w:r>
      <w:r w:rsidRPr="0045157D">
        <w:rPr>
          <w:rFonts w:ascii="Arial" w:hAnsi="Arial" w:cs="Arial"/>
          <w:noProof/>
          <w:szCs w:val="24"/>
        </w:rPr>
        <w:t xml:space="preserve">, </w:t>
      </w:r>
      <w:r w:rsidRPr="0045157D">
        <w:rPr>
          <w:rFonts w:ascii="Arial" w:hAnsi="Arial" w:cs="Arial"/>
          <w:i/>
          <w:iCs/>
          <w:noProof/>
          <w:szCs w:val="24"/>
        </w:rPr>
        <w:t>21</w:t>
      </w:r>
      <w:r w:rsidRPr="0045157D">
        <w:rPr>
          <w:rFonts w:ascii="Arial" w:hAnsi="Arial" w:cs="Arial"/>
          <w:noProof/>
          <w:szCs w:val="24"/>
        </w:rPr>
        <w:t>(1), 30. https://doi.org/10.1186/s13063-019-3995-y</w:t>
      </w:r>
    </w:p>
    <w:p w14:paraId="4A0689B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Eissenberg, T., Bigelow, G. E., Strain, E. C., Walsh, S. L., Brooner, R. K., Stitzer, M. L., &amp; Johnson, R. E. (1997). Dose-related efficacy of levomethadyl acetate for treatment of opioid dependence: A randomized clinical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https://doi.org/10.1001/jama.277.24.1945</w:t>
      </w:r>
    </w:p>
    <w:p w14:paraId="77DD9D7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Fiellin, D. A., Pantalon, M. V., Chawarski, M. C., Moore, B. A., Sullivan, L. E., O’Connor, P. G., &amp; Schottenfeld, R. S. (2006). Counseling plus </w:t>
      </w:r>
      <w:r w:rsidRPr="0045157D">
        <w:rPr>
          <w:rFonts w:ascii="Arial" w:hAnsi="Arial" w:cs="Arial"/>
          <w:noProof/>
          <w:szCs w:val="24"/>
        </w:rPr>
        <w:lastRenderedPageBreak/>
        <w:t xml:space="preserve">Buprenorphine–Naloxone Maintenance Therapy for Opioid Dependence. </w:t>
      </w:r>
      <w:r w:rsidRPr="0045157D">
        <w:rPr>
          <w:rFonts w:ascii="Arial" w:hAnsi="Arial" w:cs="Arial"/>
          <w:i/>
          <w:iCs/>
          <w:noProof/>
          <w:szCs w:val="24"/>
        </w:rPr>
        <w:t>New England Journal of Medicine</w:t>
      </w:r>
      <w:r w:rsidRPr="0045157D">
        <w:rPr>
          <w:rFonts w:ascii="Arial" w:hAnsi="Arial" w:cs="Arial"/>
          <w:noProof/>
          <w:szCs w:val="24"/>
        </w:rPr>
        <w:t>. https://doi.org/10.1056/nejmoa055255</w:t>
      </w:r>
    </w:p>
    <w:p w14:paraId="0BEF18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Fischer, G., Gombas, W., Eder, H., Jagsch, R., Peternell, A., Stühlinger, G., Pezawas, L., Aschauer, H. N., &amp; Kasper, S. (1999). Buprenorphine versus methadone maintenance for the treatment of opioid dependence. </w:t>
      </w:r>
      <w:r w:rsidRPr="0045157D">
        <w:rPr>
          <w:rFonts w:ascii="Arial" w:hAnsi="Arial" w:cs="Arial"/>
          <w:i/>
          <w:iCs/>
          <w:noProof/>
          <w:szCs w:val="24"/>
        </w:rPr>
        <w:t>Addiction</w:t>
      </w:r>
      <w:r w:rsidRPr="0045157D">
        <w:rPr>
          <w:rFonts w:ascii="Arial" w:hAnsi="Arial" w:cs="Arial"/>
          <w:noProof/>
          <w:szCs w:val="24"/>
        </w:rPr>
        <w:t>. https://doi.org/10.1046/j.1360-0443.1999.94913376.x</w:t>
      </w:r>
    </w:p>
    <w:p w14:paraId="6E7A968B"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Fudala, P. J., Bridge, T. P., Herbert, S., Williford, W. O., Chiang, C. N., Jones, K., Collins, J., Raisch, D., Casadonte, P., Goldsmith, R. J., Ling, W., Malkerneker, U., McNicholas, L., Renner, J., Stine, S., &amp; Tusel, D. (2003). Office-Based Treatment of Opiate Addiction with a Sublingual-Tablet Formulation of Buprenorphine and Naloxone. </w:t>
      </w:r>
      <w:r w:rsidRPr="0045157D">
        <w:rPr>
          <w:rFonts w:ascii="Arial" w:hAnsi="Arial" w:cs="Arial"/>
          <w:i/>
          <w:iCs/>
          <w:noProof/>
          <w:szCs w:val="24"/>
        </w:rPr>
        <w:t>New England Journal of Medicine</w:t>
      </w:r>
      <w:r w:rsidRPr="0045157D">
        <w:rPr>
          <w:rFonts w:ascii="Arial" w:hAnsi="Arial" w:cs="Arial"/>
          <w:noProof/>
          <w:szCs w:val="24"/>
        </w:rPr>
        <w:t>. https://doi.org/10.1056/nejmoa022164</w:t>
      </w:r>
    </w:p>
    <w:p w14:paraId="6FEE3AF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Haight, B. R., Learned, S. M., Laffont, C. M., Fudala, P. J., Zhao, Y., Garofalo, A. S., Greenwald, M. K., Nadipelli, V. R., Ling, W., Heidbreder, C., Andersen, J. L., Bailey, G. L., Bartley, S. R., Biunno, M. J., Boyett, B., Carr, J. M., Cifuentes, E., Duarte-Sckell, S. D., Dueno, O. R., … Wiest, K. L. (2019). Efficacy and safety of a monthly buprenorphine depot injection for opioid use disorder: a multicentre, randomised, double-blind, placebo-controlled, phase 3 trial. </w:t>
      </w:r>
      <w:r w:rsidRPr="0045157D">
        <w:rPr>
          <w:rFonts w:ascii="Arial" w:hAnsi="Arial" w:cs="Arial"/>
          <w:i/>
          <w:iCs/>
          <w:noProof/>
          <w:szCs w:val="24"/>
        </w:rPr>
        <w:t>The Lancet</w:t>
      </w:r>
      <w:r w:rsidRPr="0045157D">
        <w:rPr>
          <w:rFonts w:ascii="Arial" w:hAnsi="Arial" w:cs="Arial"/>
          <w:noProof/>
          <w:szCs w:val="24"/>
        </w:rPr>
        <w:t>. https://doi.org/10.1016/S0140-6736(18)32259-1</w:t>
      </w:r>
    </w:p>
    <w:p w14:paraId="215837D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Jaffe, J. H., Senay, E. C., Schuster, C. R., Renault, P. R., Smith, B., &amp; Dimenza, S. (1972). Methadyl Acetate vs Methadone: A Double-Blind Study in Heroin Users.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https://doi.org/10.1001/jama.1972.03210040013004</w:t>
      </w:r>
    </w:p>
    <w:p w14:paraId="506342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Johnson, R. E., Jaffe, J. H., &amp; Fudala, P. J. (1992). A Controlled Trial of Buprenorphine Treatment for Opioid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https://doi.org/10.1001/jama.1992.03480200058024</w:t>
      </w:r>
    </w:p>
    <w:p w14:paraId="0B0A147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Kamien, J. B., Branstetter, S. A., &amp; Amass, L. (2008). Buprenorphine-naloxone versus methadone maintenance therapy: A randomised double-blind trial with opioid-dependent patients. </w:t>
      </w:r>
      <w:r w:rsidRPr="0045157D">
        <w:rPr>
          <w:rFonts w:ascii="Arial" w:hAnsi="Arial" w:cs="Arial"/>
          <w:i/>
          <w:iCs/>
          <w:noProof/>
          <w:szCs w:val="24"/>
        </w:rPr>
        <w:t>Heroin Addiction and Related Clinical Problems</w:t>
      </w:r>
      <w:r w:rsidRPr="0045157D">
        <w:rPr>
          <w:rFonts w:ascii="Arial" w:hAnsi="Arial" w:cs="Arial"/>
          <w:noProof/>
          <w:szCs w:val="24"/>
        </w:rPr>
        <w:t xml:space="preserve">, </w:t>
      </w:r>
      <w:r w:rsidRPr="0045157D">
        <w:rPr>
          <w:rFonts w:ascii="Arial" w:hAnsi="Arial" w:cs="Arial"/>
          <w:i/>
          <w:iCs/>
          <w:noProof/>
          <w:szCs w:val="24"/>
        </w:rPr>
        <w:t>10</w:t>
      </w:r>
      <w:r w:rsidRPr="0045157D">
        <w:rPr>
          <w:rFonts w:ascii="Arial" w:hAnsi="Arial" w:cs="Arial"/>
          <w:noProof/>
          <w:szCs w:val="24"/>
        </w:rPr>
        <w:t>(4), 5–18.</w:t>
      </w:r>
    </w:p>
    <w:p w14:paraId="1CC0322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Kosten, T. R., Schottenfeld, R., Ziedonis, D., &amp; Falcioni, J. (1993). Buprenorphine versus methadone maintenance for opioid dependence. </w:t>
      </w:r>
      <w:r w:rsidRPr="0045157D">
        <w:rPr>
          <w:rFonts w:ascii="Arial" w:hAnsi="Arial" w:cs="Arial"/>
          <w:i/>
          <w:iCs/>
          <w:noProof/>
          <w:szCs w:val="24"/>
        </w:rPr>
        <w:t>Journal of Nervous and Mental Disease</w:t>
      </w:r>
      <w:r w:rsidRPr="0045157D">
        <w:rPr>
          <w:rFonts w:ascii="Arial" w:hAnsi="Arial" w:cs="Arial"/>
          <w:noProof/>
          <w:szCs w:val="24"/>
        </w:rPr>
        <w:t>. https://doi.org/10.1097/00005053-199306000-00004</w:t>
      </w:r>
    </w:p>
    <w:p w14:paraId="14511E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Tsoi, M. V., Burakov, A. M., Egorova, V. Y., Didenko, T. Y., Romanova, T. N., Ivanova, E. B., Bespalov, A. Y., Verbitskaya, E. V., Neznanov, N. G., Grinenko, A. Y., O’Brien, C. P., &amp; Woody, G. E. (2004). Naltrexone for heroin dependence treatment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https://doi.org/10.1016/j.jsat.2004.02.002</w:t>
      </w:r>
    </w:p>
    <w:p w14:paraId="0704F7F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Tsoy, M. V., Burakov, A. M., Egorova, V. Y., Didenko, T. Y., Romanova, T. N., Ivanova, E. B., Bespalov, A. Y., Verbitskaya, E. V., Neznanov, N. G., Grinenko, A. Y., O’Brien, C. P., &amp; Woody, G. E. (2006). Naltrexone with or without fluoxetine for preventing relapse to heroin addiction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https://doi.org/10.1016/j.jsat.2006.05.005</w:t>
      </w:r>
    </w:p>
    <w:p w14:paraId="64A8D5A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Nunes, E. V., Ling, W., Illeperuma, A., Gastfriend, D. R., &amp; Silverman, B. L. (2011). Injectable extended-release naltrexone for opioid </w:t>
      </w:r>
      <w:r w:rsidRPr="0045157D">
        <w:rPr>
          <w:rFonts w:ascii="Arial" w:hAnsi="Arial" w:cs="Arial"/>
          <w:noProof/>
          <w:szCs w:val="24"/>
        </w:rPr>
        <w:lastRenderedPageBreak/>
        <w:t xml:space="preserve">dependence: A double-blind, placebo-controlled, multicentre randomised trial. </w:t>
      </w:r>
      <w:r w:rsidRPr="0045157D">
        <w:rPr>
          <w:rFonts w:ascii="Arial" w:hAnsi="Arial" w:cs="Arial"/>
          <w:i/>
          <w:iCs/>
          <w:noProof/>
          <w:szCs w:val="24"/>
        </w:rPr>
        <w:t>The Lancet</w:t>
      </w:r>
      <w:r w:rsidRPr="0045157D">
        <w:rPr>
          <w:rFonts w:ascii="Arial" w:hAnsi="Arial" w:cs="Arial"/>
          <w:noProof/>
          <w:szCs w:val="24"/>
        </w:rPr>
        <w:t>. https://doi.org/10.1016/S0140-6736(11)60358-9</w:t>
      </w:r>
    </w:p>
    <w:p w14:paraId="3C1A5B17"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Friedmann, P. D., Kinlock, T. W., Nunes, E. V., Boney, T. Y., Hoskinson, R. A., Wilson, D., McDonald, R., Rotrosen, J., Gourevitch, M. N., Gordon, M., Fishman, M., Chen, D. T., Bonnie, R. J., Cornish, J. W., Murphy, S. M., &amp; O’Brien, C. P. (2016). Extended-Release Naltrexone to Prevent Opioid Relapse in Criminal Justice Offenders. </w:t>
      </w:r>
      <w:r w:rsidRPr="0045157D">
        <w:rPr>
          <w:rFonts w:ascii="Arial" w:hAnsi="Arial" w:cs="Arial"/>
          <w:i/>
          <w:iCs/>
          <w:noProof/>
          <w:szCs w:val="24"/>
        </w:rPr>
        <w:t>New England Journal of Medicine</w:t>
      </w:r>
      <w:r w:rsidRPr="0045157D">
        <w:rPr>
          <w:rFonts w:ascii="Arial" w:hAnsi="Arial" w:cs="Arial"/>
          <w:noProof/>
          <w:szCs w:val="24"/>
        </w:rPr>
        <w:t>. https://doi.org/10.1056/nejmoa1505409</w:t>
      </w:r>
    </w:p>
    <w:p w14:paraId="5A2543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Nunes, E. V, Novo, P., Bachrach, K., Bailey, G. L., Bhatt, S., Farkas, S., Fishman, M., Gauthier, P., Hodgkins, C. C., King, J., Lindblad, R., Liu, D., Matthews, A. G., May, J., Peavy, K. M., Ross, S., Salazar, D., Schkolnik, P., … Rotrosen, J. (2018). Comparative effectiveness of extended-release naltrexone versus buprenorphine-naloxone for opioid relapse prevention (X:BOT): a multicentre, open-label, randomised 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391</w:t>
      </w:r>
      <w:r w:rsidRPr="0045157D">
        <w:rPr>
          <w:rFonts w:ascii="Arial" w:hAnsi="Arial" w:cs="Arial"/>
          <w:noProof/>
          <w:szCs w:val="24"/>
        </w:rPr>
        <w:t>(10118), 309–318. https://doi.org/10.1016/S0140-6736(17)32812-X</w:t>
      </w:r>
    </w:p>
    <w:p w14:paraId="62AA67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Casadonte, P., Bigelow, G., Kampman, K. M., Patkar, A., Bailey, G. L., Rosenthal, R. N., &amp; Beebe, K. L. (2010). Buprenorphine implants for treatment of opioid dependence: A randomized controlled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https://doi.org/10.1001/jama.2010.1427</w:t>
      </w:r>
    </w:p>
    <w:p w14:paraId="3E406D2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C., Collins, J. F., Batki, S., Brown, L. S., Kintaudi, P., Wesson, D. R., Mcnicholas, L., Tusel, D. J., Malkerneker, U., Renner, J. A., Santos, E., Casadonte, P., Fye, C., Stine, S., Wang, R. I. H., &amp; Segal, D. (1998). Buprenorphine maintenance treatment of opiate dependence: a multicenter, randomized clinical trial. </w:t>
      </w:r>
      <w:r w:rsidRPr="0045157D">
        <w:rPr>
          <w:rFonts w:ascii="Arial" w:hAnsi="Arial" w:cs="Arial"/>
          <w:i/>
          <w:iCs/>
          <w:noProof/>
          <w:szCs w:val="24"/>
        </w:rPr>
        <w:t>Addiction</w:t>
      </w:r>
      <w:r w:rsidRPr="0045157D">
        <w:rPr>
          <w:rFonts w:ascii="Arial" w:hAnsi="Arial" w:cs="Arial"/>
          <w:noProof/>
          <w:szCs w:val="24"/>
        </w:rPr>
        <w:t xml:space="preserve">, </w:t>
      </w:r>
      <w:r w:rsidRPr="0045157D">
        <w:rPr>
          <w:rFonts w:ascii="Arial" w:hAnsi="Arial" w:cs="Arial"/>
          <w:i/>
          <w:iCs/>
          <w:noProof/>
          <w:szCs w:val="24"/>
        </w:rPr>
        <w:t>93</w:t>
      </w:r>
      <w:r w:rsidRPr="0045157D">
        <w:rPr>
          <w:rFonts w:ascii="Arial" w:hAnsi="Arial" w:cs="Arial"/>
          <w:noProof/>
          <w:szCs w:val="24"/>
        </w:rPr>
        <w:t>(4), 475–486. https://doi.org/10.1046/j.1360-0443.1998.9344753.x</w:t>
      </w:r>
    </w:p>
    <w:p w14:paraId="48A7A48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V. C., Kaim, S. C., &amp; Klett, C. J. (1976). Methadyl Acetate and Methadone as Maintenance Treatments for Heroin Addicts: A Veterans Administration Cooperative Study. </w:t>
      </w:r>
      <w:r w:rsidRPr="0045157D">
        <w:rPr>
          <w:rFonts w:ascii="Arial" w:hAnsi="Arial" w:cs="Arial"/>
          <w:i/>
          <w:iCs/>
          <w:noProof/>
          <w:szCs w:val="24"/>
        </w:rPr>
        <w:t>Archives of General Psychiatry</w:t>
      </w:r>
      <w:r w:rsidRPr="0045157D">
        <w:rPr>
          <w:rFonts w:ascii="Arial" w:hAnsi="Arial" w:cs="Arial"/>
          <w:noProof/>
          <w:szCs w:val="24"/>
        </w:rPr>
        <w:t>. https://doi.org/10.1001/archpsyc.1976.01770060043007</w:t>
      </w:r>
    </w:p>
    <w:p w14:paraId="625F3CC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Lofwall, M. R., Walsh, S. L., Nunes, E. V., Bailey, G. L., Sigmon, S. C., Kampman, K. M., Frost, M., Tiberg, F., Linden, M., Sheldon, B., Oosman, S., Peterson, S., Chen, M., &amp; Kim, S. (2018). Weekly and monthly subcutaneous buprenorphine depot formulations vs daily sublingual buprenorphine with naloxone for treatment of opioid use disorder a randomized clinical trial. </w:t>
      </w:r>
      <w:r w:rsidRPr="0045157D">
        <w:rPr>
          <w:rFonts w:ascii="Arial" w:hAnsi="Arial" w:cs="Arial"/>
          <w:i/>
          <w:iCs/>
          <w:noProof/>
          <w:szCs w:val="24"/>
        </w:rPr>
        <w:t>JAMA Internal Medicine</w:t>
      </w:r>
      <w:r w:rsidRPr="0045157D">
        <w:rPr>
          <w:rFonts w:ascii="Arial" w:hAnsi="Arial" w:cs="Arial"/>
          <w:noProof/>
          <w:szCs w:val="24"/>
        </w:rPr>
        <w:t>. https://doi.org/10.1001/jamainternmed.2018.1052</w:t>
      </w:r>
    </w:p>
    <w:p w14:paraId="7AAAD26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Mattick, R. P., Ali, R., White, J. M., O’Brien, S., Wolk, S., &amp; Danz, C. (2003). Buprenorphine versus methadone maintenance therapy: A randomized double-blind trial with 405 opioid-dependent patients. </w:t>
      </w:r>
      <w:r w:rsidRPr="0045157D">
        <w:rPr>
          <w:rFonts w:ascii="Arial" w:hAnsi="Arial" w:cs="Arial"/>
          <w:i/>
          <w:iCs/>
          <w:noProof/>
          <w:szCs w:val="24"/>
        </w:rPr>
        <w:t>Addiction</w:t>
      </w:r>
      <w:r w:rsidRPr="0045157D">
        <w:rPr>
          <w:rFonts w:ascii="Arial" w:hAnsi="Arial" w:cs="Arial"/>
          <w:noProof/>
          <w:szCs w:val="24"/>
        </w:rPr>
        <w:t>. https://doi.org/10.1046/j.1360-0443.2003.00335.x</w:t>
      </w:r>
    </w:p>
    <w:p w14:paraId="0656201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Mokri, A., Chawarski, M. C., Taherinakhost, H., &amp; Schottenfeld, R. S. (2016). Medical treatments for opioid use disorder in Iran: A randomized, double-blind placebo-controlled comparison of buprenorphine/naloxone and naltrexone maintenance treatment. </w:t>
      </w:r>
      <w:r w:rsidRPr="0045157D">
        <w:rPr>
          <w:rFonts w:ascii="Arial" w:hAnsi="Arial" w:cs="Arial"/>
          <w:i/>
          <w:iCs/>
          <w:noProof/>
          <w:szCs w:val="24"/>
        </w:rPr>
        <w:t>Addiction</w:t>
      </w:r>
      <w:r w:rsidRPr="0045157D">
        <w:rPr>
          <w:rFonts w:ascii="Arial" w:hAnsi="Arial" w:cs="Arial"/>
          <w:noProof/>
          <w:szCs w:val="24"/>
        </w:rPr>
        <w:t>. https://doi.org/10.1111/add.13259</w:t>
      </w:r>
    </w:p>
    <w:p w14:paraId="311A03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Pani, P., Maremmani, I., Pirastu, R., Tagliamonte, A., &amp; Gessa, G. (2000). Buprenorphine: a controlled clinical trial in the treatment of opioid dependence. </w:t>
      </w:r>
      <w:r w:rsidRPr="0045157D">
        <w:rPr>
          <w:rFonts w:ascii="Arial" w:hAnsi="Arial" w:cs="Arial"/>
          <w:i/>
          <w:iCs/>
          <w:noProof/>
          <w:szCs w:val="24"/>
        </w:rPr>
        <w:t>Drug and Alcohol Dependence</w:t>
      </w:r>
      <w:r w:rsidRPr="0045157D">
        <w:rPr>
          <w:rFonts w:ascii="Arial" w:hAnsi="Arial" w:cs="Arial"/>
          <w:noProof/>
          <w:szCs w:val="24"/>
        </w:rPr>
        <w:t>. https://doi.org/10.1016/s0376-8716(99)00140-4</w:t>
      </w:r>
    </w:p>
    <w:p w14:paraId="4E07E37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Petitjean, S., Stohler, R., Déglon, J. J., Livoti, S., Waldvogel, D., Uehlinger, C., &amp; Ladewig, D. (2001). Double-blind randomized trial of buprenorphine and methadone in opiate dependence. </w:t>
      </w:r>
      <w:r w:rsidRPr="0045157D">
        <w:rPr>
          <w:rFonts w:ascii="Arial" w:hAnsi="Arial" w:cs="Arial"/>
          <w:i/>
          <w:iCs/>
          <w:noProof/>
          <w:szCs w:val="24"/>
        </w:rPr>
        <w:t>Drug and Alcohol Dependence</w:t>
      </w:r>
      <w:r w:rsidRPr="0045157D">
        <w:rPr>
          <w:rFonts w:ascii="Arial" w:hAnsi="Arial" w:cs="Arial"/>
          <w:noProof/>
          <w:szCs w:val="24"/>
        </w:rPr>
        <w:t>. https://doi.org/10.1016/S0376-8716(00)00163-0</w:t>
      </w:r>
    </w:p>
    <w:p w14:paraId="1FAEF80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Preston, K. L., Umbricht, A., &amp; Epstein, D. H. (2000). Methadone Dose Increase and Abstinence Reinforcement for Treatment of Continued Heroin Use During Methadone Maintenance.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57</w:t>
      </w:r>
      <w:r w:rsidRPr="0045157D">
        <w:rPr>
          <w:rFonts w:ascii="Arial" w:hAnsi="Arial" w:cs="Arial"/>
          <w:noProof/>
          <w:szCs w:val="24"/>
        </w:rPr>
        <w:t>(4), 395. https://doi.org/10.1001/archpsyc.57.4.395</w:t>
      </w:r>
    </w:p>
    <w:p w14:paraId="166DA7D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Rosenthal, R. N., Lofwall, M. R., Kim, S., Chen, M., Beebe, K. L., &amp; Vocci, F. J. (2016). Effect of buprenorphine implants on illicit opioid use among abstinent adults with opioid dependence treated with sublingual buprenorphine a randomized clinical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https://doi.org/10.1001/jama.2016.9382</w:t>
      </w:r>
    </w:p>
    <w:p w14:paraId="07CCBCA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&amp; Mazlan, M. (2008). Maintenance treatment with buprenorphine and naltrexone for heroin dependence in Malaysia: a randomised, double-blind, placebo-controlled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371</w:t>
      </w:r>
      <w:r w:rsidRPr="0045157D">
        <w:rPr>
          <w:rFonts w:ascii="Arial" w:hAnsi="Arial" w:cs="Arial"/>
          <w:noProof/>
          <w:szCs w:val="24"/>
        </w:rPr>
        <w:t>(9631), 2192–2200. https://doi.org/10.1016/S0140-6736(08)60954-X</w:t>
      </w:r>
    </w:p>
    <w:p w14:paraId="546DE21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Pakes, J. R., Pantalon, M. V., Carroll, K. M., &amp; Kosten, T. R. (2005). Methadone versus buprenorphine with contingency management or performance feedback for cocaine and opioid dependence. </w:t>
      </w:r>
      <w:r w:rsidRPr="0045157D">
        <w:rPr>
          <w:rFonts w:ascii="Arial" w:hAnsi="Arial" w:cs="Arial"/>
          <w:i/>
          <w:iCs/>
          <w:noProof/>
          <w:szCs w:val="24"/>
        </w:rPr>
        <w:t>American Journal of Psychiatry</w:t>
      </w:r>
      <w:r w:rsidRPr="0045157D">
        <w:rPr>
          <w:rFonts w:ascii="Arial" w:hAnsi="Arial" w:cs="Arial"/>
          <w:noProof/>
          <w:szCs w:val="24"/>
        </w:rPr>
        <w:t>. https://doi.org/10.1176/appi.ajp.162.2.340</w:t>
      </w:r>
    </w:p>
    <w:p w14:paraId="1687E9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Schwartz, R. P., Highfield, D. A., Jaffe, J. H., Brady, J. V., Butler, C. B., Rouse, C. O., Callaman, J. M., O’Grady, K. E., &amp; Battjes, R. J. (2006). A randomized controlled trial of interim methadone maintenance. </w:t>
      </w:r>
      <w:r w:rsidRPr="0045157D">
        <w:rPr>
          <w:rFonts w:ascii="Arial" w:hAnsi="Arial" w:cs="Arial"/>
          <w:i/>
          <w:iCs/>
          <w:noProof/>
          <w:szCs w:val="24"/>
        </w:rPr>
        <w:t>Archives of General Psychiatry</w:t>
      </w:r>
      <w:r w:rsidRPr="0045157D">
        <w:rPr>
          <w:rFonts w:ascii="Arial" w:hAnsi="Arial" w:cs="Arial"/>
          <w:noProof/>
          <w:szCs w:val="24"/>
        </w:rPr>
        <w:t>. https://doi.org/10.1001/archpsyc.63.1.102</w:t>
      </w:r>
    </w:p>
    <w:p w14:paraId="770EBB8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Sees, K. L., Delucchi, K. L., Masson, C., Rosen, A., Clark, H. W., Robillard, H., Banys, P., &amp; Hall, S. M. (2000). Methadone maintenance vs 180-day psychosocially enriched detoxification for treatment of opioid dependence: A randomized controlled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https://doi.org/10.1001/jama.283.10.1303</w:t>
      </w:r>
    </w:p>
    <w:p w14:paraId="0B3C90C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Shufman, E. N., Porat, S., Witztum, E., Gandacu, D., Bar-Hamburger, R., &amp; Ginath, Y. (1994). The efficacy of naltrexone in preventing reabuse of heroin after detoxification. </w:t>
      </w:r>
      <w:r w:rsidRPr="0045157D">
        <w:rPr>
          <w:rFonts w:ascii="Arial" w:hAnsi="Arial" w:cs="Arial"/>
          <w:i/>
          <w:iCs/>
          <w:noProof/>
          <w:szCs w:val="24"/>
        </w:rPr>
        <w:t>Biological Psychiatry</w:t>
      </w:r>
      <w:r w:rsidRPr="0045157D">
        <w:rPr>
          <w:rFonts w:ascii="Arial" w:hAnsi="Arial" w:cs="Arial"/>
          <w:noProof/>
          <w:szCs w:val="24"/>
        </w:rPr>
        <w:t>. https://doi.org/10.1016/0006-3223(94)91240-8</w:t>
      </w:r>
    </w:p>
    <w:p w14:paraId="2D8B8D7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Soyka, M., Zingg, C., Koller, G., &amp; Kuefner, H. (2008). Retention rate and substance use in methadone and buprenorphine maintenance therapy and predictors of outcome: Results from a randomized study. </w:t>
      </w:r>
      <w:r w:rsidRPr="0045157D">
        <w:rPr>
          <w:rFonts w:ascii="Arial" w:hAnsi="Arial" w:cs="Arial"/>
          <w:i/>
          <w:iCs/>
          <w:noProof/>
          <w:szCs w:val="24"/>
        </w:rPr>
        <w:t>International Journal of Neuropsychopharmacology</w:t>
      </w:r>
      <w:r w:rsidRPr="0045157D">
        <w:rPr>
          <w:rFonts w:ascii="Arial" w:hAnsi="Arial" w:cs="Arial"/>
          <w:noProof/>
          <w:szCs w:val="24"/>
        </w:rPr>
        <w:t>. https://doi.org/10.1017/S146114570700836X</w:t>
      </w:r>
    </w:p>
    <w:p w14:paraId="5DBFFB21"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 C., Stitzer, M. L., Liebson, I. A., &amp; Bigelow, G. E. (1993). Dose-response effects of methadone in the treatment of opioid dependence. </w:t>
      </w:r>
      <w:r w:rsidRPr="0045157D">
        <w:rPr>
          <w:rFonts w:ascii="Arial" w:hAnsi="Arial" w:cs="Arial"/>
          <w:i/>
          <w:iCs/>
          <w:noProof/>
          <w:szCs w:val="24"/>
        </w:rPr>
        <w:t>Annals of Internal Medicine</w:t>
      </w:r>
      <w:r w:rsidRPr="0045157D">
        <w:rPr>
          <w:rFonts w:ascii="Arial" w:hAnsi="Arial" w:cs="Arial"/>
          <w:noProof/>
          <w:szCs w:val="24"/>
        </w:rPr>
        <w:t>. https://doi.org/10.7326/0003-4819-119-1-199307010-00004</w:t>
      </w:r>
    </w:p>
    <w:p w14:paraId="2912117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Bigelow, G. E., Liebson, I. A., &amp; Stitzer, M. L. (1999). Moderate- vs high-dose methadone in the treatment of opioid dependence: A randomized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https://doi.org/10.1001/jama.281.11.1000</w:t>
      </w:r>
    </w:p>
    <w:p w14:paraId="353481A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Strain, Eric C., Stitzer, M. L., Liebson, I. A., &amp; Bigelow, G. E. (1994). Comparison of buprenorphine and methadone in the treatment of opioid dependence. </w:t>
      </w:r>
      <w:r w:rsidRPr="0045157D">
        <w:rPr>
          <w:rFonts w:ascii="Arial" w:hAnsi="Arial" w:cs="Arial"/>
          <w:i/>
          <w:iCs/>
          <w:noProof/>
          <w:szCs w:val="24"/>
        </w:rPr>
        <w:t>American Journal of Psychiatry</w:t>
      </w:r>
      <w:r w:rsidRPr="0045157D">
        <w:rPr>
          <w:rFonts w:ascii="Arial" w:hAnsi="Arial" w:cs="Arial"/>
          <w:noProof/>
          <w:szCs w:val="24"/>
        </w:rPr>
        <w:t>. https://doi.org/10.1176/ajp.151.7.1025</w:t>
      </w:r>
    </w:p>
    <w:p w14:paraId="3A5DEC4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Stitzer, M. L., Liebson, I. A., &amp; Bigelow, G. E. (1996). Buprenorphine Versus Methadone in the Treatment of Opioid Dependence: Self-Reports, Urinalysis and Addiction Severity Index. </w:t>
      </w:r>
      <w:r w:rsidRPr="0045157D">
        <w:rPr>
          <w:rFonts w:ascii="Arial" w:hAnsi="Arial" w:cs="Arial"/>
          <w:i/>
          <w:iCs/>
          <w:noProof/>
          <w:szCs w:val="24"/>
        </w:rPr>
        <w:t>Journal of Clinical Psychopharmacology</w:t>
      </w:r>
      <w:r w:rsidRPr="0045157D">
        <w:rPr>
          <w:rFonts w:ascii="Arial" w:hAnsi="Arial" w:cs="Arial"/>
          <w:noProof/>
          <w:szCs w:val="24"/>
        </w:rPr>
        <w:t>. https://doi.org/10.1097/00004714-199602000-00010</w:t>
      </w:r>
    </w:p>
    <w:p w14:paraId="403F5EF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Kelleher, M., Mayet, S., Day, E., Hellier, J., Byford, S., Murphy, C., McLennan, B., Shearer, J., Ryan, E., &amp; Marsden, J. (2019). Extended-release naltrexone versus standard oral naltrexone versus placebo for opioid use disorder: The NEAT three-arm RCT. </w:t>
      </w:r>
      <w:r w:rsidRPr="0045157D">
        <w:rPr>
          <w:rFonts w:ascii="Arial" w:hAnsi="Arial" w:cs="Arial"/>
          <w:i/>
          <w:iCs/>
          <w:noProof/>
          <w:szCs w:val="24"/>
        </w:rPr>
        <w:t>Health Technology Assessment</w:t>
      </w:r>
      <w:r w:rsidRPr="0045157D">
        <w:rPr>
          <w:rFonts w:ascii="Arial" w:hAnsi="Arial" w:cs="Arial"/>
          <w:noProof/>
          <w:szCs w:val="24"/>
        </w:rPr>
        <w:t>. https://doi.org/10.3310/hta23030</w:t>
      </w:r>
    </w:p>
    <w:p w14:paraId="5A2B733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Metrebian, N., Lintzeris, N., Potts, L., Carnwath, T., Mayet, S., Williams, H., Zador, D., Evers, R., Groshkova, T., Charles, V., Martin, A., &amp; Forzisi, L. (2010). Supervised injectable heroin or injectable methadone versus optimised oral methadone as treatment for chronic heroin addicts in England after persistent failure in orthodox treatment (RIOTT): a randomised trial. </w:t>
      </w:r>
      <w:r w:rsidRPr="0045157D">
        <w:rPr>
          <w:rFonts w:ascii="Arial" w:hAnsi="Arial" w:cs="Arial"/>
          <w:i/>
          <w:iCs/>
          <w:noProof/>
          <w:szCs w:val="24"/>
        </w:rPr>
        <w:t>The Lancet</w:t>
      </w:r>
      <w:r w:rsidRPr="0045157D">
        <w:rPr>
          <w:rFonts w:ascii="Arial" w:hAnsi="Arial" w:cs="Arial"/>
          <w:noProof/>
          <w:szCs w:val="24"/>
        </w:rPr>
        <w:t>. https://doi.org/10.1016/S0140-6736(10)60349-2</w:t>
      </w:r>
    </w:p>
    <w:p w14:paraId="4FEFC90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Tanum, L., Solli, K. K., Latif, Z. E. H., Benth, J. Š., Opheim, A., Sharma-Haase, K., Krajci, P., &amp; Kunøe, N. (2017). Effectiveness of injectable extended-release naltrexone vs daily buprenorphine-naloxone for opioid dependence: A randomized clinical noninferiority trial. </w:t>
      </w:r>
      <w:r w:rsidRPr="0045157D">
        <w:rPr>
          <w:rFonts w:ascii="Arial" w:hAnsi="Arial" w:cs="Arial"/>
          <w:i/>
          <w:iCs/>
          <w:noProof/>
          <w:szCs w:val="24"/>
        </w:rPr>
        <w:t>JAMA Psychiatry</w:t>
      </w:r>
      <w:r w:rsidRPr="0045157D">
        <w:rPr>
          <w:rFonts w:ascii="Arial" w:hAnsi="Arial" w:cs="Arial"/>
          <w:noProof/>
          <w:szCs w:val="24"/>
        </w:rPr>
        <w:t>. https://doi.org/10.1001/jamapsychiatry.2017.3206</w:t>
      </w:r>
    </w:p>
    <w:p w14:paraId="3CFF759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Wolstein, J., Gastpar, M., Finkbeiner, T., Heinrich, C., Heitkamp, R., Poehlke, T., &amp; Scherbaum, N. (2009). A randomized, open-label trial comparing methadone and Levo-Alpha- Acetylmethadol (LAAM) in maintenance treatment of opioid addiction. </w:t>
      </w:r>
      <w:r w:rsidRPr="0045157D">
        <w:rPr>
          <w:rFonts w:ascii="Arial" w:hAnsi="Arial" w:cs="Arial"/>
          <w:i/>
          <w:iCs/>
          <w:noProof/>
          <w:szCs w:val="24"/>
        </w:rPr>
        <w:t>Pharmacopsychiatry</w:t>
      </w:r>
      <w:r w:rsidRPr="0045157D">
        <w:rPr>
          <w:rFonts w:ascii="Arial" w:hAnsi="Arial" w:cs="Arial"/>
          <w:noProof/>
          <w:szCs w:val="24"/>
        </w:rPr>
        <w:t>. https://doi.org/10.1055/s-0028-1083818</w:t>
      </w:r>
    </w:p>
    <w:p w14:paraId="2F4F2B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Woody, G. E., Poole, S. A., Subramaniam, G., Dugosh, K., Bogenschutz, M., Abbott, P., Patkar, A., Publicker, M., McCain, K., Potter, J. S., Forman, R., Vetter, V., McNicholas, L., Blaine, J., Lynch, K. G., &amp; Fudala, P. (2008). Extended vs short-term buprenorphine-naloxone for treatment of opioid-addicted youth A randomized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https://doi.org/10.1001/jama.2008.574</w:t>
      </w:r>
    </w:p>
    <w:p w14:paraId="0B477AB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rPr>
      </w:pPr>
      <w:r w:rsidRPr="0045157D">
        <w:rPr>
          <w:rFonts w:ascii="Arial" w:hAnsi="Arial" w:cs="Arial"/>
          <w:noProof/>
          <w:szCs w:val="24"/>
        </w:rPr>
        <w:t xml:space="preserve">Zaks, A., Fink, M., &amp; Freedman, A. M. (1972). Levomethadyl in Maintenance Treatment of Opiate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https://doi.org/10.1001/jama.1972.03200060039005</w:t>
      </w:r>
    </w:p>
    <w:p w14:paraId="5841D109" w14:textId="45FBC374" w:rsidR="00EE7535" w:rsidRPr="00EE7535" w:rsidRDefault="00EE7535">
      <w:pPr>
        <w:rPr>
          <w:rFonts w:ascii="Arial" w:hAnsi="Arial" w:cs="Arial"/>
          <w:lang w:val="en-US"/>
        </w:rPr>
      </w:pPr>
      <w:r>
        <w:rPr>
          <w:rFonts w:ascii="Arial" w:hAnsi="Arial" w:cs="Arial"/>
          <w:lang w:val="en-US"/>
        </w:rPr>
        <w:fldChar w:fldCharType="end"/>
      </w:r>
    </w:p>
    <w:sectPr w:rsidR="00EE7535" w:rsidRPr="00EE7535" w:rsidSect="00D115A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t, Laura">
    <w15:presenceInfo w15:providerId="AD" w15:userId="S::lb3227@cumc.columbia.edu::5d455b4e-357f-4ba8-9bc3-ebdf61fa1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4"/>
    <w:rsid w:val="001757EE"/>
    <w:rsid w:val="00257961"/>
    <w:rsid w:val="00277AEF"/>
    <w:rsid w:val="0045157D"/>
    <w:rsid w:val="004E7614"/>
    <w:rsid w:val="009031A3"/>
    <w:rsid w:val="009703CF"/>
    <w:rsid w:val="009A18EB"/>
    <w:rsid w:val="00A57CB6"/>
    <w:rsid w:val="00C15584"/>
    <w:rsid w:val="00D115A4"/>
    <w:rsid w:val="00EE75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E7F"/>
  <w15:chartTrackingRefBased/>
  <w15:docId w15:val="{9037DC26-F286-4F83-A0F8-C5C8677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15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1D21-64E5-42AC-9C0E-3BF7830D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33346</Words>
  <Characters>190078</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Brandt, Laura</cp:lastModifiedBy>
  <cp:revision>2</cp:revision>
  <dcterms:created xsi:type="dcterms:W3CDTF">2021-12-21T22:16:00Z</dcterms:created>
  <dcterms:modified xsi:type="dcterms:W3CDTF">2021-12-21T22:16:00Z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http://www.zotero.org/styles/addictive-behaviors</vt:lpwstr>
  </property>
  <property fmtid="{D5CDD505-2E9C-101B-9397-08002B2CF9AE}" pid="6" name="Mendeley Recent Style Name 0_1">
    <vt:lpwstr>Addictive Behaviors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http://www.zotero.org/styles/drug-and-alcohol-dependence</vt:lpwstr>
  </property>
  <property fmtid="{D5CDD505-2E9C-101B-9397-08002B2CF9AE}" pid="18" name="Mendeley Recent Style Name 6_1">
    <vt:lpwstr>Drug and Alcohol Dependence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