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3588"/>
            </w:pPr>
          </w:p>
          <w:p>
            <w:pPr>
              <w:pBdr>
                <w:bottom w:val="single" w:color="D4875A" w:sz="6" w:space="8"/>
              </w:pBdr>
              <w:spacing w:after="500"/>
              <w:ind w:left="800" w:right="1200"/>
              <w:jc w:val="right"/>
            </w:pPr>
            <w:r>
              <w:rPr>
                <w:rFonts w:ascii="Arial" w:cs="Arial" w:eastAsia="Arial" w:hAnsi="Arial"/>
                <w:color w:val="D4875A"/>
                <w:spacing w:val="40"/>
                <w:sz w:val="18"/>
                <w:szCs w:val="18"/>
              </w:rPr>
              <w:t xml:space="preserve">N E X U S L I N K   P R O D U C T   R O A D M A P</w:t>
            </w:r>
          </w:p>
          <w:p>
            <w:pPr>
              <w:bidi/>
              <w:spacing w:after="100" w:line="920" w:lineRule="atLeast"/>
              <w:ind w:left="800" w:right="1200"/>
              <w:jc w:val="left"/>
            </w:pPr>
            <w:r>
              <w:rPr>
                <w:rFonts w:ascii="Arial" w:cs="Arial" w:eastAsia="Arial" w:hAnsi="Arial"/>
                <w:b/>
                <w:bCs/>
                <w:color w:val="FFFFFF"/>
                <w:sz w:val="80"/>
                <w:szCs w:val="80"/>
                <w:rtl/>
              </w:rPr>
              <w:t xml:space="preserve">خارطة الطريق</w:t>
            </w:r>
          </w:p>
          <w:p>
            <w:pPr>
              <w:bidi/>
              <w:spacing w:after="100" w:line="920" w:lineRule="atLeast"/>
              <w:ind w:left="800" w:right="1200"/>
              <w:jc w:val="left"/>
            </w:pPr>
            <w:r>
              <w:rPr>
                <w:rFonts w:ascii="Arial" w:cs="Arial" w:eastAsia="Arial" w:hAnsi="Arial"/>
                <w:b/>
                <w:bCs/>
                <w:color w:val="FFFFFF"/>
                <w:sz w:val="80"/>
                <w:szCs w:val="80"/>
                <w:rtl/>
              </w:rPr>
              <w:t xml:space="preserve">الشاملة لتطوير</w:t>
            </w:r>
          </w:p>
          <w:p>
            <w:pPr>
              <w:bidi/>
              <w:spacing w:after="300" w:line="920" w:lineRule="atLeast"/>
              <w:ind w:left="800" w:right="1200"/>
              <w:jc w:val="left"/>
            </w:pPr>
            <w:r>
              <w:rPr>
                <w:rFonts w:ascii="Arial" w:cs="Arial" w:eastAsia="Arial" w:hAnsi="Arial"/>
                <w:b/>
                <w:bCs/>
                <w:color w:val="FFFFFF"/>
                <w:sz w:val="80"/>
                <w:szCs w:val="80"/>
                <w:rtl/>
              </w:rPr>
              <w:t xml:space="preserve">NexusLink</w:t>
            </w:r>
          </w:p>
          <w:p>
            <w:pPr>
              <w:bidi/>
              <w:spacing w:after="800"/>
              <w:ind w:left="800" w:right="1200"/>
              <w:jc w:val="left"/>
            </w:pPr>
            <w:r>
              <w:rPr>
                <w:rFonts w:ascii="Arial" w:cs="Arial" w:eastAsia="Arial" w:hAnsi="Arial"/>
                <w:color w:val="B0B8C0"/>
                <w:sz w:val="24"/>
                <w:szCs w:val="24"/>
                <w:rtl/>
              </w:rPr>
              <w:t xml:space="preserve">من منصة ربط أجهزة محلية إلى منظومة لا تُنافَس — خمس مراحل وخمسة خنادق تنافسية</w:t>
            </w:r>
          </w:p>
          <w:p>
            <w:pPr>
              <w:pBdr>
                <w:right w:val="single" w:color="D4875A" w:sz="8" w:space="12"/>
              </w:pBdr>
              <w:bidi/>
              <w:spacing w:after="80"/>
              <w:ind w:left="800" w:right="1400"/>
              <w:jc w:val="left"/>
            </w:pPr>
            <w:r>
              <w:rPr>
                <w:rFonts w:ascii="Arial" w:cs="Arial" w:eastAsia="Arial" w:hAnsi="Arial"/>
                <w:color w:val="90989F"/>
                <w:sz w:val="24"/>
                <w:szCs w:val="24"/>
                <w:rtl/>
              </w:rPr>
              <w:t xml:space="preserve">الإصدار المرجعي: v1.2.0-fix2 — أكتوبر 2026</w:t>
            </w:r>
          </w:p>
          <w:p>
            <w:pPr>
              <w:pBdr>
                <w:right w:val="single" w:color="D4875A" w:sz="8" w:space="12"/>
              </w:pBdr>
              <w:bidi/>
              <w:spacing w:after="80"/>
              <w:ind w:left="800" w:right="1400"/>
              <w:jc w:val="left"/>
            </w:pPr>
            <w:r>
              <w:rPr>
                <w:rFonts w:ascii="Arial" w:cs="Arial" w:eastAsia="Arial" w:hAnsi="Arial"/>
                <w:color w:val="90989F"/>
                <w:sz w:val="24"/>
                <w:szCs w:val="24"/>
                <w:rtl/>
              </w:rPr>
              <w:t xml:space="preserve">إعداد: مكتب الرئيس التنفيذي للتقنية (CTO)</w:t>
            </w:r>
          </w:p>
          <w:p>
            <w:pPr>
              <w:pBdr>
                <w:right w:val="single" w:color="D4875A" w:sz="8" w:space="12"/>
              </w:pBdr>
              <w:bidi/>
              <w:spacing w:after="80"/>
              <w:ind w:left="800" w:right="1400"/>
              <w:jc w:val="left"/>
            </w:pPr>
            <w:r>
              <w:rPr>
                <w:rFonts w:ascii="Arial" w:cs="Arial" w:eastAsia="Arial" w:hAnsi="Arial"/>
                <w:color w:val="90989F"/>
                <w:sz w:val="24"/>
                <w:szCs w:val="24"/>
                <w:rtl/>
              </w:rPr>
              <w:t xml:space="preserve">النطاق: المنتج والهندسة والمنافسة — أفق 30 شهرًا</w:t>
            </w:r>
          </w:p>
          <w:p>
            <w:pPr>
              <w:pBdr>
                <w:right w:val="single" w:color="D4875A" w:sz="8" w:space="12"/>
              </w:pBdr>
              <w:bidi/>
              <w:spacing w:after="80"/>
              <w:ind w:left="800" w:right="1400"/>
              <w:jc w:val="left"/>
            </w:pPr>
            <w:r>
              <w:rPr>
                <w:rFonts w:ascii="Arial" w:cs="Arial" w:eastAsia="Arial" w:hAnsi="Arial"/>
                <w:color w:val="90989F"/>
                <w:sz w:val="24"/>
                <w:szCs w:val="24"/>
                <w:rtl/>
              </w:rPr>
              <w:t xml:space="preserve">التصنيف: داخلي — وثيقة استراتيجية حية تُراجع ربعيًا</w:t>
            </w:r>
          </w:p>
          <w:p>
            <w:pPr>
              <w:spacing w:before="3588"/>
            </w:pPr>
          </w:p>
          <w:p>
            <w:pPr>
              <w:pBdr>
                <w:top w:val="single" w:color="D4875A" w:sz="2" w:space="8"/>
              </w:pBdr>
              <w:bidi/>
              <w:spacing w:before="200"/>
              <w:ind w:left="800" w:right="1200"/>
              <w:jc w:val="left"/>
            </w:pPr>
            <w:r>
              <w:rPr>
                <w:rFonts w:ascii="Arial" w:cs="Arial" w:eastAsia="Arial" w:hAnsi="Arial"/>
                <w:color w:val="687078"/>
                <w:sz w:val="16"/>
                <w:szCs w:val="16"/>
                <w:rtl/>
              </w:rPr>
              <w:t xml:space="preserve">أكتوبر 2026</w:t>
            </w:r>
            <w:r>
              <w:rPr>
                <w:rFonts w:ascii="Arial" w:cs="Arial" w:eastAsia="Arial" w:hAnsi="Arial"/>
              </w:rPr>
              <w:t xml:space="preserve">                                        </w:t>
            </w:r>
            <w:r>
              <w:rPr>
                <w:rFonts w:ascii="Arial" w:cs="Arial" w:eastAsia="Arial" w:hAnsi="Arial"/>
                <w:color w:val="687078"/>
                <w:sz w:val="16"/>
                <w:szCs w:val="16"/>
              </w:rPr>
              <w:t xml:space="preserve">CTO-DRS · NexusLink</w:t>
            </w:r>
          </w:p>
        </w:tc>
      </w:tr>
    </w:tbl>
    <w:p>
      <w:pPr>
        <w:sectPr>
          <w:pgSz w:w="11906" w:h="16838" w:orient="portrait"/>
          <w:pgMar w:top="0" w:right="0" w:bottom="0" w:left="0" w:header="708" w:footer="708" w:gutter="0"/>
          <w:docGrid w:linePitch="360"/>
        </w:sectPr>
      </w:pPr>
    </w:p>
    <w:p>
      <w:pPr>
        <w:spacing w:after="360" w:before="480" w:line="480" w:lineRule="atLeast"/>
        <w:jc w:val="center"/>
      </w:pPr>
      <w:r>
        <w:rPr>
          <w:rFonts w:ascii="Arial" w:cs="Arial" w:eastAsia="Arial" w:hAnsi="Arial"/>
          <w:b/>
          <w:bCs/>
          <w:color w:val="1A2330"/>
          <w:sz w:val="32"/>
          <w:szCs w:val="32"/>
          <w:rtl/>
        </w:rPr>
        <w:t xml:space="preserve">المحتويات</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أولًا — الملخص التنفيذي</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أولًا — الملخص التنفيذي</w:t>
          </w:r>
          <w:r>
            <w:tab/>
          </w:r>
          <w:r>
            <w:t>1</w:t>
          </w:r>
        </w:p>
        <w:p>
          <w:pPr>
            <w:pStyle w:val="9"/>
            <w:tabs>
              <w:tab w:val="right" w:leader="dot" w:pos="9026"/>
            </w:tabs>
            <w:spacing w:before="120" w:after="60"/>
          </w:pPr>
          <w:r>
            <w:t>ثانيًا — الوضع الحالي: جرد القدرات وموقع المنافسة</w:t>
          </w:r>
          <w:r>
            <w:tab/>
          </w:r>
          <w:r>
            <w:t>2</w:t>
          </w:r>
        </w:p>
        <w:p>
          <w:pPr>
            <w:pStyle w:val="11"/>
            <w:ind w:left="360"/>
            <w:tabs>
              <w:tab w:val="right" w:leader="dot" w:pos="9026"/>
            </w:tabs>
            <w:spacing w:before="120" w:after="60"/>
          </w:pPr>
          <w:r>
            <w:t>2.1 جرد القدرات: تسعة محاور تعمل فعلًا</w:t>
          </w:r>
          <w:r>
            <w:tab/>
          </w:r>
          <w:r>
            <w:t>2</w:t>
          </w:r>
        </w:p>
        <w:p>
          <w:pPr>
            <w:pStyle w:val="11"/>
            <w:ind w:left="360"/>
            <w:tabs>
              <w:tab w:val="right" w:leader="dot" w:pos="9026"/>
            </w:tabs>
            <w:spacing w:before="120" w:after="60"/>
          </w:pPr>
          <w:r>
            <w:t>2.2 الأصول النوعية التي لا تظهر في قائمة الميزات</w:t>
          </w:r>
          <w:r>
            <w:tab/>
          </w:r>
          <w:r>
            <w:t>2</w:t>
          </w:r>
        </w:p>
        <w:p>
          <w:pPr>
            <w:pStyle w:val="11"/>
            <w:ind w:left="360"/>
            <w:tabs>
              <w:tab w:val="right" w:leader="dot" w:pos="9026"/>
            </w:tabs>
            <w:spacing w:before="120" w:after="60"/>
          </w:pPr>
          <w:r>
            <w:t>2.3 خريطة المنافسة والفراغ الاستراتيجي</w:t>
          </w:r>
          <w:r>
            <w:tab/>
          </w:r>
          <w:r>
            <w:t>3</w:t>
          </w:r>
        </w:p>
        <w:p>
          <w:pPr>
            <w:pStyle w:val="11"/>
            <w:ind w:left="360"/>
            <w:tabs>
              <w:tab w:val="right" w:leader="dot" w:pos="9026"/>
            </w:tabs>
            <w:spacing w:before="120" w:after="60"/>
          </w:pPr>
          <w:r>
            <w:t>2.4 حدود صادقة: أين نضعف اليوم</w:t>
          </w:r>
          <w:r>
            <w:tab/>
          </w:r>
          <w:r>
            <w:t>3</w:t>
          </w:r>
        </w:p>
        <w:p>
          <w:pPr>
            <w:pStyle w:val="9"/>
            <w:tabs>
              <w:tab w:val="right" w:leader="dot" w:pos="9026"/>
            </w:tabs>
            <w:spacing w:before="120" w:after="60"/>
          </w:pPr>
          <w:r>
            <w:t>ثالثًا — الرؤية والأهداف الاستراتيجية</w:t>
          </w:r>
          <w:r>
            <w:tab/>
          </w:r>
          <w:r>
            <w:t>3</w:t>
          </w:r>
        </w:p>
        <w:p>
          <w:pPr>
            <w:pStyle w:val="9"/>
            <w:tabs>
              <w:tab w:val="right" w:leader="dot" w:pos="9026"/>
            </w:tabs>
            <w:spacing w:before="120" w:after="60"/>
          </w:pPr>
          <w:r>
            <w:t>رابعًا — الخنادق التنافسية الخمسة</w:t>
          </w:r>
          <w:r>
            <w:tab/>
          </w:r>
          <w:r>
            <w:t>4</w:t>
          </w:r>
        </w:p>
        <w:p>
          <w:pPr>
            <w:pStyle w:val="11"/>
            <w:ind w:left="360"/>
            <w:tabs>
              <w:tab w:val="right" w:leader="dot" w:pos="9026"/>
            </w:tabs>
            <w:spacing w:before="120" w:after="60"/>
          </w:pPr>
          <w:r>
            <w:t>4.1 لماذا لا يستطيع الخصم السحابي تقليد الخصوصية المعمارية</w:t>
          </w:r>
          <w:r>
            <w:tab/>
          </w:r>
          <w:r>
            <w:t>4</w:t>
          </w:r>
        </w:p>
        <w:p>
          <w:pPr>
            <w:pStyle w:val="11"/>
            <w:ind w:left="360"/>
            <w:tabs>
              <w:tab w:val="right" w:leader="dot" w:pos="9026"/>
            </w:tabs>
            <w:spacing w:before="120" w:after="60"/>
          </w:pPr>
          <w:r>
            <w:t>4.2 محرك الأتمتة التاريخية: ملكية فكرية حية</w:t>
          </w:r>
          <w:r>
            <w:tab/>
          </w:r>
          <w:r>
            <w:t>4</w:t>
          </w:r>
        </w:p>
        <w:p>
          <w:pPr>
            <w:pStyle w:val="9"/>
            <w:tabs>
              <w:tab w:val="right" w:leader="dot" w:pos="9026"/>
            </w:tabs>
            <w:spacing w:before="120" w:after="60"/>
          </w:pPr>
          <w:r>
            <w:t>خامسًا — خارطة الطريق: المراحل الخمس تفصيلًا</w:t>
          </w:r>
          <w:r>
            <w:tab/>
          </w:r>
          <w:r>
            <w:t>5</w:t>
          </w:r>
        </w:p>
        <w:p>
          <w:pPr>
            <w:pStyle w:val="11"/>
            <w:ind w:left="360"/>
            <w:tabs>
              <w:tab w:val="right" w:leader="dot" w:pos="9026"/>
            </w:tabs>
            <w:spacing w:before="120" w:after="60"/>
          </w:pPr>
          <w:r>
            <w:t>5.1 المرحلة M0 — التأسيس المرصود (الشهور 0 إلى 3)</w:t>
          </w:r>
          <w:r>
            <w:tab/>
          </w:r>
          <w:r>
            <w:t>5</w:t>
          </w:r>
        </w:p>
        <w:p>
          <w:pPr>
            <w:pStyle w:val="11"/>
            <w:ind w:left="360"/>
            <w:tabs>
              <w:tab w:val="right" w:leader="dot" w:pos="9026"/>
            </w:tabs>
            <w:spacing w:before="120" w:after="60"/>
          </w:pPr>
          <w:r>
            <w:t>5.2 المرحلة M1 — التجربة التي لا تُنسى (الشهور 3 إلى 9)</w:t>
          </w:r>
          <w:r>
            <w:tab/>
          </w:r>
          <w:r>
            <w:t>5</w:t>
          </w:r>
        </w:p>
        <w:p>
          <w:pPr>
            <w:pStyle w:val="11"/>
            <w:ind w:left="360"/>
            <w:tabs>
              <w:tab w:val="right" w:leader="dot" w:pos="9026"/>
            </w:tabs>
            <w:spacing w:before="120" w:after="60"/>
          </w:pPr>
          <w:r>
            <w:t>5.3 المرحلة M2 — الذكاء المحلي (الشهور 9 إلى 15)</w:t>
          </w:r>
          <w:r>
            <w:tab/>
          </w:r>
          <w:r>
            <w:t>6</w:t>
          </w:r>
        </w:p>
        <w:p>
          <w:pPr>
            <w:pStyle w:val="11"/>
            <w:ind w:left="360"/>
            <w:tabs>
              <w:tab w:val="right" w:leader="dot" w:pos="9026"/>
            </w:tabs>
            <w:spacing w:before="120" w:after="60"/>
          </w:pPr>
          <w:r>
            <w:t>5.4 المرحلة M3 — المنظومة المفتوحة (الشهور 15 إلى 21)</w:t>
          </w:r>
          <w:r>
            <w:tab/>
          </w:r>
          <w:r>
            <w:t>6</w:t>
          </w:r>
        </w:p>
        <w:p>
          <w:pPr>
            <w:pStyle w:val="11"/>
            <w:ind w:left="360"/>
            <w:tabs>
              <w:tab w:val="right" w:leader="dot" w:pos="9026"/>
            </w:tabs>
            <w:spacing w:before="120" w:after="60"/>
          </w:pPr>
          <w:r>
            <w:t>5.5 المرحلة M4 — الثقل المؤسسي (الشهور 21 إلى 30)</w:t>
          </w:r>
          <w:r>
            <w:tab/>
          </w:r>
          <w:r>
            <w:t>6</w:t>
          </w:r>
        </w:p>
        <w:p>
          <w:pPr>
            <w:pStyle w:val="9"/>
            <w:tabs>
              <w:tab w:val="right" w:leader="dot" w:pos="9026"/>
            </w:tabs>
            <w:spacing w:before="120" w:after="60"/>
          </w:pPr>
          <w:r>
            <w:t>سادسًا — الحوكمة وإيقاع الإصدار</w:t>
          </w:r>
          <w:r>
            <w:tab/>
          </w:r>
          <w:r>
            <w:t>7</w:t>
          </w:r>
        </w:p>
        <w:p>
          <w:pPr>
            <w:pStyle w:val="9"/>
            <w:tabs>
              <w:tab w:val="right" w:leader="dot" w:pos="9026"/>
            </w:tabs>
            <w:spacing w:before="120" w:after="60"/>
          </w:pPr>
          <w:r>
            <w:t>سابعًا — المخاطر وخطة التخفيف</w:t>
          </w:r>
          <w:r>
            <w:tab/>
          </w:r>
          <w:r>
            <w:t>7</w:t>
          </w:r>
        </w:p>
        <w:p>
          <w:pPr>
            <w:pStyle w:val="9"/>
            <w:tabs>
              <w:tab w:val="right" w:leader="dot" w:pos="9026"/>
            </w:tabs>
            <w:spacing w:before="120" w:after="60"/>
          </w:pPr>
          <w:r>
            <w:t>ثامنًا — المؤشرات والفوائد المتوقعة</w:t>
          </w:r>
          <w:r>
            <w:tab/>
          </w:r>
          <w:r>
            <w:t>8</w:t>
          </w:r>
        </w:p>
        <w:p>
          <w:pPr>
            <w:pStyle w:val="9"/>
            <w:tabs>
              <w:tab w:val="right" w:leader="dot" w:pos="9026"/>
            </w:tabs>
            <w:spacing w:before="120" w:after="60"/>
          </w:pPr>
          <w:r>
            <w:t>تاسعًا — التوصيات التنفيذية والخطوات الفورية</w:t>
          </w:r>
          <w:r>
            <w:tab/>
          </w:r>
          <w:r>
            <w:t>9</w:t>
          </w:r>
        </w:p>
        <w:p>
          <w:r>
            <w:fldChar w:fldCharType="end"/>
          </w:r>
        </w:p>
      </w:sdtContent>
    </w:sdt>
    <w:p>
      <w:pPr>
        <w:bidi/>
        <w:spacing w:before="200"/>
        <w:jc w:val="left"/>
        <w:sectPr>
          <w:footerReference w:type="default" r:id="rId6"/>
          <w:type w:val="nextPage"/>
          <w:pgSz w:w="11906" w:h="16838" w:orient="portrait"/>
          <w:pgMar w:top="1440" w:right="1417" w:bottom="1440" w:left="1701" w:header="708" w:footer="708" w:gutter="0"/>
          <w:pgNumType w:start="1" w:fmt="upperRoman"/>
          <w:docGrid w:linePitch="360"/>
        </w:sectPr>
      </w:pPr>
      <w:r>
        <w:rPr>
          <w:rFonts w:ascii="Arial" w:cs="Arial" w:eastAsia="Arial" w:hAnsi="Arial"/>
          <w:i/>
          <w:iCs/>
          <w:color w:val="888888"/>
          <w:sz w:val="18"/>
          <w:szCs w:val="18"/>
          <w:rtl/>
        </w:rPr>
        <w:t xml:space="preserve">ملاحظة: جدول المحتويات هذا مولّد بحقول آلية؛ بعد أي تعديل على الوثيقة انقر بزر الفأرة الأيمن على الجدول واختر «تحديث الحقل» لضمان دقة أرقام الصفحات.</w:t>
      </w:r>
    </w:p>
    <w:p>
      <w:pPr>
        <w:pStyle w:val="Heading1"/>
        <w:bidi/>
        <w:spacing w:after="160" w:before="360" w:line="312"/>
        <w:jc w:val="center"/>
      </w:pPr>
      <w:bookmarkStart w:name="_Toc1" w:id="1"/>
      <w:r>
        <w:rPr>
          <w:rFonts w:ascii="Arial" w:cs="Arial" w:eastAsia="Arial" w:hAnsi="Arial"/>
          <w:b/>
          <w:bCs/>
          <w:color w:val="1A2330"/>
          <w:sz w:val="32"/>
          <w:szCs w:val="32"/>
          <w:rtl/>
        </w:rPr>
        <w:t xml:space="preserve">أولًا — الملخص التنفيذي</w:t>
      </w:r>
      <w:bookmarkEnd w:id="1"/>
    </w:p>
    <w:p>
      <w:pPr>
        <w:bidi/>
        <w:spacing w:after="120" w:line="312"/>
        <w:jc w:val="both"/>
      </w:pPr>
      <w:r>
        <w:rPr>
          <w:rFonts w:ascii="Arial" w:cs="Arial" w:eastAsia="Arial" w:hAnsi="Arial"/>
          <w:color w:val="000000"/>
          <w:sz w:val="24"/>
          <w:szCs w:val="24"/>
          <w:rtl/>
        </w:rPr>
        <w:t xml:space="preserve">يقف NexusLink اليوم في موقع نادر على خريطة البرمجيات: منظومة تقارب أجهزة كاملة تعمل محليًا على شبكة المستخدم، بلا سحابة وبلا حسابات، وتغطي تسعة محاور قدرة حقيقية تتراوح من المراسلات والتحكم عن بُعد إلى الحماية والأتمتة الذكية. الإصدار المرجعي لهذه الوثيقة هو v1.2.0-fix2، وهو إصدار ناضج هندسيًا: خمس منصات إصدار حي (Windows وmacOS وLinux وأندرويد والويب)، و585 اختبار E2E أخضر على سير تكامل خماسي، و17 أصل إصداري موقّع ببصمات SHA256SUMS، وصفحة نشر حية تُحدَّث تلقائيًا مع كل إصدار. هذه البنية التحتية للجودة ليست ترفًا؛ إنها الأرضية التي تُبنى عليها خارطة الطريق كلها، لأن السباق القادم سوقٌ يُكسب بالثقة والعمق لا بعدد الميزات.</w:t>
      </w:r>
    </w:p>
    <w:p>
      <w:pPr>
        <w:bidi/>
        <w:spacing w:after="120" w:line="312"/>
        <w:jc w:val="both"/>
      </w:pPr>
      <w:r>
        <w:rPr>
          <w:rFonts w:ascii="Arial" w:cs="Arial" w:eastAsia="Arial" w:hAnsi="Arial"/>
          <w:color w:val="000000"/>
          <w:sz w:val="24"/>
          <w:szCs w:val="24"/>
          <w:rtl/>
        </w:rPr>
        <w:t xml:space="preserve">توقيت هذا التحول الاستراتيجي ليس اعتباطيًا. فُتح فراغ تنافسي حقيقي خلال السنوات الأخيرة: أعلنت Intel إنهاء أداة Unison بحلول نهاية 2025، وكانت Dell قد أنهت Mobile Connect قبلها، بينما بقيت البدائل الكبرى مقيدة بحدود منصاتها — «ربط الهاتف» من مايكروسوفت يخدم Windows وأندرويد حصرًا، و«التسليم» (Handoff) من أبل محصور في نظمها المغلقة. أما الخصوم السحابيون مثل AirDroid فيبيعون راحة على حساب الخصوصية عبر اشتراكات ووسيطة سحابية. لا أحد اليوم يجمع في منتج واحد: خصوصية معمارية بلا وسيط، وعمق تحكم عبر المنصات، وحماية أجهزة، وأتمتة ذكية تاريخية. هذا الفراغ هو نافذة NexusLink.</w:t>
      </w:r>
    </w:p>
    <w:p>
      <w:pPr>
        <w:bidi/>
        <w:spacing w:after="120" w:line="312"/>
        <w:jc w:val="both"/>
      </w:pPr>
      <w:r>
        <w:rPr>
          <w:rFonts w:ascii="Arial" w:cs="Arial" w:eastAsia="Arial" w:hAnsi="Arial"/>
          <w:color w:val="000000"/>
          <w:sz w:val="24"/>
          <w:szCs w:val="24"/>
          <w:rtl/>
        </w:rPr>
        <w:t xml:space="preserve">تُنظم هذه الوثيقة الرحلة القادمة في خمس مراحل عبر 30 شهرًا، لكل مرحلة هدف أكبر واحد ومعايير خروج قابلة للقياس، وكلها تخدم عقيدة واحدة: كل ميزة جديدة يجب أن تعمّق خندقًا تنافسيًا واحدًا على الأقل، وما لا يفعله يُرفض مهما بدت جاذبيته. المراحل تتدرج من تثبيت الثقة (التوقيع والتدقيق)، إلى تجربة لا تُنسى (القيمة في 30 ثانية)، إلى ذكاء محلي استباقي، إلى منظومة مفتوحة تصنع تأثير شبكة، وصولًا إلى ثقل مؤسسي يجعل كلفة استبدال المنتج أعلى من كلفة البقاء معه. الجدول التالي يلخص الهيكل كاملًا قبل التفصيل.</w:t>
      </w:r>
    </w:p>
    <w:p>
      <w:pPr>
        <w:keepNext/>
        <w:bidi/>
        <w:spacing w:after="100" w:before="160" w:line="312"/>
        <w:jc w:val="center"/>
      </w:pPr>
      <w:r>
        <w:rPr>
          <w:rFonts w:ascii="Arial" w:cs="Arial" w:eastAsia="Arial" w:hAnsi="Arial"/>
          <w:b/>
          <w:bCs/>
          <w:color w:val="505A66"/>
          <w:sz w:val="21"/>
          <w:szCs w:val="21"/>
          <w:rtl/>
        </w:rPr>
        <w:t xml:space="preserve">جدول 1: هيكل خارطة الطريق — خمس مراحل عبر 30 شهرًا</w:t>
      </w:r>
    </w:p>
    <w:tbl>
      <w:tblPr>
        <w:bidiVisual/>
        <w:tblW w:type="pct" w:w="5000"/>
        <w:tblBorders>
          <w:top w:val="single" w:color="D4875A" w:sz="4"/>
          <w:left w:val="none" w:color="FFFFFF" w:sz="0"/>
          <w:bottom w:val="single" w:color="D4875A" w:sz="4"/>
          <w:right w:val="none" w:color="FFFFFF" w:sz="0"/>
          <w:insideH w:val="single" w:color="DDD0C8" w:sz="2"/>
          <w:insideV w:val="none" w:color="FFFFFF" w:sz="0"/>
        </w:tblBorders>
      </w:tblPr>
      <w:tblGrid>
        <w:gridCol w:w="1230"/>
        <w:gridCol w:w="1758"/>
        <w:gridCol w:w="3164"/>
        <w:gridCol w:w="2636"/>
      </w:tblGrid>
      <w:tr>
        <w:trPr>
          <w:cantSplit/>
          <w:tblHeader/>
        </w:trPr>
        <w:tc>
          <w:tcPr>
            <w:tcW w:type="pct" w:w="7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المرحلة</w:t>
            </w:r>
          </w:p>
        </w:tc>
        <w:tc>
          <w:tcPr>
            <w:tcW w:type="pct" w:w="10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الإطار الزمني</w:t>
            </w:r>
          </w:p>
        </w:tc>
        <w:tc>
          <w:tcPr>
            <w:tcW w:type="pct" w:w="18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الهدف الأكبر</w:t>
            </w:r>
          </w:p>
        </w:tc>
        <w:tc>
          <w:tcPr>
            <w:tcW w:type="pct" w:w="15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الخندق المعمَّق</w:t>
            </w:r>
          </w:p>
        </w:tc>
      </w:tr>
      <w:tr>
        <w:trPr>
          <w:cantSplit/>
        </w:trPr>
        <w:tc>
          <w:tcPr>
            <w:tcW w:type="pct" w:w="7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M0 التأسيس المرصود</w:t>
            </w:r>
          </w:p>
        </w:tc>
        <w:tc>
          <w:tcPr>
            <w:tcW w:type="pct" w:w="10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الشهور 0 – 3</w:t>
            </w:r>
          </w:p>
        </w:tc>
        <w:tc>
          <w:tcPr>
            <w:tcW w:type="pct" w:w="18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ثقة لا تُناقش: توقيع وتدقيق ونشر بلا تحذيرات</w:t>
            </w:r>
          </w:p>
        </w:tc>
        <w:tc>
          <w:tcPr>
            <w:tcW w:type="pct" w:w="15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الخصوصية المعمارية</w:t>
            </w:r>
          </w:p>
        </w:tc>
      </w:tr>
      <w:tr>
        <w:trPr>
          <w:cantSplit/>
        </w:trPr>
        <w:tc>
          <w:tcPr>
            <w:tcW w:type="pct" w:w="7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M1 التجربة التي لا تُنسى</w:t>
            </w:r>
          </w:p>
        </w:tc>
        <w:tc>
          <w:tcPr>
            <w:tcW w:type="pct" w:w="10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الشهور 3 – 9</w:t>
            </w:r>
          </w:p>
        </w:tc>
        <w:tc>
          <w:tcPr>
            <w:tcW w:type="pct" w:w="18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القيمة في أقل من 30 ثانية وموثوقية 99.9%</w:t>
            </w:r>
          </w:p>
        </w:tc>
        <w:tc>
          <w:tcPr>
            <w:tcW w:type="pct" w:w="15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عمق التكامل الرأسي</w:t>
            </w:r>
          </w:p>
        </w:tc>
      </w:tr>
      <w:tr>
        <w:trPr>
          <w:cantSplit/>
        </w:trPr>
        <w:tc>
          <w:tcPr>
            <w:tcW w:type="pct" w:w="7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M2 الذكاء المحلي</w:t>
            </w:r>
          </w:p>
        </w:tc>
        <w:tc>
          <w:tcPr>
            <w:tcW w:type="pct" w:w="10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الشهور 9 – 15</w:t>
            </w:r>
          </w:p>
        </w:tc>
        <w:tc>
          <w:tcPr>
            <w:tcW w:type="pct" w:w="18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استباق لا تقليد: مساعد وروتينات تاريخية أعمق</w:t>
            </w:r>
          </w:p>
        </w:tc>
        <w:tc>
          <w:tcPr>
            <w:tcW w:type="pct" w:w="15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محرك الأتمتة التاريخية</w:t>
            </w:r>
          </w:p>
        </w:tc>
      </w:tr>
      <w:tr>
        <w:trPr>
          <w:cantSplit/>
        </w:trPr>
        <w:tc>
          <w:tcPr>
            <w:tcW w:type="pct" w:w="7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M3 المنظومة المفتوحة</w:t>
            </w:r>
          </w:p>
        </w:tc>
        <w:tc>
          <w:tcPr>
            <w:tcW w:type="pct" w:w="10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الشهور 15 – 21</w:t>
            </w:r>
          </w:p>
        </w:tc>
        <w:tc>
          <w:tcPr>
            <w:tcW w:type="pct" w:w="18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تأثير شبكة عبر SDK وسوق تكاملات ومجتمع</w:t>
            </w:r>
          </w:p>
        </w:tc>
        <w:tc>
          <w:tcPr>
            <w:tcW w:type="pct" w:w="15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البنية بلا حسابات</w:t>
            </w:r>
          </w:p>
        </w:tc>
      </w:tr>
      <w:tr>
        <w:trPr>
          <w:cantSplit/>
        </w:trPr>
        <w:tc>
          <w:tcPr>
            <w:tcW w:type="pct" w:w="7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M4 الثقل المؤسسي</w:t>
            </w:r>
          </w:p>
        </w:tc>
        <w:tc>
          <w:tcPr>
            <w:tcW w:type="pct" w:w="10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الشهور 21 – 30</w:t>
            </w:r>
          </w:p>
        </w:tc>
        <w:tc>
          <w:tcPr>
            <w:tcW w:type="pct" w:w="18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منتج لا يستبدل: MDM وشهادات وشراكات OEM</w:t>
            </w:r>
          </w:p>
        </w:tc>
        <w:tc>
          <w:tcPr>
            <w:tcW w:type="pct" w:w="15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إيقاع الإصدار المقاس</w:t>
            </w:r>
          </w:p>
        </w:tc>
      </w:tr>
    </w:tbl>
    <w:p>
      <w:pPr>
        <w:spacing w:after="120"/>
      </w:pPr>
    </w:p>
    <w:p>
      <w:pPr>
        <w:pStyle w:val="Heading1"/>
        <w:bidi/>
        <w:spacing w:after="160" w:before="360" w:line="312"/>
        <w:jc w:val="center"/>
      </w:pPr>
      <w:bookmarkStart w:name="_Toc2" w:id="2"/>
      <w:r>
        <w:rPr>
          <w:rFonts w:ascii="Arial" w:cs="Arial" w:eastAsia="Arial" w:hAnsi="Arial"/>
          <w:b/>
          <w:bCs/>
          <w:color w:val="1A2330"/>
          <w:sz w:val="32"/>
          <w:szCs w:val="32"/>
          <w:rtl/>
        </w:rPr>
        <w:t xml:space="preserve">ثانيًا — الوضع الحالي: جرد القدرات وموقع المنافسة</w:t>
      </w:r>
      <w:bookmarkEnd w:id="2"/>
    </w:p>
    <w:p>
      <w:pPr>
        <w:pStyle w:val="Heading2"/>
        <w:bidi/>
        <w:spacing w:after="120" w:before="240" w:line="312"/>
        <w:jc w:val="left"/>
      </w:pPr>
      <w:bookmarkStart w:name="_Toc3" w:id="3"/>
      <w:r>
        <w:rPr>
          <w:rFonts w:ascii="Arial" w:cs="Arial" w:eastAsia="Arial" w:hAnsi="Arial"/>
          <w:b/>
          <w:bCs/>
          <w:color w:val="1A2330"/>
          <w:sz w:val="28"/>
          <w:szCs w:val="28"/>
          <w:rtl/>
        </w:rPr>
        <w:t xml:space="preserve">2.1 جرد القدرات: تسعة محاور تعمل فعلًا</w:t>
      </w:r>
      <w:bookmarkEnd w:id="3"/>
    </w:p>
    <w:p>
      <w:pPr>
        <w:bidi/>
        <w:spacing w:after="120" w:line="312"/>
        <w:jc w:val="both"/>
      </w:pPr>
      <w:r>
        <w:rPr>
          <w:rFonts w:ascii="Arial" w:cs="Arial" w:eastAsia="Arial" w:hAnsi="Arial"/>
          <w:color w:val="000000"/>
          <w:sz w:val="24"/>
          <w:szCs w:val="24"/>
          <w:rtl/>
        </w:rPr>
        <w:t xml:space="preserve">قبل رسم أي خطوة مستقبلية يجب الجزم بما بين يدينا، والجرد الواقعي للمستودع يكشف منتجًا أوسع مما يوحي به اسمه. البنية العقدية تقوم على مركز سطح مكتب (تطبيق Tauri على المنصات الثلاث) يضم خادمًا مضمّنًا على المنفذ 3000 مع جسور متخصصة للمراسلات والوسائط والتحكم (3003 حتى 3009) وبوابة موحدة على المنفذ 81 مع مسار تراجع إلى 8180، مقابل وكيل أندرويد (تطبيق Flutter) يكتشف المركز ويقترن به عبر QR. كل حركة بيانات تبقى داخل الشبكة المحلية مشفرةً طرفًا إلى طرف، ولا يمر أي بايت عبر أي خادم خارجي. الجدول التالي يلخص المحاور التسعة كما هي في الكود اليوم لا كما نودها أن تكون.</w:t>
      </w:r>
    </w:p>
    <w:p>
      <w:pPr>
        <w:keepNext/>
        <w:bidi/>
        <w:spacing w:after="100" w:before="160" w:line="312"/>
        <w:jc w:val="center"/>
      </w:pPr>
      <w:r>
        <w:rPr>
          <w:rFonts w:ascii="Arial" w:cs="Arial" w:eastAsia="Arial" w:hAnsi="Arial"/>
          <w:b/>
          <w:bCs/>
          <w:color w:val="505A66"/>
          <w:sz w:val="21"/>
          <w:szCs w:val="21"/>
          <w:rtl/>
        </w:rPr>
        <w:t xml:space="preserve">جدول 2: محاور القدرات التسعة في الإصدار v1.2.0-fix2</w:t>
      </w:r>
    </w:p>
    <w:tbl>
      <w:tblPr>
        <w:bidiVisual/>
        <w:tblW w:type="pct" w:w="5000"/>
        <w:tblBorders>
          <w:top w:val="single" w:color="D4875A" w:sz="4"/>
          <w:left w:val="none" w:color="FFFFFF" w:sz="0"/>
          <w:bottom w:val="single" w:color="D4875A" w:sz="4"/>
          <w:right w:val="none" w:color="FFFFFF" w:sz="0"/>
          <w:insideH w:val="single" w:color="DDD0C8" w:sz="2"/>
          <w:insideV w:val="none" w:color="FFFFFF" w:sz="0"/>
        </w:tblBorders>
      </w:tblPr>
      <w:tblGrid>
        <w:gridCol w:w="1933"/>
        <w:gridCol w:w="6855"/>
      </w:tblGrid>
      <w:tr>
        <w:trPr>
          <w:cantSplit/>
          <w:tblHeader/>
        </w:trPr>
        <w:tc>
          <w:tcPr>
            <w:tcW w:type="pct" w:w="11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المحور</w:t>
            </w:r>
          </w:p>
        </w:tc>
        <w:tc>
          <w:tcPr>
            <w:tcW w:type="pct" w:w="39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ما يقدمه اليوم</w:t>
            </w:r>
          </w:p>
        </w:tc>
      </w:tr>
      <w:tr>
        <w:trPr>
          <w:cantSplit/>
        </w:trPr>
        <w:tc>
          <w:tcPr>
            <w:tcW w:type="pct" w:w="11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المراسلات</w:t>
            </w:r>
          </w:p>
        </w:tc>
        <w:tc>
          <w:tcPr>
            <w:tcW w:type="pct" w:w="39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إدارة الرسائل النصية والمكالمات وسجلها وجهات الاتصال والإشعارات مع ردود سريعة ووضع عدم الإزعاج ومرآة واتساب عبر بوابة Caddy</w:t>
            </w:r>
          </w:p>
        </w:tc>
      </w:tr>
      <w:tr>
        <w:trPr>
          <w:cantSplit/>
        </w:trPr>
        <w:tc>
          <w:tcPr>
            <w:tcW w:type="pct" w:w="11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التحكم عن بُعد</w:t>
            </w:r>
          </w:p>
        </w:tc>
        <w:tc>
          <w:tcPr>
            <w:tcW w:type="pct" w:w="39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لوحة لمس ولوحة مفاتيح وماوس هوائي ويد ألعاب ومقدّم عروض وتحكم نظام وحافظة مشتركة من الهاتف إلى الحاسوب</w:t>
            </w:r>
          </w:p>
        </w:tc>
      </w:tr>
      <w:tr>
        <w:trPr>
          <w:cantSplit/>
        </w:trPr>
        <w:tc>
          <w:tcPr>
            <w:tcW w:type="pct" w:w="11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الوسائط</w:t>
            </w:r>
          </w:p>
        </w:tc>
        <w:tc>
          <w:tcPr>
            <w:tcW w:type="pct" w:w="39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كاميرا ويب ومايكروفون من الهاتف وبث شاشة ومراقبة أطفال ومعرض صور وعرض شرائح على الشاشة الكبيرة</w:t>
            </w:r>
          </w:p>
        </w:tc>
      </w:tr>
      <w:tr>
        <w:trPr>
          <w:cantSplit/>
        </w:trPr>
        <w:tc>
          <w:tcPr>
            <w:tcW w:type="pct" w:w="11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الحماية</w:t>
            </w:r>
          </w:p>
        </w:tc>
        <w:tc>
          <w:tcPr>
            <w:tcW w:type="pct" w:w="39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العثور على الهاتف ووضع الفقدان والقفل عن بُعد والمسح الآمن ووضع التخفي وتنبيه القرب وإدارة التطبيقات</w:t>
            </w:r>
          </w:p>
        </w:tc>
      </w:tr>
      <w:tr>
        <w:trPr>
          <w:cantSplit/>
        </w:trPr>
        <w:tc>
          <w:tcPr>
            <w:tcW w:type="pct" w:w="11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الأمن</w:t>
            </w:r>
          </w:p>
        </w:tc>
        <w:tc>
          <w:tcPr>
            <w:tcW w:type="pct" w:w="39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أذونات صريحة وتشفير طرف-إلى-طرف مع تبادل مفاتيح وقفل تطبيقات وسجل تدقيق وتنبيهات الغرباء</w:t>
            </w:r>
          </w:p>
        </w:tc>
      </w:tr>
      <w:tr>
        <w:trPr>
          <w:cantSplit/>
        </w:trPr>
        <w:tc>
          <w:tcPr>
            <w:tcW w:type="pct" w:w="11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النقل</w:t>
            </w:r>
          </w:p>
        </w:tc>
        <w:tc>
          <w:tcPr>
            <w:tcW w:type="pct" w:w="39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نقل ملفات بالسحب والإفلات مع جلسات تحميل قابلة للاستئناف ومعاينات مصغرة</w:t>
            </w:r>
          </w:p>
        </w:tc>
      </w:tr>
      <w:tr>
        <w:trPr>
          <w:cantSplit/>
        </w:trPr>
        <w:tc>
          <w:tcPr>
            <w:tcW w:type="pct" w:w="11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الإنتاجية</w:t>
            </w:r>
          </w:p>
        </w:tc>
        <w:tc>
          <w:tcPr>
            <w:tcW w:type="pct" w:w="39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نسخ صور الهاتف تلقائيًا إلى المركز وحافظة مشتركة وتسليم (Handoff) وملفات تعريف ومجلدات منظمة</w:t>
            </w:r>
          </w:p>
        </w:tc>
      </w:tr>
      <w:tr>
        <w:trPr>
          <w:cantSplit/>
        </w:trPr>
        <w:tc>
          <w:tcPr>
            <w:tcW w:type="pct" w:w="11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الأتمتة</w:t>
            </w:r>
          </w:p>
        </w:tc>
        <w:tc>
          <w:tcPr>
            <w:tcW w:type="pct" w:w="39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روتينات ذكية بمشغلات صحة تاريخية (مثل: بطارية تحت 15% لمدة ساعة) مع نبض خدمة ذاتي من الخادم وفحص تاريخ حي بلا أي أثر جانبي</w:t>
            </w:r>
          </w:p>
        </w:tc>
      </w:tr>
      <w:tr>
        <w:trPr>
          <w:cantSplit/>
        </w:trPr>
        <w:tc>
          <w:tcPr>
            <w:tcW w:type="pct" w:w="11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الأدوات</w:t>
            </w:r>
          </w:p>
        </w:tc>
        <w:tc>
          <w:tcPr>
            <w:tcW w:type="pct" w:w="39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طرفية CLI واختبار سرعة الشبكة وفحص الاتصال وتشخيص شامل مع مركز صحة حي للمنظومة</w:t>
            </w:r>
          </w:p>
        </w:tc>
      </w:tr>
    </w:tbl>
    <w:p>
      <w:pPr>
        <w:spacing w:after="120"/>
      </w:pPr>
    </w:p>
    <w:p>
      <w:pPr>
        <w:pStyle w:val="Heading2"/>
        <w:bidi/>
        <w:spacing w:after="120" w:before="240" w:line="312"/>
        <w:jc w:val="left"/>
      </w:pPr>
      <w:bookmarkStart w:name="_Toc4" w:id="4"/>
      <w:r>
        <w:rPr>
          <w:rFonts w:ascii="Arial" w:cs="Arial" w:eastAsia="Arial" w:hAnsi="Arial"/>
          <w:b/>
          <w:bCs/>
          <w:color w:val="1A2330"/>
          <w:sz w:val="28"/>
          <w:szCs w:val="28"/>
          <w:rtl/>
        </w:rPr>
        <w:t xml:space="preserve">2.2 الأصول النوعية التي لا تظهر في قائمة الميزات</w:t>
      </w:r>
      <w:bookmarkEnd w:id="4"/>
    </w:p>
    <w:p>
      <w:pPr>
        <w:bidi/>
        <w:spacing w:after="120" w:line="312"/>
        <w:jc w:val="both"/>
      </w:pPr>
      <w:r>
        <w:rPr>
          <w:rFonts w:ascii="Arial" w:cs="Arial" w:eastAsia="Arial" w:hAnsi="Arial"/>
          <w:color w:val="000000"/>
          <w:sz w:val="24"/>
          <w:szCs w:val="24"/>
          <w:rtl/>
        </w:rPr>
        <w:t xml:space="preserve">بعيدًا عن الميزات الظاهرة، تحمل المنظومة أصولًا نوعية تُحسب لها في السباق الطويل. أولها البنية التشغيلية: الخدمات تُدار من التطبيق الأصلي نفسه، وإغلاق النافذة يصغّرها إلى شريط النظام بدل قتل الخدمات، والبوابة الموحدة تختصر توجيه الوكلاء إلى منفذ واحد مهما تعددت القنوات خلفه. وثانيها البنية التحتية للجودة: اختبارات E2E تتجاوز 585 فحصًا تعمل على CI خماسي يبني حزم Windows (NSIS وMSI ومحمولة) وmacOS (DMG) وLinux (deb وAppImage) وأندرويد (APK وAAB) في دفعة واحدة، مع صفحة نشر حية على GitHub Pages تُحدَّث مع كل إصدار وتُرفق تلقائيًا بأصوله. وثالثها التوثيق كعقد: كل ميزة موثقة بحدودها الصادقة في ملف العقد البروتوكولي، وما لم يُوثَّق لا يُعد مكتملًا — وهذا نادر في منتجات أكبر حجمًا بكثير.</w:t>
      </w:r>
    </w:p>
    <w:p>
      <w:pPr>
        <w:pStyle w:val="Heading2"/>
        <w:bidi/>
        <w:spacing w:after="120" w:before="240" w:line="312"/>
        <w:jc w:val="left"/>
      </w:pPr>
      <w:bookmarkStart w:name="_Toc5" w:id="5"/>
      <w:r>
        <w:rPr>
          <w:rFonts w:ascii="Arial" w:cs="Arial" w:eastAsia="Arial" w:hAnsi="Arial"/>
          <w:b/>
          <w:bCs/>
          <w:color w:val="1A2330"/>
          <w:sz w:val="28"/>
          <w:szCs w:val="28"/>
          <w:rtl/>
        </w:rPr>
        <w:t xml:space="preserve">2.3 خريطة المنافسة والفراغ الاستراتيجي</w:t>
      </w:r>
      <w:bookmarkEnd w:id="5"/>
    </w:p>
    <w:p>
      <w:pPr>
        <w:bidi/>
        <w:spacing w:after="120" w:line="312"/>
        <w:jc w:val="both"/>
      </w:pPr>
      <w:r>
        <w:rPr>
          <w:rFonts w:ascii="Arial" w:cs="Arial" w:eastAsia="Arial" w:hAnsi="Arial"/>
          <w:color w:val="000000"/>
          <w:sz w:val="24"/>
          <w:szCs w:val="24"/>
          <w:rtl/>
        </w:rPr>
        <w:t xml:space="preserve">قراءة ساحة المنافسة تؤكد أن المعركة ليست على «ربط الهاتف بالحاسوب» كفكرة، بل على نموذج التشغيل. KDE Connect هو الأقرب فلسفيًا (مفتوح ومحلي) لكنه يتشظى جودته عبر تحديثات بيئات سطح المكتب، ولا يقدم منظومة حماية أو أتمتة بهذا العمق. AirDroid يبيع التكامل عبر السحابة باشتراكات، فيدفع مستخدميه ثمن الخصوصية كمقايضة دائمة. «ربط الهاتف» من مايكروسوفت ومشروعه الميت سابقًا «اتصال الهاتف المحمول» من Dell يثبتان أن اللاعبين الكبار يخدمون منصاتهم فقط ولا يهتمون بالتعادل العابر للمنصات. LocalSend أداة نقل ممتازة لكنها أداة واحدة لا منظومة. أما scrcpy وVysor فأدوات مطورين لعرض الشاشة لا منتجات مستخدم نهائي. النتيجة: الفراغ الذي تركته Intel Unison عند إعلان إنهائها عام 2025 لم يُملأ بعد من أحد — فراغ «منظومة محلية كاملة عابرة للمنصات» ينتظر صاحبه.</w:t>
      </w:r>
    </w:p>
    <w:p>
      <w:pPr>
        <w:pStyle w:val="Heading2"/>
        <w:bidi/>
        <w:spacing w:after="120" w:before="240" w:line="312"/>
        <w:jc w:val="left"/>
      </w:pPr>
      <w:bookmarkStart w:name="_Toc6" w:id="6"/>
      <w:r>
        <w:rPr>
          <w:rFonts w:ascii="Arial" w:cs="Arial" w:eastAsia="Arial" w:hAnsi="Arial"/>
          <w:b/>
          <w:bCs/>
          <w:color w:val="1A2330"/>
          <w:sz w:val="28"/>
          <w:szCs w:val="28"/>
          <w:rtl/>
        </w:rPr>
        <w:t xml:space="preserve">2.4 حدود صادقة: أين نضعف اليوم</w:t>
      </w:r>
      <w:bookmarkEnd w:id="6"/>
    </w:p>
    <w:p>
      <w:pPr>
        <w:bidi/>
        <w:spacing w:after="120" w:line="312"/>
        <w:jc w:val="both"/>
      </w:pPr>
      <w:r>
        <w:rPr>
          <w:rFonts w:ascii="Arial" w:cs="Arial" w:eastAsia="Arial" w:hAnsi="Arial"/>
          <w:color w:val="000000"/>
          <w:sz w:val="24"/>
          <w:szCs w:val="24"/>
          <w:rtl/>
        </w:rPr>
        <w:t xml:space="preserve">الصدق الاستراتيجي شرط للخطة، وهذه هي نقاط الضعف الحقيقية القائمة. لا يوجد وكيل iOS بسبب قيود المنصة الصارمة على الوصول المنخفض المستوى، وهو ما يعني فقدان قاعدة مستخدمي أبل كاملة في هذه المرحلة. التثبيت ما يزال يدويًا من صفحة النشر، فالحزم غير موقعة بعد، ما يستدعي تحذيرات SmartScreen على Windows وGatekeeper على macOS — عائق تبنٍّ حقيقي أمام الجمهور الأوسع. لا وجود للمنتج في المتاجر الرسمية بعد (Flathub وMicrosoft Store وأماكن توزيع أندرويد الموثوقة). والفريق الهندسي واحد، ما يجعل إيقاع الإنجاز رهينة الأتمتة الحالية. هذه الحدود هي بالضبط مادة المرحلتين الأولى والثانية من الخارطة، وقد صيغت المراحل لتحييدها أولًا قبل أي توسع.</w:t>
      </w:r>
    </w:p>
    <w:p>
      <w:pPr>
        <w:pStyle w:val="Heading1"/>
        <w:bidi/>
        <w:spacing w:after="160" w:before="360" w:line="312"/>
        <w:jc w:val="center"/>
      </w:pPr>
      <w:bookmarkStart w:name="_Toc7" w:id="7"/>
      <w:r>
        <w:rPr>
          <w:rFonts w:ascii="Arial" w:cs="Arial" w:eastAsia="Arial" w:hAnsi="Arial"/>
          <w:b/>
          <w:bCs/>
          <w:color w:val="1A2330"/>
          <w:sz w:val="32"/>
          <w:szCs w:val="32"/>
          <w:rtl/>
        </w:rPr>
        <w:t xml:space="preserve">ثالثًا — الرؤية والأهداف الاستراتيجية</w:t>
      </w:r>
      <w:bookmarkEnd w:id="7"/>
    </w:p>
    <w:p>
      <w:pPr>
        <w:bidi/>
        <w:spacing w:after="120" w:line="312"/>
        <w:jc w:val="both"/>
      </w:pPr>
      <w:r>
        <w:rPr>
          <w:rFonts w:ascii="Arial" w:cs="Arial" w:eastAsia="Arial" w:hAnsi="Arial"/>
          <w:color w:val="000000"/>
          <w:sz w:val="24"/>
          <w:szCs w:val="24"/>
          <w:rtl/>
        </w:rPr>
        <w:t xml:space="preserve">نجم الشمال الذي تحكم كل قرارات الخارطة: أن تصبح أجهزة المستخدم يدًا واحدة موثوقة — محليًا، خاصًا، بلا وسيط. كلما اقترب المنتج من هذه الجملة اقترب من مكانة لا تُنافَس، لأن كل خصم محتمل يسير عكس أحد كلماتها الثلاث: السحابيون يتخلون عن «محليًا»، والملاعب المغلقة يتخلون عن «يدًا واحدة» عبر المنصات، وأدوات المصادر المفتوحة المتفرقة تتخلون عن «موثوقة» بمستوى جودة ثابت وموقّع. الرؤية ليست شعارًا تحفيزيًا بل مرشح قرار: أي عمل هندسي لا يقرب المنتج من هذه الجملة يُؤجل أو يُرفض.</w:t>
      </w:r>
    </w:p>
    <w:p>
      <w:pPr>
        <w:bidi/>
        <w:spacing w:after="120" w:line="312"/>
        <w:jc w:val="both"/>
      </w:pPr>
      <w:r>
        <w:rPr>
          <w:rFonts w:ascii="Arial" w:cs="Arial" w:eastAsia="Arial" w:hAnsi="Arial"/>
          <w:color w:val="000000"/>
          <w:sz w:val="24"/>
          <w:szCs w:val="24"/>
          <w:rtl/>
        </w:rPr>
        <w:t xml:space="preserve">الهدف الاستراتيجي الأول: الثقة المطلقة. المنتج الذي يرى رسائلك وكاميرتك وملفاتك يجب أن يكون الأكثر قابلية للتدقيق في فئته: حزم موقعة على كل منصة، قنوات مشفرة موثقة العقد، تدقيق أمني خارجي قبل نهاية السنة الأولى، وسياسة خصوصية صريحة بلا ثغرات سحابية أصلاً. مؤشر النجاح هنا واضح: تثبيت بلا أي تحذير أمني على أي منصة، وقدرة أي طرف ثالث على مراجعة العقد البروتوكولي كاملًا. الثقة هي أغلى أصل في هذا السوق تحديدًا لأن المنافس السحابي لا يستطيع تقديمها هيكليًا مهما أنفق.</w:t>
      </w:r>
    </w:p>
    <w:p>
      <w:pPr>
        <w:bidi/>
        <w:spacing w:after="120" w:line="312"/>
        <w:jc w:val="both"/>
      </w:pPr>
      <w:r>
        <w:rPr>
          <w:rFonts w:ascii="Arial" w:cs="Arial" w:eastAsia="Arial" w:hAnsi="Arial"/>
          <w:color w:val="000000"/>
          <w:sz w:val="24"/>
          <w:szCs w:val="24"/>
          <w:rtl/>
        </w:rPr>
        <w:t xml:space="preserve">الهدف الثاني: التجربة الفورية. القيمة الأولى يجب أن تظهر في أقل من 30 ثانية من فتح التطبيق — مسح QR ثم أول نقل أو أول إشعار معكوس — والقيمة اليومية يجب أن تكون موثوقة بنسبة 99.9% أسبوعيًا لكل جهاز نشط: المزامنة تستأنف بلا فقد بعد الانقطاع، والتحكم يستجيب دون ملحوظية التأخير، والإشعارات تصل بلا تكرار ولا سقوط. التجربة الفورية هي ما يحول التنزيل التجريبي إلى استخدام يومي، والاستخدام اليومي هو أساس كل تأثير شبكة لاحق في M3. الهدف الثالث: العمق الذكي. أن يتعلم المنتج عادات الأجهزة ويستبق المشكلات — روتينات تُبنى على تاريخ حقيقي مقيس من الخادم لا على وعود لحظية — حتى يصبح النزول إلى أي بديل «نزولًا من ذكاء إلى أداة».</w:t>
      </w:r>
    </w:p>
    <w:p>
      <w:pPr>
        <w:bidi/>
        <w:spacing w:after="120" w:line="312"/>
        <w:jc w:val="both"/>
      </w:pPr>
      <w:r>
        <w:rPr>
          <w:rFonts w:ascii="Arial" w:cs="Arial" w:eastAsia="Arial" w:hAnsi="Arial"/>
          <w:color w:val="000000"/>
          <w:sz w:val="24"/>
          <w:szCs w:val="24"/>
          <w:rtl/>
        </w:rPr>
        <w:t xml:space="preserve">ويحكم الأهداف الثلاثة مبدأ صارم نسميه قاعدة الخندق: كل ميزة جديدة أو استثمار هندسي يجب أن يعمّق خندقًا واحدًا على الأقل من الخنادق الخمسة المشروحة في الفصل التالي، ويُذكر اسم الخندق صراحة في وصف أي عمل مقترح. هذا المبدأ يحمي المنتج من تشتت «قائمة ميزات طويلة وقيمة ضحلة»، وهو الفخ الذي وقعت فيه كثير من أدوات هذا المجال قبل أن تختفي.</w:t>
      </w:r>
    </w:p>
    <w:p>
      <w:pPr>
        <w:pStyle w:val="Heading1"/>
        <w:bidi/>
        <w:spacing w:after="160" w:before="360" w:line="312"/>
        <w:jc w:val="center"/>
      </w:pPr>
      <w:bookmarkStart w:name="_Toc8" w:id="8"/>
      <w:r>
        <w:rPr>
          <w:rFonts w:ascii="Arial" w:cs="Arial" w:eastAsia="Arial" w:hAnsi="Arial"/>
          <w:b/>
          <w:bCs/>
          <w:color w:val="1A2330"/>
          <w:sz w:val="32"/>
          <w:szCs w:val="32"/>
          <w:rtl/>
        </w:rPr>
        <w:t xml:space="preserve">رابعًا — الخنادق التنافسية الخمسة</w:t>
      </w:r>
      <w:bookmarkEnd w:id="8"/>
    </w:p>
    <w:p>
      <w:pPr>
        <w:bidi/>
        <w:spacing w:after="120" w:line="312"/>
        <w:jc w:val="both"/>
      </w:pPr>
      <w:r>
        <w:rPr>
          <w:rFonts w:ascii="Arial" w:cs="Arial" w:eastAsia="Arial" w:hAnsi="Arial"/>
          <w:color w:val="000000"/>
          <w:sz w:val="24"/>
          <w:szCs w:val="24"/>
          <w:rtl/>
        </w:rPr>
        <w:t xml:space="preserve">الخندق التنافسي هو ميزة تتراكم قيمتها مع الزمن ويصعب تقليدها هيكليًا لا فقط ماليًا. الخنادق الخمسة التالية ليست أمنيات بل امتدادات مباشرة لما هو قائم فعلًا في الكود اليوم، وكل مرحلة من خارطة الطريق تخصص استثمارها لتعميق واحد منها على الأقل. الجدول يلخصها، ثم تتناول الفقرات التالية أخطر اثنين منها تحليلًا.</w:t>
      </w:r>
    </w:p>
    <w:p>
      <w:pPr>
        <w:keepNext/>
        <w:bidi/>
        <w:spacing w:after="100" w:before="160" w:line="312"/>
        <w:jc w:val="center"/>
      </w:pPr>
      <w:r>
        <w:rPr>
          <w:rFonts w:ascii="Arial" w:cs="Arial" w:eastAsia="Arial" w:hAnsi="Arial"/>
          <w:b/>
          <w:bCs/>
          <w:color w:val="505A66"/>
          <w:sz w:val="21"/>
          <w:szCs w:val="21"/>
          <w:rtl/>
        </w:rPr>
        <w:t xml:space="preserve">جدول 3: الخنادق التنافسية الخمسة — الواقع والاستثمار وعتبة عدم المنافسة</w:t>
      </w:r>
    </w:p>
    <w:tbl>
      <w:tblPr>
        <w:bidiVisual/>
        <w:tblW w:type="pct" w:w="5000"/>
        <w:tblBorders>
          <w:top w:val="single" w:color="D4875A" w:sz="4"/>
          <w:left w:val="none" w:color="FFFFFF" w:sz="0"/>
          <w:bottom w:val="single" w:color="D4875A" w:sz="4"/>
          <w:right w:val="none" w:color="FFFFFF" w:sz="0"/>
          <w:insideH w:val="single" w:color="DDD0C8" w:sz="2"/>
          <w:insideV w:val="none" w:color="FFFFFF" w:sz="0"/>
        </w:tblBorders>
      </w:tblPr>
      <w:tblGrid>
        <w:gridCol w:w="1758"/>
        <w:gridCol w:w="2461"/>
        <w:gridCol w:w="2285"/>
        <w:gridCol w:w="2285"/>
      </w:tblGrid>
      <w:tr>
        <w:trPr>
          <w:cantSplit/>
          <w:tblHeader/>
        </w:trPr>
        <w:tc>
          <w:tcPr>
            <w:tcW w:type="pct" w:w="10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الخندق</w:t>
            </w:r>
          </w:p>
        </w:tc>
        <w:tc>
          <w:tcPr>
            <w:tcW w:type="pct" w:w="14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مكوّنه اليوم</w:t>
            </w:r>
          </w:p>
        </w:tc>
        <w:tc>
          <w:tcPr>
            <w:tcW w:type="pct" w:w="13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الاستثمار المطلوب</w:t>
            </w:r>
          </w:p>
        </w:tc>
        <w:tc>
          <w:tcPr>
            <w:tcW w:type="pct" w:w="13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عتبة «لا يُنافَس»</w:t>
            </w:r>
          </w:p>
        </w:tc>
      </w:tr>
      <w:tr>
        <w:trPr>
          <w:cantSplit/>
        </w:trPr>
        <w:tc>
          <w:tcPr>
            <w:tcW w:type="pct" w:w="10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الخصوصية المعمارية</w:t>
            </w:r>
          </w:p>
        </w:tc>
        <w:tc>
          <w:tcPr>
            <w:tcW w:type="pct" w:w="14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لا سحابة ولا حسابات؛ كل حركة داخل الشبكة مشفرة طرف-إلى-طرف</w:t>
            </w:r>
          </w:p>
        </w:tc>
        <w:tc>
          <w:tcPr>
            <w:tcW w:type="pct" w:w="13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تدقيق أمني خارجي + توثيق عقد موسع + توقيع حزم</w:t>
            </w:r>
          </w:p>
        </w:tc>
        <w:tc>
          <w:tcPr>
            <w:tcW w:type="pct" w:w="13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خصوم سحابيون لا يستطيعون حذف وسيطهم</w:t>
            </w:r>
          </w:p>
        </w:tc>
      </w:tr>
      <w:tr>
        <w:trPr>
          <w:cantSplit/>
        </w:trPr>
        <w:tc>
          <w:tcPr>
            <w:tcW w:type="pct" w:w="10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عمق التكامل الرأسي</w:t>
            </w:r>
          </w:p>
        </w:tc>
        <w:tc>
          <w:tcPr>
            <w:tcW w:type="pct" w:w="14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خدمات أندرويد أصلية: إمكانية وصول ومشاركة شاشة ومزامنة صور ووكل إقلاع</w:t>
            </w:r>
          </w:p>
        </w:tc>
        <w:tc>
          <w:tcPr>
            <w:tcW w:type="pct" w:w="13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توسيع الطبقة الأصلية + عمق سطح المكتب (WOL، شريط النظام، TV)</w:t>
            </w:r>
          </w:p>
        </w:tc>
        <w:tc>
          <w:tcPr>
            <w:tcW w:type="pct" w:w="13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منافس يبدأ من الصفر لكل منصة</w:t>
            </w:r>
          </w:p>
        </w:tc>
      </w:tr>
      <w:tr>
        <w:trPr>
          <w:cantSplit/>
        </w:trPr>
        <w:tc>
          <w:tcPr>
            <w:tcW w:type="pct" w:w="10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محرك الأتمتة التاريخية</w:t>
            </w:r>
          </w:p>
        </w:tc>
        <w:tc>
          <w:tcPr>
            <w:tcW w:type="pct" w:w="14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مشغلات صحة تاريخية بفحص حي بلا أثر ونبض خدمة ذاتي من الخادم</w:t>
            </w:r>
          </w:p>
        </w:tc>
        <w:tc>
          <w:tcPr>
            <w:tcW w:type="pct" w:w="13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مشغلات مركبة + مساعد محلي + تنبيهات تفسيرية</w:t>
            </w:r>
          </w:p>
        </w:tc>
        <w:tc>
          <w:tcPr>
            <w:tcW w:type="pct" w:w="13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تاريخ قياس متراكم لا يمكن نسخه بالشراء</w:t>
            </w:r>
          </w:p>
        </w:tc>
      </w:tr>
      <w:tr>
        <w:trPr>
          <w:cantSplit/>
        </w:trPr>
        <w:tc>
          <w:tcPr>
            <w:tcW w:type="pct" w:w="10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البنية بلا حسابات</w:t>
            </w:r>
          </w:p>
        </w:tc>
        <w:tc>
          <w:tcPr>
            <w:tcW w:type="pct" w:w="14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تبنٍّ بلا تسجيل: مسح QR ويشتغل</w:t>
            </w:r>
          </w:p>
        </w:tc>
        <w:tc>
          <w:tcPr>
            <w:tcW w:type="pct" w:w="13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بقاء الصفر-تكوين مع سوق إضافات موقعة</w:t>
            </w:r>
          </w:p>
        </w:tc>
        <w:tc>
          <w:tcPr>
            <w:tcW w:type="pct" w:w="13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احتكاك تبنٍّ صفري أمام اشتراكات الخصوم</w:t>
            </w:r>
          </w:p>
        </w:tc>
      </w:tr>
      <w:tr>
        <w:trPr>
          <w:cantSplit/>
        </w:trPr>
        <w:tc>
          <w:tcPr>
            <w:tcW w:type="pct" w:w="10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إيقاع الإصدار المقاس</w:t>
            </w:r>
          </w:p>
        </w:tc>
        <w:tc>
          <w:tcPr>
            <w:tcW w:type="pct" w:w="14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CI خماسي + 585 E2E + إصدارات دورية ببصمات وصفحة نشر حية</w:t>
            </w:r>
          </w:p>
        </w:tc>
        <w:tc>
          <w:tcPr>
            <w:tcW w:type="pct" w:w="13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عتبات جودة متصاعدة 700 ثم 900 + بوابات أمان</w:t>
            </w:r>
          </w:p>
        </w:tc>
        <w:tc>
          <w:tcPr>
            <w:tcW w:type="pct" w:w="13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ثقة مكتسبة لا تُبنى بسرعة</w:t>
            </w:r>
          </w:p>
        </w:tc>
      </w:tr>
    </w:tbl>
    <w:p>
      <w:pPr>
        <w:spacing w:after="120"/>
      </w:pPr>
    </w:p>
    <w:p>
      <w:pPr>
        <w:pStyle w:val="Heading2"/>
        <w:bidi/>
        <w:spacing w:after="120" w:before="240" w:line="312"/>
        <w:jc w:val="left"/>
      </w:pPr>
      <w:bookmarkStart w:name="_Toc9" w:id="9"/>
      <w:r>
        <w:rPr>
          <w:rFonts w:ascii="Arial" w:cs="Arial" w:eastAsia="Arial" w:hAnsi="Arial"/>
          <w:b/>
          <w:bCs/>
          <w:color w:val="1A2330"/>
          <w:sz w:val="28"/>
          <w:szCs w:val="28"/>
          <w:rtl/>
        </w:rPr>
        <w:t xml:space="preserve">4.1 لماذا لا يستطيع الخصم السحابي تقليد الخصوصية المعمارية</w:t>
      </w:r>
      <w:bookmarkEnd w:id="9"/>
    </w:p>
    <w:p>
      <w:pPr>
        <w:bidi/>
        <w:spacing w:after="120" w:line="312"/>
        <w:jc w:val="both"/>
      </w:pPr>
      <w:r>
        <w:rPr>
          <w:rFonts w:ascii="Arial" w:cs="Arial" w:eastAsia="Arial" w:hAnsi="Arial"/>
          <w:color w:val="000000"/>
          <w:sz w:val="24"/>
          <w:szCs w:val="24"/>
          <w:rtl/>
        </w:rPr>
        <w:t xml:space="preserve">الخصوم السحابيون بُنيت نماذج أعمالهم على الوسيطة: خوادم تنقل البيانات وتخزنها وتوفر نقطة تحكم واشتراكًا. حذف الوسيطة من بنيتها يعني تفكيك نموذج الإيراد نفسه، فهي لا تستطيع أن «تصبح محلية» بقرار تسويقي. هذا يعني أن مطاردة NexusLink على أرض الخصوصية المطلقة تتطلب منها تنازلًا استراتيجيًا عن مصدر ربحها، بينما نحن نبني المزيد من العمق على الأرض نفسها بلا أي مقايضة. وكلما تعمق توثيق العقد البروتوكولي وسمحت بنيتنا بالتدقيق الخارجي، اتسعت الفجوة بين «ادعاء الخصوصية» و«إثباتها» — والإثبات هو ما يسأل عنه المستخدم الجدّي والمؤسسة بعده.</w:t>
      </w:r>
    </w:p>
    <w:p>
      <w:pPr>
        <w:pStyle w:val="Heading2"/>
        <w:bidi/>
        <w:spacing w:after="120" w:before="240" w:line="312"/>
        <w:jc w:val="left"/>
      </w:pPr>
      <w:bookmarkStart w:name="_Toc10" w:id="10"/>
      <w:r>
        <w:rPr>
          <w:rFonts w:ascii="Arial" w:cs="Arial" w:eastAsia="Arial" w:hAnsi="Arial"/>
          <w:b/>
          <w:bCs/>
          <w:color w:val="1A2330"/>
          <w:sz w:val="28"/>
          <w:szCs w:val="28"/>
          <w:rtl/>
        </w:rPr>
        <w:t xml:space="preserve">4.2 محرك الأتمتة التاريخية: ملكية فكرية حية</w:t>
      </w:r>
      <w:bookmarkEnd w:id="10"/>
    </w:p>
    <w:p>
      <w:pPr>
        <w:bidi/>
        <w:spacing w:after="120" w:line="312"/>
        <w:jc w:val="both"/>
      </w:pPr>
      <w:r>
        <w:rPr>
          <w:rFonts w:ascii="Arial" w:cs="Arial" w:eastAsia="Arial" w:hAnsi="Arial"/>
          <w:color w:val="000000"/>
          <w:sz w:val="24"/>
          <w:szCs w:val="24"/>
          <w:rtl/>
        </w:rPr>
        <w:t xml:space="preserve">الخندق الثالث هو الأكثر خصوصية بالمنتج. محرك الأتمتة الحالي لا ينفذ أوامر فحسب، بل يقيس: نبضة خدمة ذاتية كل أربع ثوانٍ من عملية الخادم نفسها تبني تاريخًا صحيًا للأجهزة، والمشغلات التاريخية (بطارية تحت عتبة لمدة زمنية، اتصال متقطع، مساحة تخزين مستنزفة) تُقيَّم على هذا التاريخ، ومحرر الروتينات يتيح فحص «هل سيُطلق الآن؟ ولماذا لا؟» بقراءة محضة لا تترك أي أثر. هذا التصميم يراكم مع الاستخدام أصلًا بياناتيًا خاصًا بالمستخدم لا يمكن لأي منافس نسخه بالشراء أو بالهندسة العكسية، لأنه يتراكم بالزمن داخل بيئته المحلية. مرحلة M2 ستبني على هذا الأساس مباشرة: مشغلات مركبة ومساعد محلي يجيب من التاريخ نفسه — فيتحول المحرك من ميزة إلى ذاكرة منتج لا تُستبدل.</w:t>
      </w:r>
    </w:p>
    <w:p>
      <w:pPr>
        <w:pStyle w:val="Heading1"/>
        <w:bidi/>
        <w:spacing w:after="160" w:before="360" w:line="312"/>
        <w:jc w:val="center"/>
      </w:pPr>
      <w:bookmarkStart w:name="_Toc11" w:id="11"/>
      <w:r>
        <w:rPr>
          <w:rFonts w:ascii="Arial" w:cs="Arial" w:eastAsia="Arial" w:hAnsi="Arial"/>
          <w:b/>
          <w:bCs/>
          <w:color w:val="1A2330"/>
          <w:sz w:val="32"/>
          <w:szCs w:val="32"/>
          <w:rtl/>
        </w:rPr>
        <w:t xml:space="preserve">خامسًا — خارطة الطريق: المراحل الخمس تفصيلًا</w:t>
      </w:r>
      <w:bookmarkEnd w:id="11"/>
    </w:p>
    <w:p>
      <w:pPr>
        <w:bidi/>
        <w:spacing w:after="120" w:line="312"/>
        <w:jc w:val="both"/>
      </w:pPr>
      <w:r>
        <w:rPr>
          <w:rFonts w:ascii="Arial" w:cs="Arial" w:eastAsia="Arial" w:hAnsi="Arial"/>
          <w:color w:val="000000"/>
          <w:sz w:val="24"/>
          <w:szCs w:val="24"/>
          <w:rtl/>
        </w:rPr>
        <w:t xml:space="preserve">تعرض الصورة التالية الخارطة كاملة في شكلها الزمني، ثم يفصّل هذا الفصل كل مرحلة: هدفها الأكبر، وتسليماتها الكبرى، ومعيار خروجها الصارم. القاعدة الحاكمة في التسلسل مقصودة: لا تجربة جديدة قبل ثقة مثبتة، ولا ذكاء قبل موثوقية، ولا منظومة قبل منتج يحبّه مستخدموه، ولا مؤسسات قبل أن يثبت المنتج نضجه في كل ما سبق.</w:t>
      </w:r>
    </w:p>
    <w:p>
      <w:pPr>
        <w:keepNext/>
        <w:spacing w:after="60" w:before="160"/>
        <w:jc w:val="center"/>
      </w:pPr>
      <w:r>
        <w:drawing>
          <wp:inline distT="0" distB="0" distL="0" distR="0">
            <wp:extent cx="5524500" cy="957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9572625"/>
                    </a:xfrm>
                    <a:prstGeom prst="rect">
                      <a:avLst/>
                    </a:prstGeom>
                  </pic:spPr>
                </pic:pic>
              </a:graphicData>
            </a:graphic>
          </wp:inline>
        </w:drawing>
      </w:r>
    </w:p>
    <w:p>
      <w:pPr>
        <w:keepNext w:val="false"/>
        <w:bidi/>
        <w:spacing w:after="100" w:before="160" w:line="312"/>
        <w:jc w:val="center"/>
      </w:pPr>
      <w:r>
        <w:rPr>
          <w:rFonts w:ascii="Arial" w:cs="Arial" w:eastAsia="Arial" w:hAnsi="Arial"/>
          <w:b/>
          <w:bCs/>
          <w:color w:val="505A66"/>
          <w:sz w:val="21"/>
          <w:szCs w:val="21"/>
          <w:rtl/>
        </w:rPr>
        <w:t xml:space="preserve">الشكل 1: خارطة طريق NexusLink الشاملة — خمس مراحل وعشرون تسليمًا كبرى عبر 30 شهرًا</w:t>
      </w:r>
    </w:p>
    <w:p>
      <w:pPr>
        <w:pStyle w:val="Heading2"/>
        <w:bidi/>
        <w:spacing w:after="120" w:before="240" w:line="312"/>
        <w:jc w:val="left"/>
      </w:pPr>
      <w:bookmarkStart w:name="_Toc12" w:id="12"/>
      <w:r>
        <w:rPr>
          <w:rFonts w:ascii="Arial" w:cs="Arial" w:eastAsia="Arial" w:hAnsi="Arial"/>
          <w:b/>
          <w:bCs/>
          <w:color w:val="1A2330"/>
          <w:sz w:val="28"/>
          <w:szCs w:val="28"/>
          <w:rtl/>
        </w:rPr>
        <w:t xml:space="preserve">5.1 المرحلة M0 — التأسيس المرصود (الشهور 0 إلى 3)</w:t>
      </w:r>
      <w:bookmarkEnd w:id="12"/>
    </w:p>
    <w:p>
      <w:pPr>
        <w:bidi/>
        <w:spacing w:after="120" w:line="312"/>
        <w:jc w:val="both"/>
      </w:pPr>
      <w:r>
        <w:rPr>
          <w:rFonts w:ascii="Arial" w:cs="Arial" w:eastAsia="Arial" w:hAnsi="Arial"/>
          <w:color w:val="000000"/>
          <w:sz w:val="24"/>
          <w:szCs w:val="24"/>
          <w:rtl/>
        </w:rPr>
        <w:t xml:space="preserve">الهدف الأكبر: ثقة لا تُناقش. تبدأ المرحلة بتوقيع الحزم على المنصات الثلاث — شهادة توقيع كود لـWindows مع بناء NSIS وMSI، وانضمام برنامج مطوري Apple لتوقيع macOS والتحقق (Notarization) بحيث يفتح التطبيق بلا تحذير Gatekeeper، ودفع أولي إلى Flathub لينكس. يليها تجربة المستحدث الذاتي (Updater) اعتمادًا على ملف latest.json الحي مع تحقق بصمات SHA256SUMS قبل أي تثبيت، فيتحول التحديث من عملية يدوية إلى صمت آمن. ثم تدقيق أمني داخلي شامل يعيد مراجعة قنوات التشفير طرف-إلى-طرف وأذونات أندرويد الحساسة وسطح هجوم البوابة الموحدة، وتُغلق نتائجه في سجل علني داخلي. معيار الخروج: تثبيت بلا أي تحذير أمني على المنصات الثلاث، ورفع عتبة الاختبارات من 585 إلى 700 فحص E2E أخضر.</w:t>
      </w:r>
    </w:p>
    <w:p>
      <w:pPr>
        <w:pStyle w:val="Heading2"/>
        <w:bidi/>
        <w:spacing w:after="120" w:before="240" w:line="312"/>
        <w:jc w:val="left"/>
      </w:pPr>
      <w:bookmarkStart w:name="_Toc13" w:id="13"/>
      <w:r>
        <w:rPr>
          <w:rFonts w:ascii="Arial" w:cs="Arial" w:eastAsia="Arial" w:hAnsi="Arial"/>
          <w:b/>
          <w:bCs/>
          <w:color w:val="1A2330"/>
          <w:sz w:val="28"/>
          <w:szCs w:val="28"/>
          <w:rtl/>
        </w:rPr>
        <w:t xml:space="preserve">5.2 المرحلة M1 — التجربة التي لا تُنسى (الشهور 3 إلى 9)</w:t>
      </w:r>
      <w:bookmarkEnd w:id="13"/>
    </w:p>
    <w:p>
      <w:pPr>
        <w:bidi/>
        <w:spacing w:after="120" w:line="312"/>
        <w:jc w:val="both"/>
      </w:pPr>
      <w:r>
        <w:rPr>
          <w:rFonts w:ascii="Arial" w:cs="Arial" w:eastAsia="Arial" w:hAnsi="Arial"/>
          <w:color w:val="000000"/>
          <w:sz w:val="24"/>
          <w:szCs w:val="24"/>
          <w:rtl/>
        </w:rPr>
        <w:t xml:space="preserve">الهدف الأكبر: القيمة في 30 ثانية. تُعاد هندسة مسار الاقتران كاملًا بالقياس: من فتح التطبيق إلى أول نقل أو أول إشعار معكوس في أقل من نصف دقيقة على كل منصة، مع تتبع زمن لكل خطوة يكشف أي احتكاك. تُبنى طبقة offline-first فوق محرك النقل والمزامنة: سجل عمليات قابل للاستئناف يجعل أي انقطاع شبكة مجرد توقف مؤقت لا فقدًا، والاستئناف يحدث من نفس النقطة تلقائيًا. يُقاس الأداء بمقياس صريح معلن: استجابة تحكم بفاصل 95% أقل من 80 مللي ثانية داخل الشبكة المحلية، مع لوحة قياس حية في مركز الصحة تظهر هذه الأرقام للمستخدم نفسه — شفافية هي جزء من الثقة. وتُستكمل طبقة إمكانية الوصول الكاملة وتوسيع اللغات من العربية والإنجليزية الراسختين إلى أربع لغات إضافية بحسب الطلب الفعلي. معيار الخروج: موثوقية مزامنة 99.9% أسبوعيًا لكل جهاز نشط مقاسة من مركز الصحة.</w:t>
      </w:r>
    </w:p>
    <w:p>
      <w:pPr>
        <w:pStyle w:val="Heading2"/>
        <w:bidi/>
        <w:spacing w:after="120" w:before="240" w:line="312"/>
        <w:jc w:val="left"/>
      </w:pPr>
      <w:bookmarkStart w:name="_Toc14" w:id="14"/>
      <w:r>
        <w:rPr>
          <w:rFonts w:ascii="Arial" w:cs="Arial" w:eastAsia="Arial" w:hAnsi="Arial"/>
          <w:b/>
          <w:bCs/>
          <w:color w:val="1A2330"/>
          <w:sz w:val="28"/>
          <w:szCs w:val="28"/>
          <w:rtl/>
        </w:rPr>
        <w:t xml:space="preserve">5.3 المرحلة M2 — الذكاء المحلي (الشهور 9 إلى 15)</w:t>
      </w:r>
      <w:bookmarkEnd w:id="14"/>
    </w:p>
    <w:p>
      <w:pPr>
        <w:bidi/>
        <w:spacing w:after="120" w:line="312"/>
        <w:jc w:val="both"/>
      </w:pPr>
      <w:r>
        <w:rPr>
          <w:rFonts w:ascii="Arial" w:cs="Arial" w:eastAsia="Arial" w:hAnsi="Arial"/>
          <w:color w:val="000000"/>
          <w:sz w:val="24"/>
          <w:szCs w:val="24"/>
          <w:rtl/>
        </w:rPr>
        <w:t xml:space="preserve">الهدف الأكبر: استباق لا تقليد. تُبنى طبقة ذكاء كاملة تعمل داخل الشبكة حصرًا: مساعد على الجهاز بنموذج لغوي محلي يفهرس الأجهزة والملفات والروتينات ويجيب بالعربية والإنجليزية دون مغادرة أي بايت للشبكة، فيصبح «اسأل NexusLink» سؤالًا عن حال عالمك الرقمي الحقيقي. تتعمق الروتينات الاستباقية بمشغلات تاريخية مركبة (دمج شرطين زمنيين على جهازين) وتنبيهات تفسيرية تذكر السبب المسبب حرفيًا من المقيّم على نمط الفحص الحي القائم. ويُضاف بحث موحد يجد الملف والصورة والمقطع عبر الهاتف والحاسوب من شريط واحد، ولوحة رؤى تحسب أنماط الاستخدام وصحة الأجهزة محليًا بالكامل. معيار الخروج: نصف المستخدمين النشطين لديهم روتين ذكي واحد على الأقل يعمل أسبوعيًا، والمساعد المحلي يعمل بلا أي اتصال خارجي.</w:t>
      </w:r>
    </w:p>
    <w:p>
      <w:pPr>
        <w:pStyle w:val="Heading2"/>
        <w:bidi/>
        <w:spacing w:after="120" w:before="240" w:line="312"/>
        <w:jc w:val="left"/>
      </w:pPr>
      <w:bookmarkStart w:name="_Toc15" w:id="15"/>
      <w:r>
        <w:rPr>
          <w:rFonts w:ascii="Arial" w:cs="Arial" w:eastAsia="Arial" w:hAnsi="Arial"/>
          <w:b/>
          <w:bCs/>
          <w:color w:val="1A2330"/>
          <w:sz w:val="28"/>
          <w:szCs w:val="28"/>
          <w:rtl/>
        </w:rPr>
        <w:t xml:space="preserve">5.4 المرحلة M3 — المنظومة المفتوحة (الشهور 15 إلى 21)</w:t>
      </w:r>
      <w:bookmarkEnd w:id="15"/>
    </w:p>
    <w:p>
      <w:pPr>
        <w:bidi/>
        <w:spacing w:after="120" w:line="312"/>
        <w:jc w:val="both"/>
      </w:pPr>
      <w:r>
        <w:rPr>
          <w:rFonts w:ascii="Arial" w:cs="Arial" w:eastAsia="Arial" w:hAnsi="Arial"/>
          <w:color w:val="000000"/>
          <w:sz w:val="24"/>
          <w:szCs w:val="24"/>
          <w:rtl/>
        </w:rPr>
        <w:t xml:space="preserve">الهدف الأكبر: تأثير الشبكة. يتحول المنتج إلى منصة بإطلاق SDK وAPI عام موثق بإصدار ثابت (2.0) يغطي الأجهزة والنقل والأتمتة عبر العقد البروتوكولي القائم، فتصبح القدرات متاحة لأي مطور يبني فوقها. يليه سوق تكاملات: قناة إضافات موقعة محليًا تُثبَّت بضغطة واحدة دون كسر ضمانات الخصوصية — كل إضافة تعمل داخل حدود العقد المشفر نفسه. ويُوسع CLI ليجعل كل عملية في المنظومة قابلة للأتمتة من الطرفية للمستخدم المتقدم ومشغلي الأنظمة، وتُنشر مكونات مختارة مفتوحة المصدر لجذب مجتمع مساهمين حول العقد والـSDK. معيار الخروج: عشر تكاملات طرف ثالث عاملة في السوق، ودليل مطور كامل يعتمد الإصدار 2.0 من العقد.</w:t>
      </w:r>
    </w:p>
    <w:p>
      <w:pPr>
        <w:pStyle w:val="Heading2"/>
        <w:bidi/>
        <w:spacing w:after="120" w:before="240" w:line="312"/>
        <w:jc w:val="left"/>
      </w:pPr>
      <w:bookmarkStart w:name="_Toc16" w:id="16"/>
      <w:r>
        <w:rPr>
          <w:rFonts w:ascii="Arial" w:cs="Arial" w:eastAsia="Arial" w:hAnsi="Arial"/>
          <w:b/>
          <w:bCs/>
          <w:color w:val="1A2330"/>
          <w:sz w:val="28"/>
          <w:szCs w:val="28"/>
          <w:rtl/>
        </w:rPr>
        <w:t xml:space="preserve">5.5 المرحلة M4 — الثقل المؤسسي (الشهور 21 إلى 30)</w:t>
      </w:r>
      <w:bookmarkEnd w:id="16"/>
    </w:p>
    <w:p>
      <w:pPr>
        <w:bidi/>
        <w:spacing w:after="120" w:line="312"/>
        <w:jc w:val="both"/>
      </w:pPr>
      <w:r>
        <w:rPr>
          <w:rFonts w:ascii="Arial" w:cs="Arial" w:eastAsia="Arial" w:hAnsi="Arial"/>
          <w:color w:val="000000"/>
          <w:sz w:val="24"/>
          <w:szCs w:val="24"/>
          <w:rtl/>
        </w:rPr>
        <w:t xml:space="preserve">الهدف الأكبر: منتج لا يستبدل. تدخل المنظومة بيئات المؤسسات بحزم نشر إداري (MDM) وسياسات مركزية تسمح لمدير نظم بنشر الوكيل والمركز على عشرات الأجهزة بضغطة، مع تقارير امتثال لبيئة محكومة. تبدأ رحلة الشهادات: SOC 2 Type I ثم ISO 27001 على البنية المحلية — وهي رحلة تتسارع بفضل تدقيق M0 والتوثيق العقدي المرسخ. وتفتح شراكات OEM لتحميل مسبق على أجهزة مختارة بوضع «خصوصية افتراضية» يفعّل المنظومة من الصندوق، مع عمق منصي إضافي: عميل ويب مستقل كامل وتوسيع دعم التلفاز واللوحات الكبيرة. معيار الخروج: أول عقد مؤسسي موقّع وشهادة SOC 2 Type I مكتملة.</w:t>
      </w:r>
    </w:p>
    <w:p>
      <w:pPr>
        <w:keepNext/>
        <w:bidi/>
        <w:spacing w:after="100" w:before="160" w:line="312"/>
        <w:jc w:val="center"/>
      </w:pPr>
      <w:r>
        <w:rPr>
          <w:rFonts w:ascii="Arial" w:cs="Arial" w:eastAsia="Arial" w:hAnsi="Arial"/>
          <w:b/>
          <w:bCs/>
          <w:color w:val="505A66"/>
          <w:sz w:val="21"/>
          <w:szCs w:val="21"/>
          <w:rtl/>
        </w:rPr>
        <w:t xml:space="preserve">جدول 4: ملخص المراحل — المدد والتسليمات ومعايير الخروج</w:t>
      </w:r>
    </w:p>
    <w:tbl>
      <w:tblPr>
        <w:bidiVisual/>
        <w:tblW w:type="pct" w:w="5000"/>
        <w:tblBorders>
          <w:top w:val="single" w:color="D4875A" w:sz="4"/>
          <w:left w:val="none" w:color="FFFFFF" w:sz="0"/>
          <w:bottom w:val="single" w:color="D4875A" w:sz="4"/>
          <w:right w:val="none" w:color="FFFFFF" w:sz="0"/>
          <w:insideH w:val="single" w:color="DDD0C8" w:sz="2"/>
          <w:insideV w:val="none" w:color="FFFFFF" w:sz="0"/>
        </w:tblBorders>
      </w:tblPr>
      <w:tblGrid>
        <w:gridCol w:w="1406"/>
        <w:gridCol w:w="1055"/>
        <w:gridCol w:w="3867"/>
        <w:gridCol w:w="2461"/>
      </w:tblGrid>
      <w:tr>
        <w:trPr>
          <w:cantSplit/>
          <w:tblHeader/>
        </w:trPr>
        <w:tc>
          <w:tcPr>
            <w:tcW w:type="pct" w:w="8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المرحلة</w:t>
            </w:r>
          </w:p>
        </w:tc>
        <w:tc>
          <w:tcPr>
            <w:tcW w:type="pct" w:w="6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المدة</w:t>
            </w:r>
          </w:p>
        </w:tc>
        <w:tc>
          <w:tcPr>
            <w:tcW w:type="pct" w:w="22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التسليمات الكبرى</w:t>
            </w:r>
          </w:p>
        </w:tc>
        <w:tc>
          <w:tcPr>
            <w:tcW w:type="pct" w:w="14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معيار الخروج</w:t>
            </w:r>
          </w:p>
        </w:tc>
      </w:tr>
      <w:tr>
        <w:trPr>
          <w:cantSplit/>
        </w:trPr>
        <w:tc>
          <w:tcPr>
            <w:tcW w:type="pct" w:w="8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M0</w:t>
            </w:r>
          </w:p>
        </w:tc>
        <w:tc>
          <w:tcPr>
            <w:tcW w:type="pct" w:w="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3 أشهر</w:t>
            </w:r>
          </w:p>
        </w:tc>
        <w:tc>
          <w:tcPr>
            <w:tcW w:type="pct" w:w="2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توقيع Windows وmacOS + Flathub + updater موثوق + تدقيق أمني داخلي</w:t>
            </w:r>
          </w:p>
        </w:tc>
        <w:tc>
          <w:tcPr>
            <w:tcW w:type="pct" w:w="14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تثبيت بلا تحذيرات + E2E = 700</w:t>
            </w:r>
          </w:p>
        </w:tc>
      </w:tr>
      <w:tr>
        <w:trPr>
          <w:cantSplit/>
        </w:trPr>
        <w:tc>
          <w:tcPr>
            <w:tcW w:type="pct" w:w="8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M1</w:t>
            </w:r>
          </w:p>
        </w:tc>
        <w:tc>
          <w:tcPr>
            <w:tcW w:type="pct" w:w="6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6 أشهر</w:t>
            </w:r>
          </w:p>
        </w:tc>
        <w:tc>
          <w:tcPr>
            <w:tcW w:type="pct" w:w="2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اقتران 30 ثانية + offline-first + أداء p95 أقل من 80ms + 6 لغات</w:t>
            </w:r>
          </w:p>
        </w:tc>
        <w:tc>
          <w:tcPr>
            <w:tcW w:type="pct" w:w="14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موثوقية مزامنة 99.9% أسبوعيًا</w:t>
            </w:r>
          </w:p>
        </w:tc>
      </w:tr>
      <w:tr>
        <w:trPr>
          <w:cantSplit/>
        </w:trPr>
        <w:tc>
          <w:tcPr>
            <w:tcW w:type="pct" w:w="8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M2</w:t>
            </w:r>
          </w:p>
        </w:tc>
        <w:tc>
          <w:tcPr>
            <w:tcW w:type="pct" w:w="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6 أشهر</w:t>
            </w:r>
          </w:p>
        </w:tc>
        <w:tc>
          <w:tcPr>
            <w:tcW w:type="pct" w:w="2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مساعد محلي + مشغلات مركبة + بحث موحد + لوحة رؤى</w:t>
            </w:r>
          </w:p>
        </w:tc>
        <w:tc>
          <w:tcPr>
            <w:tcW w:type="pct" w:w="14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50% من النشطين بروتين واحد+</w:t>
            </w:r>
          </w:p>
        </w:tc>
      </w:tr>
      <w:tr>
        <w:trPr>
          <w:cantSplit/>
        </w:trPr>
        <w:tc>
          <w:tcPr>
            <w:tcW w:type="pct" w:w="8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M3</w:t>
            </w:r>
          </w:p>
        </w:tc>
        <w:tc>
          <w:tcPr>
            <w:tcW w:type="pct" w:w="6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6 أشهر</w:t>
            </w:r>
          </w:p>
        </w:tc>
        <w:tc>
          <w:tcPr>
            <w:tcW w:type="pct" w:w="2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SDK/API 2.0 + سوق تكاملات + CLI موسع + مكونات مفتوحة</w:t>
            </w:r>
          </w:p>
        </w:tc>
        <w:tc>
          <w:tcPr>
            <w:tcW w:type="pct" w:w="14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10 تكاملات طرف ثالث عاملة</w:t>
            </w:r>
          </w:p>
        </w:tc>
      </w:tr>
      <w:tr>
        <w:trPr>
          <w:cantSplit/>
        </w:trPr>
        <w:tc>
          <w:tcPr>
            <w:tcW w:type="pct" w:w="8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M4</w:t>
            </w:r>
          </w:p>
        </w:tc>
        <w:tc>
          <w:tcPr>
            <w:tcW w:type="pct" w:w="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9 أشهر</w:t>
            </w:r>
          </w:p>
        </w:tc>
        <w:tc>
          <w:tcPr>
            <w:tcW w:type="pct" w:w="2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MDM + SOC 2 وISO 27001 + شراكات OEM + عميل ويب كامل</w:t>
            </w:r>
          </w:p>
        </w:tc>
        <w:tc>
          <w:tcPr>
            <w:tcW w:type="pct" w:w="14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عقد مؤسسي موقّع + SOC 2 Type I</w:t>
            </w:r>
          </w:p>
        </w:tc>
      </w:tr>
    </w:tbl>
    <w:p>
      <w:pPr>
        <w:spacing w:after="120"/>
      </w:pPr>
    </w:p>
    <w:p>
      <w:pPr>
        <w:pStyle w:val="Heading1"/>
        <w:bidi/>
        <w:spacing w:after="160" w:before="360" w:line="312"/>
        <w:jc w:val="center"/>
      </w:pPr>
      <w:bookmarkStart w:name="_Toc17" w:id="17"/>
      <w:r>
        <w:rPr>
          <w:rFonts w:ascii="Arial" w:cs="Arial" w:eastAsia="Arial" w:hAnsi="Arial"/>
          <w:b/>
          <w:bCs/>
          <w:color w:val="1A2330"/>
          <w:sz w:val="32"/>
          <w:szCs w:val="32"/>
          <w:rtl/>
        </w:rPr>
        <w:t xml:space="preserve">سادسًا — الحوكمة وإيقاع الإصدار</w:t>
      </w:r>
      <w:bookmarkEnd w:id="17"/>
    </w:p>
    <w:p>
      <w:pPr>
        <w:bidi/>
        <w:spacing w:after="120" w:line="312"/>
        <w:jc w:val="both"/>
      </w:pPr>
      <w:r>
        <w:rPr>
          <w:rFonts w:ascii="Arial" w:cs="Arial" w:eastAsia="Arial" w:hAnsi="Arial"/>
          <w:color w:val="000000"/>
          <w:sz w:val="24"/>
          <w:szCs w:val="24"/>
          <w:rtl/>
        </w:rPr>
        <w:t xml:space="preserve">الخارطة بلا إيقاع حوكمي تتحول إلى نوايا حسنة. الإيقاع المعتمد ثنائي الطبقة: إصدار ثانوي (minor) شهري يمر عبر سير CI الخماسي الحالي ويحمل تحسينات تراكمية، وإصدار رئيسي ربعي يرفع عتبات الجودة ويحمل ميزات المرحلة القائمة. كل إصدار يخرج بأصوله الكاملة وببصمات SHA256SUMS وصفحة نشر محدثة تلقائيًا — هذا الإيقاع قائم فعلًا وقد أثبت نفسه عبر سلسلة الإصدارات من v1.1.0 إلى v1.2.0-fix2، والعمل هنا ترسيخ وتوسيع لا اختراع. تخضع كل ميزة لما نسميه باب الميزة: اسم الخندق الذي تعمقه، وحدودها الصادقة الموثقة على نمط العقد الحالي، واختباراتها E2E، وقابليتها للترجمة — وما ينقصه بندًا واحدًا لا يدخل الإصدار.</w:t>
      </w:r>
    </w:p>
    <w:p>
      <w:pPr>
        <w:bidi/>
        <w:spacing w:after="120" w:line="312"/>
        <w:jc w:val="both"/>
      </w:pPr>
      <w:r>
        <w:rPr>
          <w:rFonts w:ascii="Arial" w:cs="Arial" w:eastAsia="Arial" w:hAnsi="Arial"/>
          <w:color w:val="000000"/>
          <w:sz w:val="24"/>
          <w:szCs w:val="24"/>
          <w:rtl/>
        </w:rPr>
        <w:t xml:space="preserve">تبواب الجودة تصاعدية بمراحل الخارطة نفسها: عتبة الاختبارات 700 بنهاية M0 ثم 900 بنهاية M1، مع بقاء قاعدة الصفر أخطاء في فحصي الأنواع والأسلوب على الملفات المعدلة، وباب أمان إلزامي في كل إصدار يتحقق من التوقيع والبصمات قبل النشر. الترقيم الإصداري يتبع الخارطة: الإصدارات 1.x تغطي M0 وM1، والعقد العام 2.0 مع SDK يطلق عصر 2.x في M3، بينما M4 يصل مع 3.0 الذي يحمل جاهزية المؤسسات. هذا الربط بين الترقيم والاستراتيجية يجعل رقم الإصدار نفسه بيانًا عن نضج المنتج لا مجرد عداد.</w:t>
      </w:r>
    </w:p>
    <w:p>
      <w:pPr>
        <w:keepNext/>
        <w:bidi/>
        <w:spacing w:after="100" w:before="160" w:line="312"/>
        <w:jc w:val="center"/>
      </w:pPr>
      <w:r>
        <w:rPr>
          <w:rFonts w:ascii="Arial" w:cs="Arial" w:eastAsia="Arial" w:hAnsi="Arial"/>
          <w:b/>
          <w:bCs/>
          <w:color w:val="505A66"/>
          <w:sz w:val="21"/>
          <w:szCs w:val="21"/>
          <w:rtl/>
        </w:rPr>
        <w:t xml:space="preserve">جدول 5: بوابات الجودة الإلزامية لكل إصدار</w:t>
      </w:r>
    </w:p>
    <w:tbl>
      <w:tblPr>
        <w:bidiVisual/>
        <w:tblW w:type="pct" w:w="5000"/>
        <w:tblBorders>
          <w:top w:val="single" w:color="D4875A" w:sz="4"/>
          <w:left w:val="none" w:color="FFFFFF" w:sz="0"/>
          <w:bottom w:val="single" w:color="D4875A" w:sz="4"/>
          <w:right w:val="none" w:color="FFFFFF" w:sz="0"/>
          <w:insideH w:val="single" w:color="DDD0C8" w:sz="2"/>
          <w:insideV w:val="none" w:color="FFFFFF" w:sz="0"/>
        </w:tblBorders>
      </w:tblPr>
      <w:tblGrid>
        <w:gridCol w:w="2109"/>
        <w:gridCol w:w="3867"/>
        <w:gridCol w:w="2812"/>
      </w:tblGrid>
      <w:tr>
        <w:trPr>
          <w:cantSplit/>
          <w:tblHeader/>
        </w:trPr>
        <w:tc>
          <w:tcPr>
            <w:tcW w:type="pct" w:w="12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البوابة</w:t>
            </w:r>
          </w:p>
        </w:tc>
        <w:tc>
          <w:tcPr>
            <w:tcW w:type="pct" w:w="22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الشرط الإلزامي</w:t>
            </w:r>
          </w:p>
        </w:tc>
        <w:tc>
          <w:tcPr>
            <w:tcW w:type="pct" w:w="16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الأداة القائمة</w:t>
            </w:r>
          </w:p>
        </w:tc>
      </w:tr>
      <w:tr>
        <w:trPr>
          <w:cantSplit/>
        </w:trPr>
        <w:tc>
          <w:tcPr>
            <w:tcW w:type="pct" w:w="1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التكامل المستمر</w:t>
            </w:r>
          </w:p>
        </w:tc>
        <w:tc>
          <w:tcPr>
            <w:tcW w:type="pct" w:w="2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بناء أخضر على المنصات الخمس في دفعة واحدة</w:t>
            </w:r>
          </w:p>
        </w:tc>
        <w:tc>
          <w:tcPr>
            <w:tcW w:type="pct" w:w="1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سير GitHub Actions الخماسي الحالي</w:t>
            </w:r>
          </w:p>
        </w:tc>
      </w:tr>
      <w:tr>
        <w:trPr>
          <w:cantSplit/>
        </w:trPr>
        <w:tc>
          <w:tcPr>
            <w:tcW w:type="pct" w:w="1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الاختبارات</w:t>
            </w:r>
          </w:p>
        </w:tc>
        <w:tc>
          <w:tcPr>
            <w:tcW w:type="pct" w:w="2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عتبة E2E تصاعدية: 700 ثم 900 — صفر تدهور</w:t>
            </w:r>
          </w:p>
        </w:tc>
        <w:tc>
          <w:tcPr>
            <w:tcW w:type="pct" w:w="16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مجموعة desktop-e2e الحالية (585)</w:t>
            </w:r>
          </w:p>
        </w:tc>
      </w:tr>
      <w:tr>
        <w:trPr>
          <w:cantSplit/>
        </w:trPr>
        <w:tc>
          <w:tcPr>
            <w:tcW w:type="pct" w:w="1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الأمان</w:t>
            </w:r>
          </w:p>
        </w:tc>
        <w:tc>
          <w:tcPr>
            <w:tcW w:type="pct" w:w="2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توقيع حزم + تحقق بصمات SHA256SUMS قبل النشر</w:t>
            </w:r>
          </w:p>
        </w:tc>
        <w:tc>
          <w:tcPr>
            <w:tcW w:type="pct" w:w="1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أصول الإصدار وصفحة النشر الحية</w:t>
            </w:r>
          </w:p>
        </w:tc>
      </w:tr>
      <w:tr>
        <w:trPr>
          <w:cantSplit/>
        </w:trPr>
        <w:tc>
          <w:tcPr>
            <w:tcW w:type="pct" w:w="1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التوثيق</w:t>
            </w:r>
          </w:p>
        </w:tc>
        <w:tc>
          <w:tcPr>
            <w:tcW w:type="pct" w:w="2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حدود صادقة موثقة لكل ميزة جديدة في العقد</w:t>
            </w:r>
          </w:p>
        </w:tc>
        <w:tc>
          <w:tcPr>
            <w:tcW w:type="pct" w:w="16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نمط التوثيق العقدي المرخی §26–§27</w:t>
            </w:r>
          </w:p>
        </w:tc>
      </w:tr>
      <w:tr>
        <w:trPr>
          <w:cantSplit/>
        </w:trPr>
        <w:tc>
          <w:tcPr>
            <w:tcW w:type="pct" w:w="1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الترجمة</w:t>
            </w:r>
          </w:p>
        </w:tc>
        <w:tc>
          <w:tcPr>
            <w:tcW w:type="pct" w:w="2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كل نص جديد مغطى بالعربية والإنجليزية دون مفاتيح ناقصة</w:t>
            </w:r>
          </w:p>
        </w:tc>
        <w:tc>
          <w:tcPr>
            <w:tcW w:type="pct" w:w="1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طبقة i18n الحالية (3480 مفتاحًا+)</w:t>
            </w:r>
          </w:p>
        </w:tc>
      </w:tr>
    </w:tbl>
    <w:p>
      <w:pPr>
        <w:spacing w:after="120"/>
      </w:pPr>
    </w:p>
    <w:p>
      <w:pPr>
        <w:pStyle w:val="Heading1"/>
        <w:bidi/>
        <w:spacing w:after="160" w:before="360" w:line="312"/>
        <w:jc w:val="center"/>
      </w:pPr>
      <w:bookmarkStart w:name="_Toc18" w:id="18"/>
      <w:r>
        <w:rPr>
          <w:rFonts w:ascii="Arial" w:cs="Arial" w:eastAsia="Arial" w:hAnsi="Arial"/>
          <w:b/>
          <w:bCs/>
          <w:color w:val="1A2330"/>
          <w:sz w:val="32"/>
          <w:szCs w:val="32"/>
          <w:rtl/>
        </w:rPr>
        <w:t xml:space="preserve">سابعًا — المخاطر وخطة التخفيف</w:t>
      </w:r>
      <w:bookmarkEnd w:id="18"/>
    </w:p>
    <w:p>
      <w:pPr>
        <w:bidi/>
        <w:spacing w:after="120" w:line="312"/>
        <w:jc w:val="both"/>
      </w:pPr>
      <w:r>
        <w:rPr>
          <w:rFonts w:ascii="Arial" w:cs="Arial" w:eastAsia="Arial" w:hAnsi="Arial"/>
          <w:color w:val="000000"/>
          <w:sz w:val="24"/>
          <w:szCs w:val="24"/>
          <w:rtl/>
        </w:rPr>
        <w:t xml:space="preserve">خارطة طريق بلا مخاطر مسماة هي خطة وهم. الجدول التالي يقرر أخطر ستة مخاطر تهدد الخارطة، بأثرها واحتمالها وخطة تخفيفها والمرحلة التي تتبلور فيها. المنهجية متحفظة: يُدرج الخطر إذا كان أثره قادرًا على تأخير مرحلة كاملة، ويُقبل فقط إذا كانت خطة التخفيف قابلة للتنفيذ بالموارد الحالية أو بموارد مرحلية مخططة. تُراجع هذه القائمة في نهاية كل ربع سنة ضمن مراجعة الخارطة، ويُضاف ما يظهر من مخاطر جديدة بدل انتظارها.</w:t>
      </w:r>
    </w:p>
    <w:p>
      <w:pPr>
        <w:keepNext/>
        <w:bidi/>
        <w:spacing w:after="100" w:before="160" w:line="312"/>
        <w:jc w:val="center"/>
      </w:pPr>
      <w:r>
        <w:rPr>
          <w:rFonts w:ascii="Arial" w:cs="Arial" w:eastAsia="Arial" w:hAnsi="Arial"/>
          <w:b/>
          <w:bCs/>
          <w:color w:val="505A66"/>
          <w:sz w:val="21"/>
          <w:szCs w:val="21"/>
          <w:rtl/>
        </w:rPr>
        <w:t xml:space="preserve">جدول 6: سجل المخاطر الرئيسي وخطة التخفيف</w:t>
      </w:r>
    </w:p>
    <w:tbl>
      <w:tblPr>
        <w:bidiVisual/>
        <w:tblW w:type="pct" w:w="5000"/>
        <w:tblBorders>
          <w:top w:val="single" w:color="D4875A" w:sz="4"/>
          <w:left w:val="none" w:color="FFFFFF" w:sz="0"/>
          <w:bottom w:val="single" w:color="D4875A" w:sz="4"/>
          <w:right w:val="none" w:color="FFFFFF" w:sz="0"/>
          <w:insideH w:val="single" w:color="DDD0C8" w:sz="2"/>
          <w:insideV w:val="none" w:color="FFFFFF" w:sz="0"/>
        </w:tblBorders>
      </w:tblPr>
      <w:tblGrid>
        <w:gridCol w:w="1758"/>
        <w:gridCol w:w="1055"/>
        <w:gridCol w:w="1055"/>
        <w:gridCol w:w="3867"/>
        <w:gridCol w:w="1055"/>
      </w:tblGrid>
      <w:tr>
        <w:trPr>
          <w:cantSplit/>
          <w:tblHeader/>
        </w:trPr>
        <w:tc>
          <w:tcPr>
            <w:tcW w:type="pct" w:w="10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الخطر</w:t>
            </w:r>
          </w:p>
        </w:tc>
        <w:tc>
          <w:tcPr>
            <w:tcW w:type="pct" w:w="6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الأثر</w:t>
            </w:r>
          </w:p>
        </w:tc>
        <w:tc>
          <w:tcPr>
            <w:tcW w:type="pct" w:w="6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الاحتمال</w:t>
            </w:r>
          </w:p>
        </w:tc>
        <w:tc>
          <w:tcPr>
            <w:tcW w:type="pct" w:w="22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خطة التخفيف</w:t>
            </w:r>
          </w:p>
        </w:tc>
        <w:tc>
          <w:tcPr>
            <w:tcW w:type="pct" w:w="6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المرحلة</w:t>
            </w:r>
          </w:p>
        </w:tc>
      </w:tr>
      <w:tr>
        <w:trPr>
          <w:cantSplit/>
        </w:trPr>
        <w:tc>
          <w:tcPr>
            <w:tcW w:type="pct" w:w="10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قيود iOS على الوصول المنخفض</w:t>
            </w:r>
          </w:p>
        </w:tc>
        <w:tc>
          <w:tcPr>
            <w:tcW w:type="pct" w:w="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مرتفع</w:t>
            </w:r>
          </w:p>
        </w:tc>
        <w:tc>
          <w:tcPr>
            <w:tcW w:type="pct" w:w="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مؤكد</w:t>
            </w:r>
          </w:p>
        </w:tc>
        <w:tc>
          <w:tcPr>
            <w:tcW w:type="pct" w:w="2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عميل PWA محدود بواجهة الويب + جعل واجهة الحاسوب مقصودة لمستخدمي أبل، وتأجيل أي وعد لم يتيسر</w:t>
            </w:r>
          </w:p>
        </w:tc>
        <w:tc>
          <w:tcPr>
            <w:tcW w:type="pct" w:w="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مستمر</w:t>
            </w:r>
          </w:p>
        </w:tc>
      </w:tr>
      <w:tr>
        <w:trPr>
          <w:cantSplit/>
        </w:trPr>
        <w:tc>
          <w:tcPr>
            <w:tcW w:type="pct" w:w="10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كلفة توقيع Apple والتحقق</w:t>
            </w:r>
          </w:p>
        </w:tc>
        <w:tc>
          <w:tcPr>
            <w:tcW w:type="pct" w:w="6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متوسط</w:t>
            </w:r>
          </w:p>
        </w:tc>
        <w:tc>
          <w:tcPr>
            <w:tcW w:type="pct" w:w="6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مرتفع</w:t>
            </w:r>
          </w:p>
        </w:tc>
        <w:tc>
          <w:tcPr>
            <w:tcW w:type="pct" w:w="2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الانضمام المبكر لبرنامج المطور وتلقئة السير في M0 قبل أن يصبح عائق إطلاق</w:t>
            </w:r>
          </w:p>
        </w:tc>
        <w:tc>
          <w:tcPr>
            <w:tcW w:type="pct" w:w="6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M0</w:t>
            </w:r>
          </w:p>
        </w:tc>
      </w:tr>
      <w:tr>
        <w:trPr>
          <w:cantSplit/>
        </w:trPr>
        <w:tc>
          <w:tcPr>
            <w:tcW w:type="pct" w:w="10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عوائق المتاجر ومراجعاتها</w:t>
            </w:r>
          </w:p>
        </w:tc>
        <w:tc>
          <w:tcPr>
            <w:tcW w:type="pct" w:w="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متوسط</w:t>
            </w:r>
          </w:p>
        </w:tc>
        <w:tc>
          <w:tcPr>
            <w:tcW w:type="pct" w:w="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متوسط</w:t>
            </w:r>
          </w:p>
        </w:tc>
        <w:tc>
          <w:tcPr>
            <w:tcW w:type="pct" w:w="2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توزيع مباشر موقّع أولًا (صفحة النشر الحية) ثم متاجر تدريجية: Flathub فالمتجر الأوسع</w:t>
            </w:r>
          </w:p>
        </w:tc>
        <w:tc>
          <w:tcPr>
            <w:tcW w:type="pct" w:w="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M0–M1</w:t>
            </w:r>
          </w:p>
        </w:tc>
      </w:tr>
      <w:tr>
        <w:trPr>
          <w:cantSplit/>
        </w:trPr>
        <w:tc>
          <w:tcPr>
            <w:tcW w:type="pct" w:w="10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بطء التبني أمام علامات كبرى</w:t>
            </w:r>
          </w:p>
        </w:tc>
        <w:tc>
          <w:tcPr>
            <w:tcW w:type="pct" w:w="6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مرتفع</w:t>
            </w:r>
          </w:p>
        </w:tc>
        <w:tc>
          <w:tcPr>
            <w:tcW w:type="pct" w:w="6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متوسط</w:t>
            </w:r>
          </w:p>
        </w:tc>
        <w:tc>
          <w:tcPr>
            <w:tcW w:type="pct" w:w="2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التركيز على فئة مبكرة جدية (مستخدمو خصوصية ومحترفون) وقصص استخدام لا يستطيع الكبار سردها</w:t>
            </w:r>
          </w:p>
        </w:tc>
        <w:tc>
          <w:tcPr>
            <w:tcW w:type="pct" w:w="6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مستمر</w:t>
            </w:r>
          </w:p>
        </w:tc>
      </w:tr>
      <w:tr>
        <w:trPr>
          <w:cantSplit/>
        </w:trPr>
        <w:tc>
          <w:tcPr>
            <w:tcW w:type="pct" w:w="10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حجم الفريق الهندسي الواحد</w:t>
            </w:r>
          </w:p>
        </w:tc>
        <w:tc>
          <w:tcPr>
            <w:tcW w:type="pct" w:w="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مرتفع</w:t>
            </w:r>
          </w:p>
        </w:tc>
        <w:tc>
          <w:tcPr>
            <w:tcW w:type="pct" w:w="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مرتفع</w:t>
            </w:r>
          </w:p>
        </w:tc>
        <w:tc>
          <w:tcPr>
            <w:tcW w:type="pct" w:w="2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أتمتة CI الحالية كخط دفاع + افتتاح مجتمع مفتوح جزئي في M3 لتوزيع عبء التكاملات</w:t>
            </w:r>
          </w:p>
        </w:tc>
        <w:tc>
          <w:tcPr>
            <w:tcW w:type="pct" w:w="6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M3</w:t>
            </w:r>
          </w:p>
        </w:tc>
      </w:tr>
      <w:tr>
        <w:trPr>
          <w:cantSplit/>
        </w:trPr>
        <w:tc>
          <w:tcPr>
            <w:tcW w:type="pct" w:w="10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تذبذب بيئة التشغيل التطويرية</w:t>
            </w:r>
          </w:p>
        </w:tc>
        <w:tc>
          <w:tcPr>
            <w:tcW w:type="pct" w:w="6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متوسط</w:t>
            </w:r>
          </w:p>
        </w:tc>
        <w:tc>
          <w:tcPr>
            <w:tcW w:type="pct" w:w="6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منخفض</w:t>
            </w:r>
          </w:p>
        </w:tc>
        <w:tc>
          <w:tcPr>
            <w:tcW w:type="pct" w:w="2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قواعد ops المرسخة في سجل العمل: الإقلاع الدائم عبر dev.sh المرفوع لا الإطلاق المباشر</w:t>
            </w:r>
          </w:p>
        </w:tc>
        <w:tc>
          <w:tcPr>
            <w:tcW w:type="pct" w:w="6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مستمر</w:t>
            </w:r>
          </w:p>
        </w:tc>
      </w:tr>
    </w:tbl>
    <w:p>
      <w:pPr>
        <w:spacing w:after="120"/>
      </w:pPr>
    </w:p>
    <w:p>
      <w:pPr>
        <w:bidi/>
        <w:spacing w:after="120" w:line="312"/>
        <w:jc w:val="both"/>
      </w:pPr>
      <w:r>
        <w:rPr>
          <w:rFonts w:ascii="Arial" w:cs="Arial" w:eastAsia="Arial" w:hAnsi="Arial"/>
          <w:color w:val="000000"/>
          <w:sz w:val="24"/>
          <w:szCs w:val="24"/>
          <w:rtl/>
        </w:rPr>
        <w:t xml:space="preserve">يستحق خطر iOS وقفة صريحة لأنه الأكثر استراتيجية. قيود المنصة تمنع الوصول المنخفض الذي تعتمد عليه قدرة الوكيل الكاملة، لذا الخطة ليست وعدًا بتوازي كامل بل تسليم قيمة قصوى ممكنة: عميل ويب متقدم (PWA) يخدم الاقتران والإشعارات ضمن حدود المنصة، مع إبقاء تجربة الحاسوب ممتازة لمستخدم أبل بوصفه مركزًا لا وكيلًا. هذه الصراحة تحمي مصداقية الخارطة، وكل تحسن في سماحات المنصة مستقبلًا يُلتقط فورًا لأن العقد البروتوكولي جاهز أصلًا.</w:t>
      </w:r>
    </w:p>
    <w:p>
      <w:pPr>
        <w:pStyle w:val="Heading1"/>
        <w:bidi/>
        <w:spacing w:after="160" w:before="360" w:line="312"/>
        <w:jc w:val="center"/>
      </w:pPr>
      <w:bookmarkStart w:name="_Toc19" w:id="19"/>
      <w:r>
        <w:rPr>
          <w:rFonts w:ascii="Arial" w:cs="Arial" w:eastAsia="Arial" w:hAnsi="Arial"/>
          <w:b/>
          <w:bCs/>
          <w:color w:val="1A2330"/>
          <w:sz w:val="32"/>
          <w:szCs w:val="32"/>
          <w:rtl/>
        </w:rPr>
        <w:t xml:space="preserve">ثامنًا — المؤشرات والفوائد المتوقعة</w:t>
      </w:r>
      <w:bookmarkEnd w:id="19"/>
    </w:p>
    <w:p>
      <w:pPr>
        <w:bidi/>
        <w:spacing w:after="120" w:line="312"/>
        <w:jc w:val="both"/>
      </w:pPr>
      <w:r>
        <w:rPr>
          <w:rFonts w:ascii="Arial" w:cs="Arial" w:eastAsia="Arial" w:hAnsi="Arial"/>
          <w:color w:val="000000"/>
          <w:sz w:val="24"/>
          <w:szCs w:val="24"/>
          <w:rtl/>
        </w:rPr>
        <w:t xml:space="preserve">تُقاس الخارطة بمؤشرات قليلة صادقة لا بلوحات إحصاء مزخرفة. الأرقام في جدول هذه الفقرة من نوعين يفصل بينهما الجدول نفسه: خط الأساس أرقام حقيقية قائمة اليوم تُقرأ من المستودع ومركز الصحة، أما أهداف المراحل فهي تعهدات مستقبلية معلنة مسبقًا لتُحاسب عليها الخارطة لا حقائق قائمة. تُراجع المؤشرات ربعيًا في مراجعة الخارطة نفسها التي تراجع المخاطر، وأي مؤشر يتراجع ربعين متتاليين يستدعي قرارًا صريحًا: إعادة تمويل أو إعادة نطاق.</w:t>
      </w:r>
    </w:p>
    <w:p>
      <w:pPr>
        <w:keepNext/>
        <w:bidi/>
        <w:spacing w:after="100" w:before="160" w:line="312"/>
        <w:jc w:val="center"/>
      </w:pPr>
      <w:r>
        <w:rPr>
          <w:rFonts w:ascii="Arial" w:cs="Arial" w:eastAsia="Arial" w:hAnsi="Arial"/>
          <w:b/>
          <w:bCs/>
          <w:color w:val="505A66"/>
          <w:sz w:val="21"/>
          <w:szCs w:val="21"/>
          <w:rtl/>
        </w:rPr>
        <w:t xml:space="preserve">جدول 7: مؤشرات القياس — خط الأساس الحالي وأهداف المراحل</w:t>
      </w:r>
    </w:p>
    <w:tbl>
      <w:tblPr>
        <w:bidiVisual/>
        <w:tblW w:type="pct" w:w="5000"/>
        <w:tblBorders>
          <w:top w:val="single" w:color="D4875A" w:sz="4"/>
          <w:left w:val="none" w:color="FFFFFF" w:sz="0"/>
          <w:bottom w:val="single" w:color="D4875A" w:sz="4"/>
          <w:right w:val="none" w:color="FFFFFF" w:sz="0"/>
          <w:insideH w:val="single" w:color="DDD0C8" w:sz="2"/>
          <w:insideV w:val="none" w:color="FFFFFF" w:sz="0"/>
        </w:tblBorders>
      </w:tblPr>
      <w:tblGrid>
        <w:gridCol w:w="2636"/>
        <w:gridCol w:w="2109"/>
        <w:gridCol w:w="1933"/>
        <w:gridCol w:w="2109"/>
      </w:tblGrid>
      <w:tr>
        <w:trPr>
          <w:cantSplit/>
          <w:tblHeader/>
        </w:trPr>
        <w:tc>
          <w:tcPr>
            <w:tcW w:type="pct" w:w="15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المؤشر</w:t>
            </w:r>
          </w:p>
        </w:tc>
        <w:tc>
          <w:tcPr>
            <w:tcW w:type="pct" w:w="12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خط الأساس اليوم</w:t>
            </w:r>
          </w:p>
        </w:tc>
        <w:tc>
          <w:tcPr>
            <w:tcW w:type="pct" w:w="11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هدف نهاية M1</w:t>
            </w:r>
          </w:p>
        </w:tc>
        <w:tc>
          <w:tcPr>
            <w:tcW w:type="pct" w:w="1200"/>
            <w:shd w:fill="D4875A" w:val="clear"/>
            <w:tcMar>
              <w:top w:type="dxa" w:w="60"/>
              <w:left w:type="dxa" w:w="120"/>
              <w:bottom w:type="dxa" w:w="60"/>
              <w:right w:type="dxa" w:w="120"/>
            </w:tcMar>
          </w:tcPr>
          <w:p>
            <w:pPr>
              <w:bidi/>
              <w:spacing w:line="312"/>
              <w:jc w:val="center"/>
            </w:pPr>
            <w:r>
              <w:rPr>
                <w:rFonts w:ascii="Arial" w:cs="Arial" w:eastAsia="Arial" w:hAnsi="Arial"/>
                <w:b/>
                <w:bCs/>
                <w:color w:val="FFFFFF"/>
                <w:sz w:val="21"/>
                <w:szCs w:val="21"/>
                <w:rtl/>
              </w:rPr>
              <w:t xml:space="preserve">هدف نهاية M4</w:t>
            </w:r>
          </w:p>
        </w:tc>
      </w:tr>
      <w:tr>
        <w:trPr>
          <w:cantSplit/>
        </w:trPr>
        <w:tc>
          <w:tcPr>
            <w:tcW w:type="pct" w:w="15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فحوص E2E الخضراء</w:t>
            </w:r>
          </w:p>
        </w:tc>
        <w:tc>
          <w:tcPr>
            <w:tcW w:type="pct" w:w="1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585</w:t>
            </w:r>
          </w:p>
        </w:tc>
        <w:tc>
          <w:tcPr>
            <w:tcW w:type="pct" w:w="11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900</w:t>
            </w:r>
          </w:p>
        </w:tc>
        <w:tc>
          <w:tcPr>
            <w:tcW w:type="pct" w:w="1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1200+</w:t>
            </w:r>
          </w:p>
        </w:tc>
      </w:tr>
      <w:tr>
        <w:trPr>
          <w:cantSplit/>
        </w:trPr>
        <w:tc>
          <w:tcPr>
            <w:tcW w:type="pct" w:w="15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زمن الاقتران حتى أول قيمة</w:t>
            </w:r>
          </w:p>
        </w:tc>
        <w:tc>
          <w:tcPr>
            <w:tcW w:type="pct" w:w="1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دقائق (يدوي)</w:t>
            </w:r>
          </w:p>
        </w:tc>
        <w:tc>
          <w:tcPr>
            <w:tcW w:type="pct" w:w="11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أقل من 30 ثانية</w:t>
            </w:r>
          </w:p>
        </w:tc>
        <w:tc>
          <w:tcPr>
            <w:tcW w:type="pct" w:w="1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أقل من 20 ثانية</w:t>
            </w:r>
          </w:p>
        </w:tc>
      </w:tr>
      <w:tr>
        <w:trPr>
          <w:cantSplit/>
        </w:trPr>
        <w:tc>
          <w:tcPr>
            <w:tcW w:type="pct" w:w="15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موثوقية المزامنة الأسبوعية</w:t>
            </w:r>
          </w:p>
        </w:tc>
        <w:tc>
          <w:tcPr>
            <w:tcW w:type="pct" w:w="1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غير مقاسة مركزيًا</w:t>
            </w:r>
          </w:p>
        </w:tc>
        <w:tc>
          <w:tcPr>
            <w:tcW w:type="pct" w:w="11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99.9% مقاسة معلنة</w:t>
            </w:r>
          </w:p>
        </w:tc>
        <w:tc>
          <w:tcPr>
            <w:tcW w:type="pct" w:w="1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99.95%</w:t>
            </w:r>
          </w:p>
        </w:tc>
      </w:tr>
      <w:tr>
        <w:trPr>
          <w:cantSplit/>
        </w:trPr>
        <w:tc>
          <w:tcPr>
            <w:tcW w:type="pct" w:w="15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استجابة التحكم p95 محليًا</w:t>
            </w:r>
          </w:p>
        </w:tc>
        <w:tc>
          <w:tcPr>
            <w:tcW w:type="pct" w:w="1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غير مقاسة معلنة</w:t>
            </w:r>
          </w:p>
        </w:tc>
        <w:tc>
          <w:tcPr>
            <w:tcW w:type="pct" w:w="11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أقل من 80ms</w:t>
            </w:r>
          </w:p>
        </w:tc>
        <w:tc>
          <w:tcPr>
            <w:tcW w:type="pct" w:w="1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أقل من 50ms</w:t>
            </w:r>
          </w:p>
        </w:tc>
      </w:tr>
      <w:tr>
        <w:trPr>
          <w:cantSplit/>
        </w:trPr>
        <w:tc>
          <w:tcPr>
            <w:tcW w:type="pct" w:w="15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تكاملات السوق</w:t>
            </w:r>
          </w:p>
        </w:tc>
        <w:tc>
          <w:tcPr>
            <w:tcW w:type="pct" w:w="1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لا يوجد</w:t>
            </w:r>
          </w:p>
        </w:tc>
        <w:tc>
          <w:tcPr>
            <w:tcW w:type="pct" w:w="11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لا يوجد</w:t>
            </w:r>
          </w:p>
        </w:tc>
        <w:tc>
          <w:tcPr>
            <w:tcW w:type="pct" w:w="1200"/>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10+</w:t>
            </w:r>
          </w:p>
        </w:tc>
      </w:tr>
      <w:tr>
        <w:trPr>
          <w:cantSplit/>
        </w:trPr>
        <w:tc>
          <w:tcPr>
            <w:tcW w:type="pct" w:w="15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منصات التوزيع الرسمية</w:t>
            </w:r>
          </w:p>
        </w:tc>
        <w:tc>
          <w:tcPr>
            <w:tcW w:type="pct" w:w="1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صفحة النشر مباشرة</w:t>
            </w:r>
          </w:p>
        </w:tc>
        <w:tc>
          <w:tcPr>
            <w:tcW w:type="pct" w:w="11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3 (إضافة Flathub والمتجران)</w:t>
            </w:r>
          </w:p>
        </w:tc>
        <w:tc>
          <w:tcPr>
            <w:tcW w:type="pct" w:w="1200"/>
            <w:shd w:fill="F8F0EB" w:val="clear"/>
            <w:tcMar>
              <w:top w:type="dxa" w:w="60"/>
              <w:left w:type="dxa" w:w="120"/>
              <w:bottom w:type="dxa" w:w="60"/>
              <w:right w:type="dxa" w:w="120"/>
            </w:tcMar>
          </w:tcPr>
          <w:p>
            <w:pPr>
              <w:bidi/>
              <w:spacing w:line="312"/>
              <w:jc w:val="left"/>
            </w:pPr>
            <w:r>
              <w:rPr>
                <w:rFonts w:ascii="Arial" w:cs="Arial" w:eastAsia="Arial" w:hAnsi="Arial"/>
                <w:color w:val="000000"/>
                <w:sz w:val="21"/>
                <w:szCs w:val="21"/>
                <w:rtl/>
              </w:rPr>
              <w:t xml:space="preserve">5+ مع شراكات OEM</w:t>
            </w:r>
          </w:p>
        </w:tc>
      </w:tr>
    </w:tbl>
    <w:p>
      <w:pPr>
        <w:spacing w:after="120"/>
      </w:pPr>
    </w:p>
    <w:p>
      <w:pPr>
        <w:bidi/>
        <w:spacing w:after="120" w:line="312"/>
        <w:jc w:val="both"/>
      </w:pPr>
      <w:r>
        <w:rPr>
          <w:rFonts w:ascii="Arial" w:cs="Arial" w:eastAsia="Arial" w:hAnsi="Arial"/>
          <w:color w:val="000000"/>
          <w:sz w:val="24"/>
          <w:szCs w:val="24"/>
          <w:rtl/>
        </w:rPr>
        <w:t xml:space="preserve">أما الفوائد فثلاث طبقات متراكمة. طبقة المستخدم: تبنٍّ بلا احتكاك (لا حساب ولا إعداد معقد)، وخصوصية لا تحتاج ثقة عمياء لأنها قابلة للإثبات، وقيمة يومية تتراكم مع تاريخ الاستخدام نفسه. طبقة المنتج: تمايز لا يُقلَّد سريعًا لأنه معماري (بلا سحابة) وتراكمي (تاريخ قياس) في آن، وخلقون تشغيلي منخفض بنيويًا لأنه لا يوجد خادم سحابي يُشترى ويُوسَّع مع كل مستخدم جديد. طبقة الشركة: مسار واضح نحو إيراد مؤسسي (M4) مبني على ثقة أثبتتها سنوات من التوزيع المباشر، لا على دفعة تسويقية. هذه الطبقات هي الفرق بين منتج يجمع تنزيلات ومنتج يبني مكانة.</w:t>
      </w:r>
    </w:p>
    <w:p>
      <w:pPr>
        <w:pStyle w:val="Heading1"/>
        <w:bidi/>
        <w:spacing w:after="160" w:before="360" w:line="312"/>
        <w:jc w:val="center"/>
      </w:pPr>
      <w:bookmarkStart w:name="_Toc20" w:id="20"/>
      <w:r>
        <w:rPr>
          <w:rFonts w:ascii="Arial" w:cs="Arial" w:eastAsia="Arial" w:hAnsi="Arial"/>
          <w:b/>
          <w:bCs/>
          <w:color w:val="1A2330"/>
          <w:sz w:val="32"/>
          <w:szCs w:val="32"/>
          <w:rtl/>
        </w:rPr>
        <w:t xml:space="preserve">تاسعًا — التوصيات التنفيذية والخطوات الفورية</w:t>
      </w:r>
      <w:bookmarkEnd w:id="20"/>
    </w:p>
    <w:p>
      <w:pPr>
        <w:bidi/>
        <w:spacing w:after="120" w:line="312"/>
        <w:jc w:val="both"/>
      </w:pPr>
      <w:r>
        <w:rPr>
          <w:rFonts w:ascii="Arial" w:cs="Arial" w:eastAsia="Arial" w:hAnsi="Arial"/>
          <w:color w:val="000000"/>
          <w:sz w:val="24"/>
          <w:szCs w:val="24"/>
          <w:rtl/>
        </w:rPr>
        <w:t xml:space="preserve">الخارطة تُبنى بالأشهر الأولى لا بعنوانها. خلال الثلاثين يومًا القادمة تُنفذ الست خطوات التالية بالترتيب، وكلها داخل نطاق المرحلة M0 ولا تحتاج أي قرار بنائي جديد — قراراتها في هذه الوثيقة صارت مأخوذة:</w:t>
      </w:r>
    </w:p>
    <w:p>
      <w:pPr>
        <w:pStyle w:val="ListParagraph"/>
        <w:numPr>
          <w:ilvl w:val="0"/>
          <w:numId w:val="2"/>
        </w:numPr>
        <w:bidi/>
        <w:spacing w:after="100" w:line="312"/>
        <w:jc w:val="left"/>
      </w:pPr>
      <w:r>
        <w:rPr>
          <w:rFonts w:ascii="Arial" w:cs="Arial" w:eastAsia="Arial" w:hAnsi="Arial"/>
          <w:color w:val="000000"/>
          <w:sz w:val="24"/>
          <w:szCs w:val="24"/>
          <w:rtl/>
        </w:rPr>
        <w:t xml:space="preserve">الانضمام إلى برنامج مطوري Apple وشراء شهادة توقيع Windows، وتشغيل توقيع NSIS وMSI وDMG آليًا داخل سير الإصدار الحالي — الخطوة الأعلى مردودًا في إزالة عوائق التبني.</w:t>
      </w:r>
    </w:p>
    <w:p>
      <w:pPr>
        <w:pStyle w:val="ListParagraph"/>
        <w:numPr>
          <w:ilvl w:val="0"/>
          <w:numId w:val="2"/>
        </w:numPr>
        <w:bidi/>
        <w:spacing w:after="100" w:line="312"/>
        <w:jc w:val="left"/>
      </w:pPr>
      <w:r>
        <w:rPr>
          <w:rFonts w:ascii="Arial" w:cs="Arial" w:eastAsia="Arial" w:hAnsi="Arial"/>
          <w:color w:val="000000"/>
          <w:sz w:val="24"/>
          <w:szCs w:val="24"/>
          <w:rtl/>
        </w:rPr>
        <w:t xml:space="preserve">تشغيل تدقيق أمني داخلي شامل بقائمة فحص مكتوبة: قنوات E2EE وتبادل المفاتيح، أذونات أندرويد الحساسة، سطح هجوم البوابة الموحدة ومسار التراجع 81/8180 — وتحويل النتائج إلى بنود عمل مغلقة.</w:t>
      </w:r>
    </w:p>
    <w:p>
      <w:pPr>
        <w:pStyle w:val="ListParagraph"/>
        <w:numPr>
          <w:ilvl w:val="0"/>
          <w:numId w:val="2"/>
        </w:numPr>
        <w:bidi/>
        <w:spacing w:after="100" w:line="312"/>
        <w:jc w:val="left"/>
      </w:pPr>
      <w:r>
        <w:rPr>
          <w:rFonts w:ascii="Arial" w:cs="Arial" w:eastAsia="Arial" w:hAnsi="Arial"/>
          <w:color w:val="000000"/>
          <w:sz w:val="24"/>
          <w:szCs w:val="24"/>
          <w:rtl/>
        </w:rPr>
        <w:t xml:space="preserve">رفع عتبة مجموعة E2E من 585 إلى 700 فحص بتغطية مسارات التوقيع والتحديث الذاتي ومسار الاقتران كاملًا.</w:t>
      </w:r>
    </w:p>
    <w:p>
      <w:pPr>
        <w:pStyle w:val="ListParagraph"/>
        <w:numPr>
          <w:ilvl w:val="0"/>
          <w:numId w:val="2"/>
        </w:numPr>
        <w:bidi/>
        <w:spacing w:after="100" w:line="312"/>
        <w:jc w:val="left"/>
      </w:pPr>
      <w:r>
        <w:rPr>
          <w:rFonts w:ascii="Arial" w:cs="Arial" w:eastAsia="Arial" w:hAnsi="Arial"/>
          <w:color w:val="000000"/>
          <w:sz w:val="24"/>
          <w:szCs w:val="24"/>
          <w:rtl/>
        </w:rPr>
        <w:t xml:space="preserve">تجهيز حزمة Flathub لينكس (بيانات وصفية ولقطات وسياسة تحديث) ودفعها للمراجعة كأول قناة متجر رسمية.</w:t>
      </w:r>
    </w:p>
    <w:p>
      <w:pPr>
        <w:pStyle w:val="ListParagraph"/>
        <w:numPr>
          <w:ilvl w:val="0"/>
          <w:numId w:val="2"/>
        </w:numPr>
        <w:bidi/>
        <w:spacing w:after="100" w:line="312"/>
        <w:jc w:val="left"/>
      </w:pPr>
      <w:r>
        <w:rPr>
          <w:rFonts w:ascii="Arial" w:cs="Arial" w:eastAsia="Arial" w:hAnsi="Arial"/>
          <w:color w:val="000000"/>
          <w:sz w:val="24"/>
          <w:szCs w:val="24"/>
          <w:rtl/>
        </w:rPr>
        <w:t xml:space="preserve">إطلاق حلقة تغذية راجعة مبكرة: قناة اتصال موثقة في صفحة النشر الحية تصل مباشرة بسجل العمل، لتأسيس ممارسة «صوت المستخدم في كل إصدار» قبل التوسع.</w:t>
      </w:r>
    </w:p>
    <w:p>
      <w:pPr>
        <w:pStyle w:val="ListParagraph"/>
        <w:numPr>
          <w:ilvl w:val="0"/>
          <w:numId w:val="2"/>
        </w:numPr>
        <w:bidi/>
        <w:spacing w:after="100" w:line="312"/>
        <w:jc w:val="left"/>
      </w:pPr>
      <w:r>
        <w:rPr>
          <w:rFonts w:ascii="Arial" w:cs="Arial" w:eastAsia="Arial" w:hAnsi="Arial"/>
          <w:color w:val="000000"/>
          <w:sz w:val="24"/>
          <w:szCs w:val="24"/>
          <w:rtl/>
        </w:rPr>
        <w:t xml:space="preserve">اعتماد هذه الوثيقة رسميًا كمرجع حي في docs/ مع مراجعة ربعية موثقة في سجل العمل — أول مراجعة نهاية الربع الجاري.</w:t>
      </w:r>
    </w:p>
    <w:p>
      <w:pPr>
        <w:bidi/>
        <w:spacing w:after="120" w:line="312"/>
        <w:jc w:val="both"/>
      </w:pPr>
      <w:r>
        <w:rPr>
          <w:rFonts w:ascii="Arial" w:cs="Arial" w:eastAsia="Arial" w:hAnsi="Arial"/>
          <w:color w:val="000000"/>
          <w:sz w:val="24"/>
          <w:szCs w:val="24"/>
          <w:rtl/>
        </w:rPr>
        <w:t xml:space="preserve">بهذه الخطوات يدخل NexusLink المرحلة الأولى من الخارطة بزخم مكتسب لا من الصفر: بنية جودة قائمة، ومنتج حي خماسي المنصات، وفراغ تنافسي مفتوح أمامه، وعقيدة قرار تمنع التشتت. ما تبقى من الرحلة تفصيل للمراحل كما وردت هنا، والقاعدة الأولى والأخيرة تبقى كما هي: كل خطوة تعمّق خندقًا، وما لا يعمق خندقًا لا يُبنى.</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r>
    <w:r>
      <w:rPr>
        <w:rFonts w:ascii="Arial" w:cs="Arial" w:eastAsia="Arial" w:hAnsi="Arial"/>
        <w:color w:val="808080"/>
        <w:sz w:val="18"/>
        <w:szCs w:val="18"/>
      </w:rPr>
      <w:instrText xml:space="preserve"> PAGE \* ROMAN \* MERGEFORMAT </w:instrText>
    </w:r>
    <w:r>
      <w:rPr>
        <w:rFonts w:ascii="Arial" w:cs="Arial" w:eastAsia="Arial" w:hAnsi="Arial"/>
        <w:color w:val="808080"/>
        <w:sz w:val="18"/>
        <w:szCs w:val="18"/>
      </w:rPr>
      <w:fldChar w:fldCharType="separate"/>
    </w:r>
    <w:r>
      <w:rPr>
        <w:rFonts w:ascii="Arial" w:cs="Arial" w:eastAsia="Arial" w:hAnsi="Arial"/>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r>
    <w:r>
      <w:rPr>
        <w:rFonts w:ascii="Arial" w:cs="Arial" w:eastAsia="Arial" w:hAnsi="Arial"/>
        <w:color w:val="808080"/>
        <w:sz w:val="18"/>
        <w:szCs w:val="18"/>
      </w:rPr>
      <w:instrText xml:space="preserve"> PAGE \* arabic \* MERGEFORMAT </w:instrText>
    </w:r>
    <w:r>
      <w:rPr>
        <w:rFonts w:ascii="Arial" w:cs="Arial" w:eastAsia="Arial" w:hAnsi="Arial"/>
        <w:color w:val="808080"/>
        <w:sz w:val="18"/>
        <w:szCs w:val="18"/>
      </w:rPr>
      <w:fldChar w:fldCharType="separate"/>
    </w:r>
    <w:r>
      <w:rPr>
        <w:rFonts w:ascii="Arial" w:cs="Arial" w:eastAsia="Arial" w:hAnsi="Arial"/>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2" w:space="4"/>
      </w:pBdr>
      <w:bidi/>
      <w:jc w:val="left"/>
    </w:pPr>
    <w:r>
      <w:rPr>
        <w:rFonts w:ascii="Arial" w:cs="Arial" w:eastAsia="Arial" w:hAnsi="Arial"/>
        <w:color w:val="888888"/>
        <w:sz w:val="18"/>
        <w:szCs w:val="18"/>
        <w:rtl/>
      </w:rPr>
      <w:t xml:space="preserve">خارطة الطريق الشاملة لتطوير NexusLink — وثيقة استراتيجية داخلية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righ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cs="Arial" w:eastAsia="Arial" w:hAnsi="Arial"/>
      <w:b/>
      <w:bCs/>
      <w:color w:val="1A2330"/>
      <w:sz w:val="32"/>
      <w:szCs w:val="32"/>
    </w:rPr>
  </w:style>
  <w:style w:type="paragraph" w:styleId="Heading2">
    <w:name w:val="Heading 2"/>
    <w:basedOn w:val="Normal"/>
    <w:next w:val="Normal"/>
    <w:qFormat/>
    <w:pPr>
      <w:spacing w:after="120" w:before="240" w:line="312"/>
      <w:outlineLvl w:val="1"/>
    </w:pPr>
    <w:rPr>
      <w:rFonts w:ascii="Arial" w:cs="Arial" w:eastAsia="Arial" w:hAnsi="Arial"/>
      <w:b/>
      <w:bCs/>
      <w:color w:val="1A2330"/>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31670127985d7db4e405fa9d02d15a6901d5c13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خارطة الطريق الشاملة لتطوير NexusLink</dc:title>
  <dc:creator>CTO-DRS · NexusLink</dc:creator>
  <dc:description>من منصة ربط أجهزة محلية إلى منظومة لا تُنافَس — خمس مراحل وخمسة خنادق تنافسية</dc:description>
  <cp:lastModifiedBy>Un-named</cp:lastModifiedBy>
  <cp:revision>1</cp:revision>
  <dcterms:created xsi:type="dcterms:W3CDTF">2026-10-19T00:06:41.984Z</dcterms:created>
  <dcterms:modified xsi:type="dcterms:W3CDTF">2026-10-19T00:06:41.984Z</dcterms:modified>
</cp:coreProperties>
</file>

<file path=docProps/custom.xml><?xml version="1.0" encoding="utf-8"?>
<Properties xmlns="http://schemas.openxmlformats.org/officeDocument/2006/custom-properties" xmlns:vt="http://schemas.openxmlformats.org/officeDocument/2006/docPropsVTypes"/>
</file>