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0B1026" w:val="clear"/>
            <w:tcMar>
              <w:left w:type="dxa" w:w="1150"/>
              <w:right w:type="dxa" w:w="1150"/>
            </w:tcMar>
            <w:vAlign w:val="top"/>
          </w:tcPr>
          <w:p>
            <w:pPr>
              <w:spacing w:before="3604"/>
            </w:pPr>
          </w:p>
          <w:p>
            <w:pPr>
              <w:pBdr>
                <w:bottom w:val="single" w:color="8B5CF6" w:sz="6" w:space="8"/>
              </w:pBdr>
              <w:bidi/>
              <w:spacing w:after="500" w:line="260"/>
              <w:jc w:val="start"/>
            </w:pPr>
            <w:r>
              <w:rPr>
                <w:rFonts w:ascii="Segoe UI" w:cs="Cairo" w:eastAsia="Segoe UI" w:hAnsi="Segoe UI"/>
                <w:b/>
                <w:bCs/>
                <w:color w:val="8B5CF6"/>
                <w:spacing w:val="60"/>
                <w:sz w:val="18"/>
                <w:szCs w:val="18"/>
              </w:rPr>
              <w:t xml:space="preserve">SUPERBIZ · WAVE 1 MASTER PLAN</w:t>
            </w:r>
          </w:p>
          <w:p>
            <w:pPr>
              <w:bidi/>
              <w:spacing w:after="100" w:line="713" w:lineRule="atLeast"/>
              <w:jc w:val="start"/>
            </w:pPr>
            <w:r>
              <w:rPr>
                <w:rFonts w:ascii="Segoe UI" w:cs="Cairo" w:eastAsia="Segoe UI" w:hAnsi="Segoe UI"/>
                <w:b/>
                <w:bCs/>
                <w:i w:val="false"/>
                <w:iCs w:val="false"/>
                <w:color w:val="FFFFFF"/>
                <w:sz w:val="62"/>
                <w:szCs w:val="62"/>
                <w:rtl/>
              </w:rPr>
              <w:t xml:space="preserve">الخطة التنفيذية الشاملة</w:t>
            </w:r>
          </w:p>
          <w:p>
            <w:pPr>
              <w:bidi/>
              <w:spacing w:after="300" w:line="713" w:lineRule="atLeast"/>
              <w:jc w:val="start"/>
            </w:pPr>
            <w:r>
              <w:rPr>
                <w:rFonts w:ascii="Segoe UI" w:cs="Cairo" w:eastAsia="Segoe UI" w:hAnsi="Segoe UI"/>
                <w:b/>
                <w:bCs/>
                <w:i w:val="false"/>
                <w:iCs w:val="false"/>
                <w:color w:val="FFFFFF"/>
                <w:sz w:val="62"/>
                <w:szCs w:val="62"/>
                <w:rtl/>
              </w:rPr>
              <w:t xml:space="preserve">للمرحلة الأولى (W1)</w:t>
            </w:r>
          </w:p>
          <w:p>
            <w:pPr>
              <w:bidi/>
              <w:spacing w:after="800" w:line="340" w:lineRule="atLeast"/>
              <w:jc w:val="start"/>
            </w:pPr>
            <w:r>
              <w:rPr>
                <w:rFonts w:ascii="Segoe UI" w:cs="Cairo" w:eastAsia="Segoe UI" w:hAnsi="Segoe UI"/>
                <w:b w:val="false"/>
                <w:i w:val="false"/>
                <w:iCs w:val="false"/>
                <w:color w:val="BCC3E6"/>
                <w:sz w:val="26"/>
                <w:szCs w:val="26"/>
                <w:rtl/>
              </w:rPr>
              <w:t xml:space="preserve">الموجة الأولى من خارطة الطريق العالمية SuperBiz 2026–2028 — «الإطلاق التجاري» · الإصدار v2.x</w:t>
            </w:r>
          </w:p>
          <w:p>
            <w:pPr>
              <w:pBdr>
                <w:right w:val="single" w:color="8B5CF6" w:sz="8" w:space="12"/>
              </w:pBdr>
              <w:bidi/>
              <w:spacing w:after="90" w:line="300"/>
              <w:jc w:val="start"/>
            </w:pPr>
            <w:r>
              <w:rPr>
                <w:rFonts w:ascii="Segoe UI" w:cs="Cairo" w:eastAsia="Segoe UI" w:hAnsi="Segoe UI"/>
                <w:b w:val="false"/>
                <w:i w:val="false"/>
                <w:iCs w:val="false"/>
                <w:color w:val="9BA3C7"/>
                <w:sz w:val="24"/>
                <w:szCs w:val="24"/>
                <w:rtl/>
              </w:rPr>
              <w:t xml:space="preserve">الجهة: فريق تطوير SuperBiz — إدارة التقنية (CTO Office)</w:t>
            </w:r>
          </w:p>
          <w:p>
            <w:pPr>
              <w:pBdr>
                <w:right w:val="single" w:color="8B5CF6" w:sz="8" w:space="12"/>
              </w:pBdr>
              <w:bidi/>
              <w:spacing w:after="90" w:line="300"/>
              <w:jc w:val="start"/>
            </w:pPr>
            <w:r>
              <w:rPr>
                <w:rFonts w:ascii="Segoe UI" w:cs="Cairo" w:eastAsia="Segoe UI" w:hAnsi="Segoe UI"/>
                <w:b w:val="false"/>
                <w:i w:val="false"/>
                <w:iCs w:val="false"/>
                <w:color w:val="9BA3C7"/>
                <w:sz w:val="24"/>
                <w:szCs w:val="24"/>
                <w:rtl/>
              </w:rPr>
              <w:t xml:space="preserve">الإصدار الحاكم: V 1.0.0 (versionCode 1) — commit 4b3845d</w:t>
            </w:r>
          </w:p>
          <w:p>
            <w:pPr>
              <w:pBdr>
                <w:right w:val="single" w:color="8B5CF6" w:sz="8" w:space="12"/>
              </w:pBdr>
              <w:bidi/>
              <w:spacing w:after="90" w:line="300"/>
              <w:jc w:val="start"/>
            </w:pPr>
            <w:r>
              <w:rPr>
                <w:rFonts w:ascii="Segoe UI" w:cs="Cairo" w:eastAsia="Segoe UI" w:hAnsi="Segoe UI"/>
                <w:b w:val="false"/>
                <w:i w:val="false"/>
                <w:iCs w:val="false"/>
                <w:color w:val="9BA3C7"/>
                <w:sz w:val="24"/>
                <w:szCs w:val="24"/>
                <w:rtl/>
              </w:rPr>
              <w:t xml:space="preserve">النطاق الزمني: 12 أسبوعاً — 5 أكتوبر حتى 27 ديسمبر 2026</w:t>
            </w:r>
          </w:p>
          <w:p>
            <w:pPr>
              <w:pBdr>
                <w:right w:val="single" w:color="8B5CF6" w:sz="8" w:space="12"/>
              </w:pBdr>
              <w:bidi/>
              <w:spacing w:after="90" w:line="300"/>
              <w:jc w:val="start"/>
            </w:pPr>
            <w:r>
              <w:rPr>
                <w:rFonts w:ascii="Segoe UI" w:cs="Cairo" w:eastAsia="Segoe UI" w:hAnsi="Segoe UI"/>
                <w:b w:val="false"/>
                <w:i w:val="false"/>
                <w:iCs w:val="false"/>
                <w:color w:val="9BA3C7"/>
                <w:sz w:val="24"/>
                <w:szCs w:val="24"/>
                <w:rtl/>
              </w:rPr>
              <w:t xml:space="preserve">التصنيف: سري — للاستخدام الداخلي للفريق</w:t>
            </w:r>
          </w:p>
          <w:p>
            <w:pPr>
              <w:spacing w:before="3604"/>
            </w:pPr>
          </w:p>
          <w:p>
            <w:pPr>
              <w:pBdr>
                <w:top w:val="single" w:color="8B5CF6" w:sz="2" w:space="8"/>
              </w:pBdr>
              <w:bidi/>
              <w:spacing w:before="200" w:line="280"/>
              <w:jc w:val="start"/>
            </w:pPr>
            <w:r>
              <w:rPr>
                <w:rFonts w:ascii="Segoe UI" w:cs="Cairo" w:eastAsia="Segoe UI" w:hAnsi="Segoe UI"/>
                <w:b w:val="false"/>
                <w:i w:val="false"/>
                <w:iCs w:val="false"/>
                <w:color w:val="6E7699"/>
                <w:sz w:val="17"/>
                <w:szCs w:val="17"/>
                <w:rtl/>
              </w:rPr>
              <w:t xml:space="preserve">SuperBiz 2.0 · خارطة الطريق العالمية 2026–2028</w:t>
            </w:r>
            <w:r>
              <w:rPr>
                <w:rFonts w:ascii="Segoe UI" w:cs="Cairo" w:eastAsia="Segoe UI" w:hAnsi="Segoe UI"/>
                <w:sz w:val="17"/>
                <w:szCs w:val="17"/>
              </w:rPr>
              <w:t xml:space="preserve">      </w:t>
            </w:r>
            <w:r>
              <w:rPr>
                <w:rFonts w:ascii="Segoe UI" w:cs="Cairo" w:eastAsia="Segoe UI" w:hAnsi="Segoe UI"/>
                <w:b w:val="false"/>
                <w:i w:val="false"/>
                <w:iCs w:val="false"/>
                <w:color w:val="6E7699"/>
                <w:sz w:val="17"/>
                <w:szCs w:val="17"/>
                <w:rtl/>
              </w:rPr>
              <w:t xml:space="preserve">أكتوبر 2026 · فريق التطوير</w:t>
            </w:r>
          </w:p>
        </w:tc>
      </w:tr>
    </w:tbl>
    <w:p>
      <w:pPr>
        <w:sectPr>
          <w:pgSz w:w="11906" w:h="16838" w:orient="portrait"/>
          <w:pgMar w:top="0" w:right="0" w:bottom="0" w:left="0" w:header="708" w:footer="708" w:gutter="0"/>
          <w:docGrid w:linePitch="360"/>
        </w:sectPr>
      </w:pPr>
    </w:p>
    <w:p>
      <w:pPr>
        <w:bidi/>
        <w:spacing w:after="360" w:before="480" w:line="380" w:lineRule="atLeast"/>
        <w:jc w:val="center"/>
      </w:pPr>
      <w:r>
        <w:rPr>
          <w:rFonts w:ascii="Segoe UI" w:cs="Cairo" w:eastAsia="Segoe UI" w:hAnsi="Segoe UI"/>
          <w:b/>
          <w:bCs/>
          <w:i w:val="false"/>
          <w:iCs w:val="false"/>
          <w:color w:val="0B1026"/>
          <w:sz w:val="32"/>
          <w:szCs w:val="32"/>
          <w:rtl/>
        </w:rPr>
        <w:t xml:space="preserve">المحتويات</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الملخص التنفيذي</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السياق الاستراتيجي والوضع الراهن</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موقع الموجة الأولى في خارطة 2026–2028</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جرد ما نُفّذ فعلياً في V 1.0.0 — نقطة انطلاق موثقة</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الضغط الزمني الخارجي: متطلب Play API 36</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تعريف «الامتياز العالمي» بمقاييس قابلة للتحقق</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3. الأهداف ومؤشرات النجاح العليا (OKRs)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3.1 بوابات القرار Go/No-Go</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4. نطاق العمل الموسّع: المسارات الستة</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4.1 المسار WS-A — الجودة والهندسة</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4.2 المسار WS-B — النشر التجاري على Google Play</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4.3 المسار WS-C — تحقيق الدخل Pro</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4.4 المسار WS-D — تأسيس ZATCA مرحلة-2</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4.5 المسار WS-E — تمهيد الذكاء المحلي</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4.6 المسار WS-F — تمهيد المؤسسات</w:t>
            </w:r>
            <w:r>
              <w:tab/>
            </w:r>
            <w:r>
              <w:fldChar w:fldCharType="begin"/>
            </w:r>
            <w:r>
              <w:instrText xml:space="preserve"> PAGEREF _Toc100014 \h </w:instrText>
            </w:r>
            <w:r>
              <w:fldChar w:fldCharType="separate"/>
            </w:r>
            <w:r>
              <w:t>5</w:t>
            </w:r>
            <w:r>
              <w:fldChar w:fldCharType="end"/>
            </w:r>
          </w:hyperlink>
        </w:p>
        <w:p>
          <w:pPr>
            <w:pStyle w:val="9"/>
            <w:tabs>
              <w:tab w:val="right" w:leader="dot" w:pos="9026"/>
            </w:tabs>
            <w:spacing w:before="120" w:after="60"/>
          </w:pPr>
          <w:hyperlink w:anchor="_Toc100015" w:history="1">
            <w:r>
              <w:rPr>
                <w:rStyle w:val="Hyperlink"/>
              </w:rPr>
              <w:t>5. هيكل تجزئة العمل (WBS) الأسبوعي</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5.1 أكتوبر 2026 — الأسبوع 1 إلى 4 (التأسيس والفتح)</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5.2 نوفمبر 2026 — الأسبوع 5 إلى 8 (الإطلاق والرصد) + تمهيد</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5.3 ديسمبر 2026 — الأسبوع 9 إلى 12 (التعميق وبوابة الخروج)</w:t>
            </w:r>
            <w:r>
              <w:tab/>
            </w:r>
            <w:r>
              <w:fldChar w:fldCharType="begin"/>
            </w:r>
            <w:r>
              <w:instrText xml:space="preserve"> PAGEREF _Toc100018 \h </w:instrText>
            </w:r>
            <w:r>
              <w:fldChar w:fldCharType="separate"/>
            </w:r>
            <w:r>
              <w:t>6</w:t>
            </w:r>
            <w:r>
              <w:fldChar w:fldCharType="end"/>
            </w:r>
          </w:hyperlink>
        </w:p>
        <w:p>
          <w:pPr>
            <w:pStyle w:val="9"/>
            <w:tabs>
              <w:tab w:val="right" w:leader="dot" w:pos="9026"/>
            </w:tabs>
            <w:spacing w:before="120" w:after="60"/>
          </w:pPr>
          <w:hyperlink w:anchor="_Toc100019" w:history="1">
            <w:r>
              <w:rPr>
                <w:rStyle w:val="Hyperlink"/>
              </w:rPr>
              <w:t>6. المخطط الزمني والمسار الحرج والمعالم</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6.1 المسار الحرج</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6.2 المعالم البوابية M1–M6</w:t>
            </w:r>
            <w:r>
              <w:tab/>
            </w:r>
            <w:r>
              <w:fldChar w:fldCharType="begin"/>
            </w:r>
            <w:r>
              <w:instrText xml:space="preserve"> PAGEREF _Toc100021 \h </w:instrText>
            </w:r>
            <w:r>
              <w:fldChar w:fldCharType="separate"/>
            </w:r>
            <w:r>
              <w:t>8</w:t>
            </w:r>
            <w:r>
              <w:fldChar w:fldCharType="end"/>
            </w:r>
          </w:hyperlink>
        </w:p>
        <w:p>
          <w:pPr>
            <w:pStyle w:val="9"/>
            <w:tabs>
              <w:tab w:val="right" w:leader="dot" w:pos="9026"/>
            </w:tabs>
            <w:spacing w:before="120" w:after="60"/>
          </w:pPr>
          <w:hyperlink w:anchor="_Toc100022" w:history="1">
            <w:r>
              <w:rPr>
                <w:rStyle w:val="Hyperlink"/>
              </w:rPr>
              <w:t>7. الفريق والأدوار ومصفوفة RACI</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7.1 خطة التوظيف التدريجية</w:t>
            </w:r>
            <w:r>
              <w:tab/>
            </w:r>
            <w:r>
              <w:fldChar w:fldCharType="begin"/>
            </w:r>
            <w:r>
              <w:instrText xml:space="preserve"> PAGEREF _Toc100023 \h </w:instrText>
            </w:r>
            <w:r>
              <w:fldChar w:fldCharType="separate"/>
            </w:r>
            <w:r>
              <w:t>8</w:t>
            </w:r>
            <w:r>
              <w:fldChar w:fldCharType="end"/>
            </w:r>
          </w:hyperlink>
        </w:p>
        <w:p>
          <w:pPr>
            <w:pStyle w:val="9"/>
            <w:tabs>
              <w:tab w:val="right" w:leader="dot" w:pos="9026"/>
            </w:tabs>
            <w:spacing w:before="120" w:after="60"/>
          </w:pPr>
          <w:hyperlink w:anchor="_Toc100024" w:history="1">
            <w:r>
              <w:rPr>
                <w:rStyle w:val="Hyperlink"/>
              </w:rPr>
              <w:t>8. الحوكمة وبوابات الجودة</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8.1 تعريف الإنجاز (Definition of Done)</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8.2 سياسة الفروع وبوابات CI/CD</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8.3 الطقوس التشغيلية</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8.4 معايير الجودة الدائمة (غير قابلة للتفاوض)</w:t>
            </w:r>
            <w:r>
              <w:tab/>
            </w:r>
            <w:r>
              <w:fldChar w:fldCharType="begin"/>
            </w:r>
            <w:r>
              <w:instrText xml:space="preserve"> PAGEREF _Toc100028 \h </w:instrText>
            </w:r>
            <w:r>
              <w:fldChar w:fldCharType="separate"/>
            </w:r>
            <w:r>
              <w:t>9</w:t>
            </w:r>
            <w:r>
              <w:fldChar w:fldCharType="end"/>
            </w:r>
          </w:hyperlink>
        </w:p>
        <w:p>
          <w:pPr>
            <w:pStyle w:val="9"/>
            <w:tabs>
              <w:tab w:val="right" w:leader="dot" w:pos="9026"/>
            </w:tabs>
            <w:spacing w:before="120" w:after="60"/>
          </w:pPr>
          <w:hyperlink w:anchor="_Toc100029" w:history="1">
            <w:r>
              <w:rPr>
                <w:rStyle w:val="Hyperlink"/>
              </w:rPr>
              <w:t>9. الميزانية وتقديرات التكلفة (بالريال السعودي)</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9.1 فرضيات الرواتب وضوابط الاعتماد</w:t>
            </w:r>
            <w:r>
              <w:tab/>
            </w:r>
            <w:r>
              <w:fldChar w:fldCharType="begin"/>
            </w:r>
            <w:r>
              <w:instrText xml:space="preserve"> PAGEREF _Toc100030 \h </w:instrText>
            </w:r>
            <w:r>
              <w:fldChar w:fldCharType="separate"/>
            </w:r>
            <w:r>
              <w:t>10</w:t>
            </w:r>
            <w:r>
              <w:fldChar w:fldCharType="end"/>
            </w:r>
          </w:hyperlink>
        </w:p>
        <w:p>
          <w:pPr>
            <w:pStyle w:val="9"/>
            <w:tabs>
              <w:tab w:val="right" w:leader="dot" w:pos="9026"/>
            </w:tabs>
            <w:spacing w:before="120" w:after="60"/>
          </w:pPr>
          <w:hyperlink w:anchor="_Toc100031" w:history="1">
            <w:r>
              <w:rPr>
                <w:rStyle w:val="Hyperlink"/>
              </w:rPr>
              <w:t>10. المخاطر والفرص وخطط التخفيف</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10.1 سجل الفرص</w:t>
            </w:r>
            <w:r>
              <w:tab/>
            </w:r>
            <w:r>
              <w:fldChar w:fldCharType="begin"/>
            </w:r>
            <w:r>
              <w:instrText xml:space="preserve"> PAGEREF _Toc100032 \h </w:instrText>
            </w:r>
            <w:r>
              <w:fldChar w:fldCharType="separate"/>
            </w:r>
            <w:r>
              <w:t>11</w:t>
            </w:r>
            <w:r>
              <w:fldChar w:fldCharType="end"/>
            </w:r>
          </w:hyperlink>
        </w:p>
        <w:p>
          <w:pPr>
            <w:pStyle w:val="9"/>
            <w:tabs>
              <w:tab w:val="right" w:leader="dot" w:pos="9026"/>
            </w:tabs>
            <w:spacing w:before="120" w:after="60"/>
          </w:pPr>
          <w:hyperlink w:anchor="_Toc100033" w:history="1">
            <w:r>
              <w:rPr>
                <w:rStyle w:val="Hyperlink"/>
              </w:rPr>
              <w:t>11. مؤشرات الأداء والإيقاع التشغيلي</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11.1 الإيقاع التشغيلي اليومي والأسبوعي</w:t>
            </w:r>
            <w:r>
              <w:tab/>
            </w:r>
            <w:r>
              <w:fldChar w:fldCharType="begin"/>
            </w:r>
            <w:r>
              <w:instrText xml:space="preserve"> PAGEREF _Toc100034 \h </w:instrText>
            </w:r>
            <w:r>
              <w:fldChar w:fldCharType="separate"/>
            </w:r>
            <w:r>
              <w:t>12</w:t>
            </w:r>
            <w:r>
              <w:fldChar w:fldCharType="end"/>
            </w:r>
          </w:hyperlink>
        </w:p>
        <w:p>
          <w:pPr>
            <w:pStyle w:val="9"/>
            <w:tabs>
              <w:tab w:val="right" w:leader="dot" w:pos="9026"/>
            </w:tabs>
            <w:spacing w:before="120" w:after="60"/>
          </w:pPr>
          <w:hyperlink w:anchor="_Toc100035" w:history="1">
            <w:r>
              <w:rPr>
                <w:rStyle w:val="Hyperlink"/>
              </w:rPr>
              <w:t>12. معايير القبول النهائية وبوابة الانتقال إلى الموجة 2</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12.1 بروتوكول التسليم لفريق الموجة الثانية</w:t>
            </w:r>
            <w:r>
              <w:tab/>
            </w:r>
            <w:r>
              <w:fldChar w:fldCharType="begin"/>
            </w:r>
            <w:r>
              <w:instrText xml:space="preserve"> PAGEREF _Toc100036 \h </w:instrText>
            </w:r>
            <w:r>
              <w:fldChar w:fldCharType="separate"/>
            </w:r>
            <w:r>
              <w:t>12</w:t>
            </w:r>
            <w:r>
              <w:fldChar w:fldCharType="end"/>
            </w:r>
          </w:hyperlink>
        </w:p>
        <w:p>
          <w:pPr>
            <w:pStyle w:val="9"/>
            <w:tabs>
              <w:tab w:val="right" w:leader="dot" w:pos="9026"/>
            </w:tabs>
            <w:spacing w:before="120" w:after="60"/>
          </w:pPr>
          <w:hyperlink w:anchor="_Toc100037" w:history="1">
            <w:r>
              <w:rPr>
                <w:rStyle w:val="Hyperlink"/>
              </w:rPr>
              <w:t>13. الملاحق</w:t>
            </w:r>
            <w:r>
              <w:tab/>
            </w:r>
            <w:r>
              <w:fldChar w:fldCharType="begin"/>
            </w:r>
            <w:r>
              <w:instrText xml:space="preserve"> PAGEREF _Toc100037 \h </w:instrText>
            </w:r>
            <w:r>
              <w:fldChar w:fldCharType="separate"/>
            </w:r>
            <w:r>
              <w:t>13</w:t>
            </w:r>
            <w:r>
              <w:fldChar w:fldCharType="end"/>
            </w:r>
          </w:hyperlink>
        </w:p>
        <w:p>
          <w:pPr>
            <w:pStyle w:val="11"/>
            <w:ind w:left="360"/>
            <w:tabs>
              <w:tab w:val="right" w:leader="dot" w:pos="9026"/>
            </w:tabs>
            <w:spacing w:before="120" w:after="60"/>
          </w:pPr>
          <w:hyperlink w:anchor="_Toc100038" w:history="1">
            <w:r>
              <w:rPr>
                <w:rStyle w:val="Hyperlink"/>
              </w:rPr>
              <w:t>الملحق (أ) — قالب التقرير الأسبوعي للمرحلة</w:t>
            </w:r>
            <w:r>
              <w:tab/>
            </w:r>
            <w:r>
              <w:fldChar w:fldCharType="begin"/>
            </w:r>
            <w:r>
              <w:instrText xml:space="preserve"> PAGEREF _Toc100038 \h </w:instrText>
            </w:r>
            <w:r>
              <w:fldChar w:fldCharType="separate"/>
            </w:r>
            <w:r>
              <w:t>13</w:t>
            </w:r>
            <w:r>
              <w:fldChar w:fldCharType="end"/>
            </w:r>
          </w:hyperlink>
        </w:p>
        <w:p>
          <w:pPr>
            <w:pStyle w:val="11"/>
            <w:ind w:left="360"/>
            <w:tabs>
              <w:tab w:val="right" w:leader="dot" w:pos="9026"/>
            </w:tabs>
            <w:spacing w:before="120" w:after="60"/>
          </w:pPr>
          <w:hyperlink w:anchor="_Toc100039" w:history="1">
            <w:r>
              <w:rPr>
                <w:rStyle w:val="Hyperlink"/>
              </w:rPr>
              <w:t>الملحق (ب) — قائمة فحص الإطلاق المركزة</w:t>
            </w:r>
            <w:r>
              <w:tab/>
            </w:r>
            <w:r>
              <w:fldChar w:fldCharType="begin"/>
            </w:r>
            <w:r>
              <w:instrText xml:space="preserve"> PAGEREF _Toc100039 \h </w:instrText>
            </w:r>
            <w:r>
              <w:fldChar w:fldCharType="separate"/>
            </w:r>
            <w:r>
              <w:t>13</w:t>
            </w:r>
            <w:r>
              <w:fldChar w:fldCharType="end"/>
            </w:r>
          </w:hyperlink>
        </w:p>
        <w:p>
          <w:pPr>
            <w:pStyle w:val="11"/>
            <w:ind w:left="360"/>
            <w:tabs>
              <w:tab w:val="right" w:leader="dot" w:pos="9026"/>
            </w:tabs>
            <w:spacing w:before="120" w:after="60"/>
          </w:pPr>
          <w:hyperlink w:anchor="_Toc100040" w:history="1">
            <w:r>
              <w:rPr>
                <w:rStyle w:val="Hyperlink"/>
              </w:rPr>
              <w:t>الملحق (ج) — المراجع الداخلية والخارجية</w:t>
            </w:r>
            <w:r>
              <w:tab/>
            </w:r>
            <w:r>
              <w:fldChar w:fldCharType="begin"/>
            </w:r>
            <w:r>
              <w:instrText xml:space="preserve"> PAGEREF _Toc100040 \h </w:instrText>
            </w:r>
            <w:r>
              <w:fldChar w:fldCharType="separate"/>
            </w:r>
            <w:r>
              <w:t>13</w:t>
            </w:r>
            <w:r>
              <w:fldChar w:fldCharType="end"/>
            </w:r>
          </w:hyperlink>
        </w:p>
        <w:p>
          <w:r>
            <w:fldChar w:fldCharType="end"/>
          </w:r>
        </w:p>
      </w:sdtContent>
    </w:sdt>
    <w:p>
      <w:pPr>
        <w:bidi/>
        <w:spacing w:before="240" w:line="280"/>
        <w:jc w:val="start"/>
      </w:pPr>
      <w:r>
        <w:rPr>
          <w:rFonts w:ascii="Segoe UI" w:cs="Cairo" w:eastAsia="Segoe UI" w:hAnsi="Segoe UI"/>
          <w:b w:val="false"/>
          <w:i/>
          <w:iCs/>
          <w:color w:val="888888"/>
          <w:sz w:val="18"/>
          <w:szCs w:val="18"/>
          <w:rtl/>
        </w:rPr>
        <w:t xml:space="preserve">ملاحظة: هذا الفهرس مولد بحقول تلقائية. بعد أي تعديل على المستند، انقر بزر الفأرة الأيمن على الفهرس واختر «تحديث الحقل» ثم «تحديث الجدول بأكمله» لتحديث أرقام الصفحات.</w:t>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keepNext/>
        <w:pBdr>
          <w:bottom w:val="single" w:color="8B5CF6" w:sz="6" w:space="6"/>
        </w:pBdr>
        <w:bidi/>
        <w:spacing w:after="180" w:before="400" w:line="380" w:lineRule="atLeast"/>
        <w:jc w:val="start"/>
      </w:pPr>
      <w:bookmarkStart w:id="100000" w:name="_Toc100000"/>
      <w:r>
        <w:rPr>
          <w:rFonts w:ascii="Segoe UI" w:cs="Cairo" w:eastAsia="Segoe UI" w:hAnsi="Segoe UI"/>
          <w:b/>
          <w:bCs/>
          <w:i w:val="false"/>
          <w:iCs w:val="false"/>
          <w:color w:val="6D28D9"/>
          <w:sz w:val="32"/>
          <w:szCs w:val="32"/>
          <w:rtl/>
        </w:rPr>
        <w:t xml:space="preserve">1. </w:t>
      </w:r>
      <w:r>
        <w:rPr>
          <w:rFonts w:ascii="Segoe UI" w:cs="Cairo" w:eastAsia="Segoe UI" w:hAnsi="Segoe UI"/>
          <w:b/>
          <w:bCs/>
          <w:i w:val="false"/>
          <w:iCs w:val="false"/>
          <w:color w:val="0B1026"/>
          <w:sz w:val="32"/>
          <w:szCs w:val="32"/>
          <w:rtl/>
        </w:rPr>
        <w:t xml:space="preserve">الملخص التنفيذي</w:t>
      </w:r>
      <w:bookmarkEnd w:id="100000"/>
    </w:p>
    <w:p>
      <w:pPr>
        <w:bidi/>
        <w:spacing w:after="140" w:before="0" w:line="312"/>
        <w:jc w:val="start"/>
      </w:pPr>
      <w:r>
        <w:rPr>
          <w:rFonts w:ascii="Segoe UI" w:cs="Cairo" w:eastAsia="Segoe UI" w:hAnsi="Segoe UI"/>
          <w:b w:val="false"/>
          <w:i w:val="false"/>
          <w:iCs w:val="false"/>
          <w:color w:val="000000"/>
          <w:sz w:val="24"/>
          <w:szCs w:val="24"/>
          <w:rtl/>
        </w:rPr>
        <w:t xml:space="preserve">توثق هذه الخطة التوسيع الاحترافي الكامل للمرحلة الأولى (الموجة W1) من خارطة الطريق العالمية SuperBiz 2026–2028، وهي الموجة الموسومة «الإطلاق التجاري» والمقابلة للإصدار v2.x. وقد انطلقت المرحلة فعلياً من حالة متقدمة نادرة: فالبنود القابلة للتنفيذ بالكود أُنجزت ونُشرت في الإصدار V 1.0.0 على الفرع الرئيسي (commit 4b3845d)، بما في ذلك ترقية targetSdk/compileSdk إلى 36 استباقاً لمتطلب Google Play الإلزامي منذ 31 أغسطس 2026، وبناء محرك الفريميوم Pro عبر Play Billing v7 بلا خادم، ولوحة المؤشرات KpiBoardP47 كباب مدفوع أول، مع 1444 اختبار وحدة أخضر وتطابق كامل للسلاسل 2235=2235. وعليه، فإن هذه الوثيقة لا تشرح ماذا سنبنى فقط، بل تحكم كيف ننتقل من «تطبيق ممتاز موزع ذاتياً» إلى «منتج تجاري عالمي حي على Google Play يحقق معايير امتياز قابلة للقياس».</w:t>
      </w:r>
    </w:p>
    <w:p>
      <w:pPr>
        <w:bidi/>
        <w:spacing w:after="140" w:before="0" w:line="312"/>
        <w:jc w:val="start"/>
      </w:pPr>
      <w:r>
        <w:rPr>
          <w:rFonts w:ascii="Segoe UI" w:cs="Cairo" w:eastAsia="Segoe UI" w:hAnsi="Segoe UI"/>
          <w:b w:val="false"/>
          <w:i w:val="false"/>
          <w:iCs w:val="false"/>
          <w:color w:val="000000"/>
          <w:sz w:val="24"/>
          <w:szCs w:val="24"/>
          <w:rtl/>
        </w:rPr>
        <w:t xml:space="preserve">يُبنى التوسيع على ستة مسارات عمل متوازية: الجودة والهندسة (WS-A)، والنشر التجاري على Google Play (WS-B)، وتحقيق الدخل Pro (WS-C)، وتأسيس ZATCA مرحلة-2 (WS-D)، وتمهيد الذكاء المحلي (WS-E)، وتمهيد المؤسسات (WS-F). وتُنفذ هذه المسارات خلال 12 أسبوعاً محددة الأطراف (5 أكتوبر – 27 ديسمبر 2026) وفق هيكل تجزئة عمل WBS من 32 مهمة بمسؤول ومدة ومعيار قبول لكل مهمة، ومخطط Gantt أسبوعي بمسار حرج واضح، وستة معالم بوابية M1–M6 لا يُتجاوز أي منها دون استيفاء معايير خروج قابلة للفحص. وتغطي الحوكمة تعريف الإنجاز DoD وسياسة الفروع وبوابات CI/CD الخمس القائمة وتوسعتها، بينما تُقدر الميزانية بالريال السعودي بثلاثة سيناريوهات صريحة الفرضيات، ويُدار عشرة مخاطر مصنفة بالاحتمالية والأثر مع مالك وخطة تخفيف لكل منها.</w:t>
      </w:r>
    </w:p>
    <w:p>
      <w:pPr>
        <w:bidi/>
        <w:spacing w:after="140" w:before="0" w:line="312"/>
        <w:jc w:val="start"/>
      </w:pPr>
      <w:r>
        <w:rPr>
          <w:rFonts w:ascii="Segoe UI" w:cs="Cairo" w:eastAsia="Segoe UI" w:hAnsi="Segoe UI"/>
          <w:b w:val="false"/>
          <w:i w:val="false"/>
          <w:iCs w:val="false"/>
          <w:color w:val="000000"/>
          <w:sz w:val="24"/>
          <w:szCs w:val="24"/>
          <w:rtl/>
        </w:rPr>
        <w:t xml:space="preserve">معيار النجاح الحاكم للمرحلة كما اعتمده فريق التطوير في عرض الخارطة: أن يكون التطبيق حياً على Google Play بتقييم 4.5 نجوم أو أكثر خلال أول 60 يوماً من النشر، مع تثبيت تراكبي فوق v1.0 يحفظ قاعدة البيانات كاملة، وCI أخضر دائماً، و50 مختبراً حقيقياً قبل الإنتاج. وتُستكمل هذه المعايير بلوحة مؤشرات ثلاثية الطبقات (تقنية وتجارية وتشغيلية) تُراجع بإيقاع أسبوعي، بحيث تنتهي المرحلة ببوابة خروج موثقة من 18 معياراً تُسلَّم على أساسها قيود الموجة الثانية (الامتثال والتكامل مع ZATCA مرحلة-2). والجدول التالي يلخص بطاقة المرحلة في نظرة واحدة.</w:t>
      </w:r>
    </w:p>
    <w:p>
      <w:pPr>
        <w:keepNext/>
        <w:bidi/>
        <w:spacing w:after="90" w:before="160" w:line="300"/>
        <w:jc w:val="start"/>
      </w:pPr>
      <w:r>
        <w:rPr>
          <w:rFonts w:ascii="Segoe UI" w:cs="Cairo" w:eastAsia="Segoe UI" w:hAnsi="Segoe UI"/>
          <w:b/>
          <w:bCs/>
          <w:i w:val="false"/>
          <w:iCs w:val="false"/>
          <w:color w:val="5A6080"/>
          <w:sz w:val="21"/>
          <w:szCs w:val="21"/>
          <w:rtl/>
        </w:rPr>
        <w:t xml:space="preserve">جدول 1: بطاقة المرحلة الأولى الموسّعة — نظرة واحدة</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2461"/>
        <w:gridCol w:w="6327"/>
      </w:tblGrid>
      <w:tr>
        <w:trPr>
          <w:cantSplit/>
          <w:tblHeader/>
        </w:trPr>
        <w:tc>
          <w:tcPr>
            <w:tcW w:type="pct" w:w="14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البند</w:t>
            </w:r>
          </w:p>
        </w:tc>
        <w:tc>
          <w:tcPr>
            <w:tcW w:type="pct" w:w="36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القيمة</w:t>
            </w:r>
          </w:p>
        </w:tc>
      </w:tr>
      <w:tr>
        <w:trPr>
          <w:cantSplit/>
        </w:trPr>
        <w:tc>
          <w:tcPr>
            <w:tcW w:type="pct" w:w="14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الإصدار الحاكم</w:t>
            </w:r>
          </w:p>
        </w:tc>
        <w:tc>
          <w:tcPr>
            <w:tcW w:type="pct" w:w="36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21"/>
                <w:szCs w:val="21"/>
                <w:rtl/>
              </w:rPr>
              <w:t xml:space="preserve">V 1.0.0 (versionCode 1) — والمتوقع نهاية المرحلة v2.2</w:t>
            </w:r>
          </w:p>
        </w:tc>
      </w:tr>
      <w:tr>
        <w:trPr>
          <w:cantSplit/>
        </w:trPr>
        <w:tc>
          <w:tcPr>
            <w:tcW w:type="pct" w:w="14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الإطار الزمني</w:t>
            </w:r>
          </w:p>
        </w:tc>
        <w:tc>
          <w:tcPr>
            <w:tcW w:type="pct" w:w="36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12 أسبوعاً: 5 أكتوبر – 27 ديسمبر 2026 (مطابق للشهور 1–3 في الخارطة)</w:t>
            </w:r>
          </w:p>
        </w:tc>
      </w:tr>
      <w:tr>
        <w:trPr>
          <w:cantSplit/>
        </w:trPr>
        <w:tc>
          <w:tcPr>
            <w:tcW w:type="pct" w:w="14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الجهد الصافي</w:t>
            </w:r>
          </w:p>
        </w:tc>
        <w:tc>
          <w:tcPr>
            <w:tcW w:type="pct" w:w="36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6–8 أسابيع عمل صافي + هامش 2–2.5× وفق منهجية الموجات</w:t>
            </w:r>
          </w:p>
        </w:tc>
      </w:tr>
      <w:tr>
        <w:trPr>
          <w:cantSplit/>
        </w:trPr>
        <w:tc>
          <w:tcPr>
            <w:tcW w:type="pct" w:w="14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الفريق الأساسي</w:t>
            </w:r>
          </w:p>
        </w:tc>
        <w:tc>
          <w:tcPr>
            <w:tcW w:type="pct" w:w="36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مطوّر أول + أدوات AI + أدوار مساندة (جودة/نمو/تصميم) وفق الفصل السابع</w:t>
            </w:r>
          </w:p>
        </w:tc>
      </w:tr>
      <w:tr>
        <w:trPr>
          <w:cantSplit/>
        </w:trPr>
        <w:tc>
          <w:tcPr>
            <w:tcW w:type="pct" w:w="14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الأعمدة المخدومة</w:t>
            </w:r>
          </w:p>
        </w:tc>
        <w:tc>
          <w:tcPr>
            <w:tcW w:type="pct" w:w="36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النشر والربح (كامل) + تأسيس مبكر لثلاثة أعمدة: الامتثال، الذكاء، المؤسسات</w:t>
            </w:r>
          </w:p>
        </w:tc>
      </w:tr>
      <w:tr>
        <w:trPr>
          <w:cantSplit/>
        </w:trPr>
        <w:tc>
          <w:tcPr>
            <w:tcW w:type="pct" w:w="14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المخرجات الكبرى</w:t>
            </w:r>
          </w:p>
        </w:tc>
        <w:tc>
          <w:tcPr>
            <w:tcW w:type="pct" w:w="36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نشر إنتاجي حي على Play · 50 مختبراً · تحليل فجوات ZATCA-2 · PoC ذكاء محلي · تصميم RBAC</w:t>
            </w:r>
          </w:p>
        </w:tc>
      </w:tr>
      <w:tr>
        <w:trPr>
          <w:cantSplit/>
        </w:trPr>
        <w:tc>
          <w:tcPr>
            <w:tcW w:type="pct" w:w="14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معيار النجاح</w:t>
            </w:r>
          </w:p>
        </w:tc>
        <w:tc>
          <w:tcPr>
            <w:tcW w:type="pct" w:w="36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6D28D9"/>
                <w:sz w:val="21"/>
                <w:szCs w:val="21"/>
                <w:rtl/>
              </w:rPr>
              <w:t xml:space="preserve">حي على Play بتقييم ≥ 4.5 خلال 60 يوماً من النشر</w:t>
            </w:r>
          </w:p>
        </w:tc>
      </w:tr>
      <w:tr>
        <w:trPr>
          <w:cantSplit/>
        </w:trPr>
        <w:tc>
          <w:tcPr>
            <w:tcW w:type="pct" w:w="14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بوابة الخروج</w:t>
            </w:r>
          </w:p>
        </w:tc>
        <w:tc>
          <w:tcPr>
            <w:tcW w:type="pct" w:w="36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18 معياراً قابلاً للفحص (الفصل الثاني عشر) — لا تسليم بلا اجتماع بوابة موثق</w:t>
            </w:r>
          </w:p>
        </w:tc>
      </w:tr>
      <w:tr>
        <w:trPr>
          <w:cantSplit/>
        </w:trPr>
        <w:tc>
          <w:tcPr>
            <w:tcW w:type="pct" w:w="14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مالك المرحلة</w:t>
            </w:r>
          </w:p>
        </w:tc>
        <w:tc>
          <w:tcPr>
            <w:tcW w:type="pct" w:w="36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إدارة التقنية CTO Office — فريق تطوير SuperBiz</w:t>
            </w:r>
          </w:p>
        </w:tc>
      </w:tr>
      <w:tr>
        <w:trPr>
          <w:cantSplit/>
        </w:trPr>
        <w:tc>
          <w:tcPr>
            <w:tcW w:type="pct" w:w="14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تصنيف الوثيقة</w:t>
            </w:r>
          </w:p>
        </w:tc>
        <w:tc>
          <w:tcPr>
            <w:tcW w:type="pct" w:w="36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سري — استخدام داخلي للفريق</w:t>
            </w:r>
          </w:p>
        </w:tc>
      </w:tr>
    </w:tbl>
    <w:p>
      <w:pPr>
        <w:bidi/>
        <w:spacing w:after="160" w:line="300"/>
        <w:jc w:val="start"/>
      </w:pPr>
      <w:r>
        <w:rPr>
          <w:rFonts w:ascii="Segoe UI" w:cs="Cairo" w:eastAsia="Segoe UI" w:hAnsi="Segoe UI"/>
          <w:b w:val="false"/>
          <w:i/>
          <w:iCs/>
          <w:color w:val="6B7280"/>
          <w:sz w:val="19"/>
          <w:szCs w:val="19"/>
          <w:rtl/>
        </w:rPr>
        <w:t xml:space="preserve">أرقام الاختبارات والسلاسل والإصدارات في هذه الوثيقة مأخوذة من سجل البناء الفعلي للمستودع (CHANGELOG.md وworklog الفريق) وتاريخ 3 أكتوبر 2026.</w:t>
      </w:r>
    </w:p>
    <w:p>
      <w:pPr>
        <w:pStyle w:val="Heading1"/>
        <w:keepNext/>
        <w:pBdr>
          <w:bottom w:val="single" w:color="8B5CF6" w:sz="6" w:space="6"/>
        </w:pBdr>
        <w:bidi/>
        <w:spacing w:after="180" w:before="400" w:line="380" w:lineRule="atLeast"/>
        <w:jc w:val="start"/>
      </w:pPr>
      <w:bookmarkStart w:id="100001" w:name="_Toc100001"/>
      <w:r>
        <w:rPr>
          <w:rFonts w:ascii="Segoe UI" w:cs="Cairo" w:eastAsia="Segoe UI" w:hAnsi="Segoe UI"/>
          <w:b/>
          <w:bCs/>
          <w:i w:val="false"/>
          <w:iCs w:val="false"/>
          <w:color w:val="6D28D9"/>
          <w:sz w:val="32"/>
          <w:szCs w:val="32"/>
          <w:rtl/>
        </w:rPr>
        <w:t xml:space="preserve">2. </w:t>
      </w:r>
      <w:r>
        <w:rPr>
          <w:rFonts w:ascii="Segoe UI" w:cs="Cairo" w:eastAsia="Segoe UI" w:hAnsi="Segoe UI"/>
          <w:b/>
          <w:bCs/>
          <w:i w:val="false"/>
          <w:iCs w:val="false"/>
          <w:color w:val="0B1026"/>
          <w:sz w:val="32"/>
          <w:szCs w:val="32"/>
          <w:rtl/>
        </w:rPr>
        <w:t xml:space="preserve">السياق الاستراتيجي والوضع الراهن</w:t>
      </w:r>
      <w:bookmarkEnd w:id="100001"/>
    </w:p>
    <w:p>
      <w:pPr>
        <w:pStyle w:val="Heading2"/>
        <w:keepNext/>
        <w:bidi/>
        <w:spacing w:after="130" w:before="280" w:line="340" w:lineRule="atLeast"/>
        <w:jc w:val="start"/>
      </w:pPr>
      <w:bookmarkStart w:id="100002" w:name="_Toc100002"/>
      <w:r>
        <w:rPr>
          <w:rFonts w:ascii="Segoe UI" w:cs="Cairo" w:eastAsia="Segoe UI" w:hAnsi="Segoe UI"/>
          <w:b/>
          <w:bCs/>
          <w:i w:val="false"/>
          <w:iCs w:val="false"/>
          <w:color w:val="6D28D9"/>
          <w:sz w:val="28"/>
          <w:szCs w:val="28"/>
          <w:rtl/>
        </w:rPr>
        <w:t xml:space="preserve">2.1 موقع الموجة الأولى في خارطة 2026–2028</w:t>
      </w:r>
      <w:bookmarkEnd w:id="100002"/>
    </w:p>
    <w:p>
      <w:pPr>
        <w:bidi/>
        <w:spacing w:after="140" w:before="0" w:line="312"/>
        <w:jc w:val="start"/>
      </w:pPr>
      <w:r>
        <w:rPr>
          <w:rFonts w:ascii="Segoe UI" w:cs="Cairo" w:eastAsia="Segoe UI" w:hAnsi="Segoe UI"/>
          <w:b w:val="false"/>
          <w:i w:val="false"/>
          <w:iCs w:val="false"/>
          <w:color w:val="000000"/>
          <w:sz w:val="24"/>
          <w:szCs w:val="24"/>
          <w:rtl/>
        </w:rPr>
        <w:t xml:space="preserve">تُنظَّم خارطة الطريق العالمية في أربعة أعمدة استراتيجية × خمس موجات تنفيذية تمتد على 24 شهراً: النشر والربح، والامتثال والتكامل (ZATCA)، والذكاء المحلي، والمؤسسات، ثم العولمة. والمرحلة الأولى هي البوابة التي تُعاد كتابة هوية المنتج على أساسها: فهي تحول المشروع من مستودع كود ممتاز إلى منتج عام على متجر Google Play، وتثبت قدرة الفريق على تشغيل حلقة تجارية كاملة (توزيع، أسعار، مختبرون، تقييمات، إيراد). كما أن كل موجات لاحقة تعتمد على أصول تُنتج هنا: حساب تاجر Play فعال، وقناة نشر مدربة، وقياس تحويل حقيقي، وتحليل فجوات ZATCA-2 المكتمل، وقرار معماري موثق للذكاء المحلي. والجدول التالي يضع المرحلة في سياقها الزمني الكامل كما ورد في تقدير الجهد المعتمد.</w:t>
      </w:r>
    </w:p>
    <w:p>
      <w:pPr>
        <w:keepNext/>
        <w:bidi/>
        <w:spacing w:after="90" w:before="160" w:line="300"/>
        <w:jc w:val="start"/>
      </w:pPr>
      <w:r>
        <w:rPr>
          <w:rFonts w:ascii="Segoe UI" w:cs="Cairo" w:eastAsia="Segoe UI" w:hAnsi="Segoe UI"/>
          <w:b/>
          <w:bCs/>
          <w:i w:val="false"/>
          <w:iCs w:val="false"/>
          <w:color w:val="5A6080"/>
          <w:sz w:val="21"/>
          <w:szCs w:val="21"/>
          <w:rtl/>
        </w:rPr>
        <w:t xml:space="preserve">جدول 2: الموجات الخمس — الجهد والصعوبة والمتطلبات الخاصة (من تقدير الخارطة المعتمد)</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1406"/>
        <w:gridCol w:w="1142"/>
        <w:gridCol w:w="967"/>
        <w:gridCol w:w="1318"/>
        <w:gridCol w:w="1142"/>
        <w:gridCol w:w="2812"/>
      </w:tblGrid>
      <w:tr>
        <w:trPr>
          <w:cantSplit/>
          <w:tblHeader/>
        </w:trPr>
        <w:tc>
          <w:tcPr>
            <w:tcW w:type="pct" w:w="8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الموجة</w:t>
            </w:r>
          </w:p>
        </w:tc>
        <w:tc>
          <w:tcPr>
            <w:tcW w:type="pct" w:w="6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الإصدار</w:t>
            </w:r>
          </w:p>
        </w:tc>
        <w:tc>
          <w:tcPr>
            <w:tcW w:type="pct" w:w="5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الأشهر</w:t>
            </w:r>
          </w:p>
        </w:tc>
        <w:tc>
          <w:tcPr>
            <w:tcW w:type="pct" w:w="7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الجهد الصافي</w:t>
            </w:r>
          </w:p>
        </w:tc>
        <w:tc>
          <w:tcPr>
            <w:tcW w:type="pct" w:w="6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الصعوبة</w:t>
            </w:r>
          </w:p>
        </w:tc>
        <w:tc>
          <w:tcPr>
            <w:tcW w:type="pct" w:w="16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متطلب خارجي حاكم</w:t>
            </w:r>
          </w:p>
        </w:tc>
      </w:tr>
      <w:tr>
        <w:trPr>
          <w:cantSplit/>
        </w:trPr>
        <w:tc>
          <w:tcPr>
            <w:tcW w:type="pct" w:w="8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21"/>
                <w:szCs w:val="21"/>
                <w:rtl/>
              </w:rPr>
              <w:t xml:space="preserve">W1 الإطلاق التجاري</w:t>
            </w:r>
          </w:p>
        </w:tc>
        <w:tc>
          <w:tcPr>
            <w:tcW w:type="pct" w:w="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v2.0</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1–3</w:t>
            </w:r>
          </w:p>
        </w:tc>
        <w:tc>
          <w:tcPr>
            <w:tcW w:type="pct" w:w="7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6–8 أسابيع</w:t>
            </w:r>
          </w:p>
        </w:tc>
        <w:tc>
          <w:tcPr>
            <w:tcW w:type="pct" w:w="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متوسطة</w:t>
            </w:r>
          </w:p>
        </w:tc>
        <w:tc>
          <w:tcPr>
            <w:tcW w:type="pct" w:w="16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حساب Google Play تاجر</w:t>
            </w:r>
          </w:p>
        </w:tc>
      </w:tr>
      <w:tr>
        <w:trPr>
          <w:cantSplit/>
        </w:trPr>
        <w:tc>
          <w:tcPr>
            <w:tcW w:type="pct" w:w="8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W2 الامتثال</w:t>
            </w:r>
          </w:p>
        </w:tc>
        <w:tc>
          <w:tcPr>
            <w:tcW w:type="pct" w:w="6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v2.5–v3.0</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4–9</w:t>
            </w:r>
          </w:p>
        </w:tc>
        <w:tc>
          <w:tcPr>
            <w:tcW w:type="pct" w:w="7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10–14 أسبوعاً</w:t>
            </w:r>
          </w:p>
        </w:tc>
        <w:tc>
          <w:tcPr>
            <w:tcW w:type="pct" w:w="6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عالية</w:t>
            </w:r>
          </w:p>
        </w:tc>
        <w:tc>
          <w:tcPr>
            <w:tcW w:type="pct" w:w="16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حساب منصة فاتورة + رقم ضريبي</w:t>
            </w:r>
          </w:p>
        </w:tc>
      </w:tr>
      <w:tr>
        <w:trPr>
          <w:cantSplit/>
        </w:trPr>
        <w:tc>
          <w:tcPr>
            <w:tcW w:type="pct" w:w="8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W3 الذكاء المحلي</w:t>
            </w:r>
          </w:p>
        </w:tc>
        <w:tc>
          <w:tcPr>
            <w:tcW w:type="pct" w:w="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v3.5–v4.0</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10–15</w:t>
            </w:r>
          </w:p>
        </w:tc>
        <w:tc>
          <w:tcPr>
            <w:tcW w:type="pct" w:w="7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10–12 أسبوعاً</w:t>
            </w:r>
          </w:p>
        </w:tc>
        <w:tc>
          <w:tcPr>
            <w:tcW w:type="pct" w:w="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عالية</w:t>
            </w:r>
          </w:p>
        </w:tc>
        <w:tc>
          <w:tcPr>
            <w:tcW w:type="pct" w:w="16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Pixel حديث + أجهزة مرجعية</w:t>
            </w:r>
          </w:p>
        </w:tc>
      </w:tr>
      <w:tr>
        <w:trPr>
          <w:cantSplit/>
        </w:trPr>
        <w:tc>
          <w:tcPr>
            <w:tcW w:type="pct" w:w="8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W4 المؤسسات</w:t>
            </w:r>
          </w:p>
        </w:tc>
        <w:tc>
          <w:tcPr>
            <w:tcW w:type="pct" w:w="6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v4.5</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16–21</w:t>
            </w:r>
          </w:p>
        </w:tc>
        <w:tc>
          <w:tcPr>
            <w:tcW w:type="pct" w:w="7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12–16 أسبوعاً</w:t>
            </w:r>
          </w:p>
        </w:tc>
        <w:tc>
          <w:tcPr>
            <w:tcW w:type="pct" w:w="6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عالية جداً</w:t>
            </w:r>
          </w:p>
        </w:tc>
        <w:tc>
          <w:tcPr>
            <w:tcW w:type="pct" w:w="16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مختبر أمان خارجي</w:t>
            </w:r>
          </w:p>
        </w:tc>
      </w:tr>
      <w:tr>
        <w:trPr>
          <w:cantSplit/>
        </w:trPr>
        <w:tc>
          <w:tcPr>
            <w:tcW w:type="pct" w:w="8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W5 العالمية</w:t>
            </w:r>
          </w:p>
        </w:tc>
        <w:tc>
          <w:tcPr>
            <w:tcW w:type="pct" w:w="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v5.0</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22–24</w:t>
            </w:r>
          </w:p>
        </w:tc>
        <w:tc>
          <w:tcPr>
            <w:tcW w:type="pct" w:w="7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8–10 أسابيع</w:t>
            </w:r>
          </w:p>
        </w:tc>
        <w:tc>
          <w:tcPr>
            <w:tcW w:type="pct" w:w="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متوسطة</w:t>
            </w:r>
          </w:p>
        </w:tc>
        <w:tc>
          <w:tcPr>
            <w:tcW w:type="pct" w:w="16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مترجمون معتمدون</w:t>
            </w:r>
          </w:p>
        </w:tc>
      </w:tr>
    </w:tbl>
    <w:p>
      <w:pPr>
        <w:bidi/>
        <w:spacing w:after="160" w:line="300"/>
        <w:jc w:val="start"/>
      </w:pPr>
      <w:r>
        <w:rPr>
          <w:rFonts w:ascii="Segoe UI" w:cs="Cairo" w:eastAsia="Segoe UI" w:hAnsi="Segoe UI"/>
          <w:b w:val="false"/>
          <w:i/>
          <w:iCs/>
          <w:color w:val="6B7280"/>
          <w:sz w:val="19"/>
          <w:szCs w:val="19"/>
          <w:rtl/>
        </w:rPr>
        <w:t xml:space="preserve">إجمالي الجهد المعتمد: 46–60 أسبوع عمل صافٍ داخل نافذة 24 شهراً — هامش 2–2.5× للمراجعة والتصحيح والدورات. أسلوب الموجات (TDD مالي + أدوات AI) أثبت إيقاع تسليم حقيقياً عبر 8 موجات متتالية سابقة.</w:t>
      </w:r>
    </w:p>
    <w:p>
      <w:pPr>
        <w:pStyle w:val="Heading2"/>
        <w:keepNext/>
        <w:bidi/>
        <w:spacing w:after="130" w:before="280" w:line="340" w:lineRule="atLeast"/>
        <w:jc w:val="start"/>
      </w:pPr>
      <w:bookmarkStart w:id="100003" w:name="_Toc100003"/>
      <w:r>
        <w:rPr>
          <w:rFonts w:ascii="Segoe UI" w:cs="Cairo" w:eastAsia="Segoe UI" w:hAnsi="Segoe UI"/>
          <w:b/>
          <w:bCs/>
          <w:i w:val="false"/>
          <w:iCs w:val="false"/>
          <w:color w:val="6D28D9"/>
          <w:sz w:val="28"/>
          <w:szCs w:val="28"/>
          <w:rtl/>
        </w:rPr>
        <w:t xml:space="preserve">2.2 جرد ما نُفّذ فعلياً في V 1.0.0 — نقطة انطلاق موثقة</w:t>
      </w:r>
      <w:bookmarkEnd w:id="100003"/>
    </w:p>
    <w:p>
      <w:pPr>
        <w:bidi/>
        <w:spacing w:after="140" w:before="0" w:line="312"/>
        <w:jc w:val="start"/>
      </w:pPr>
      <w:r>
        <w:rPr>
          <w:rFonts w:ascii="Segoe UI" w:cs="Cairo" w:eastAsia="Segoe UI" w:hAnsi="Segoe UI"/>
          <w:b w:val="false"/>
          <w:i w:val="false"/>
          <w:iCs w:val="false"/>
          <w:color w:val="000000"/>
          <w:sz w:val="24"/>
          <w:szCs w:val="24"/>
          <w:rtl/>
        </w:rPr>
        <w:t xml:space="preserve">التوسيع الاحترافي يبدأ من حقيقة محاسبية: جزء جوهري من المرحلة الأولى مُنجز ومختبر ومرفوع. فقد نفّذ فريق التطوير في الإصدار V 1.0.0 البنود البرمجية الثمانية للموجة وفق تقسيمها في الخارطة، وأصدرها على الفرع الرئيسي بوسم V 1.0.0 مع إصدار GitHub رسمي بأربعة أصول موقع عليها. وهذه نقطة قوة استثنائية تسمح لما تبقى من المرحلة بالتركيز على التشغيل التجاري والجودة الخارجية بدل التطوير، لكنها أيضاً تفرض الانضباط: أي خطأ تشغيلي بعد النشر العام ينعكس مباشرة على أول انطباع عام عن المنتج. الجدول التالي يجرد الإنجازات الفعلية التي تُبنى عليها هذه الخطة.</w:t>
      </w:r>
    </w:p>
    <w:p>
      <w:pPr>
        <w:keepNext/>
        <w:bidi/>
        <w:spacing w:after="90" w:before="160" w:line="300"/>
        <w:jc w:val="start"/>
      </w:pPr>
      <w:r>
        <w:rPr>
          <w:rFonts w:ascii="Segoe UI" w:cs="Cairo" w:eastAsia="Segoe UI" w:hAnsi="Segoe UI"/>
          <w:b/>
          <w:bCs/>
          <w:i w:val="false"/>
          <w:iCs w:val="false"/>
          <w:color w:val="5A6080"/>
          <w:sz w:val="21"/>
          <w:szCs w:val="21"/>
          <w:rtl/>
        </w:rPr>
        <w:t xml:space="preserve">جدول 3: جرد الإنجازات المنفذة والموثقة في V 1.0.0</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2636"/>
        <w:gridCol w:w="6152"/>
      </w:tblGrid>
      <w:tr>
        <w:trPr>
          <w:cantSplit/>
          <w:tblHeader/>
        </w:trPr>
        <w:tc>
          <w:tcPr>
            <w:tcW w:type="pct" w:w="15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البند المنفذ</w:t>
            </w:r>
          </w:p>
        </w:tc>
        <w:tc>
          <w:tcPr>
            <w:tcW w:type="pct" w:w="35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التفاصيل الموثقة</w:t>
            </w:r>
          </w:p>
        </w:tc>
      </w:tr>
      <w:tr>
        <w:trPr>
          <w:cantSplit/>
        </w:trPr>
        <w:tc>
          <w:tcPr>
            <w:tcW w:type="pct" w:w="1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ترقية المنصة</w:t>
            </w:r>
          </w:p>
        </w:tc>
        <w:tc>
          <w:tcPr>
            <w:tcW w:type="pct" w:w="3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compileSdk/targetSdk 36 + AGP 8.9.2 + Gradle 8.11.1 — مع تدقيق edge-to-edge (enableEdgeToEdge قائم وبلا windowOptOutEdgeToEdgeEnforcement في الشجرة)</w:t>
            </w:r>
          </w:p>
        </w:tc>
      </w:tr>
      <w:tr>
        <w:trPr>
          <w:cantSplit/>
        </w:trPr>
        <w:tc>
          <w:tcPr>
            <w:tcW w:type="pct" w:w="1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الفريميوم Pro</w:t>
            </w:r>
          </w:p>
        </w:tc>
        <w:tc>
          <w:tcPr>
            <w:tcW w:type="pct" w:w="3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محرك ProEntitlement نقي + ProStore على DataStore منفصل (superbiz_pro) + BillingRepo عبر billing-ktx 7.1.1: اتصال كسول، رصد INAPP، إقرار فوري، شراء لمرة واحدة superbiz_pro، عرض سعر Play المنسّق</w:t>
            </w:r>
          </w:p>
        </w:tc>
      </w:tr>
      <w:tr>
        <w:trPr>
          <w:cantSplit/>
        </w:trPr>
        <w:tc>
          <w:tcPr>
            <w:tcW w:type="pct" w:w="1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واجهات Pro</w:t>
            </w:r>
          </w:p>
        </w:tc>
        <w:tc>
          <w:tcPr>
            <w:tcW w:type="pct" w:w="3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ProVM + ProScreen + قسم Pro في الإعدادات + مفتاح onChanged للاسترجاع الفوري — الباب المدفوع الأول: لوحة المؤشرات KpiBoardP47 (محرك نقي بحساب تقدم/إيقاع/توقع + شاشة + حوار أهداف)</w:t>
            </w:r>
          </w:p>
        </w:tc>
      </w:tr>
      <w:tr>
        <w:trPr>
          <w:cantSplit/>
        </w:trPr>
        <w:tc>
          <w:tcPr>
            <w:tcW w:type="pct" w:w="1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الجودة</w:t>
            </w:r>
          </w:p>
        </w:tc>
        <w:tc>
          <w:tcPr>
            <w:tcW w:type="pct" w:w="3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1444/1444 اختباراً أخضر (شملت ProEntitlementTest بـ13 وKpiBoardP47Test بـ18) · سلاسل 2235=2235 عربي/إنجليزي · بناء release وlintRelease ناجحان</w:t>
            </w:r>
          </w:p>
        </w:tc>
      </w:tr>
      <w:tr>
        <w:trPr>
          <w:cantSplit/>
        </w:trPr>
        <w:tc>
          <w:tcPr>
            <w:tcW w:type="pct" w:w="1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CI/CD</w:t>
            </w:r>
          </w:p>
        </w:tc>
        <w:tc>
          <w:tcPr>
            <w:tcW w:type="pct" w:w="3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مصفوفة JDK 17/21 على release + فاحص مقاسم السلاسل + حارس استخدام السلاسل + حلقة نشر آلية عند الوسوم</w:t>
            </w:r>
          </w:p>
        </w:tc>
      </w:tr>
      <w:tr>
        <w:trPr>
          <w:cantSplit/>
        </w:trPr>
        <w:tc>
          <w:tcPr>
            <w:tcW w:type="pct" w:w="1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الوثائق والأصول</w:t>
            </w:r>
          </w:p>
        </w:tc>
        <w:tc>
          <w:tcPr>
            <w:tcW w:type="pct" w:w="3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docs/: PRIVACY_POLICY (عربي+إنجليزي) · PLAY_DATA_SAFETY · STORE_LISTING_ASO · LAUNCH_RUNBOOK_W1 · store_assets (بانر 1024×500 + 4 لقطات)</w:t>
            </w:r>
          </w:p>
        </w:tc>
      </w:tr>
      <w:tr>
        <w:trPr>
          <w:cantSplit/>
        </w:trPr>
        <w:tc>
          <w:tcPr>
            <w:tcW w:type="pct" w:w="1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التوقيع والتوزيع</w:t>
            </w:r>
          </w:p>
        </w:tc>
        <w:tc>
          <w:tcPr>
            <w:tcW w:type="pct" w:w="3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APK موقع v2+v3 بمفتاح superbiz.keystore (نفس شهادة v1.0) — الإصدار V 1.0.0 منشور بأربعة أصول وSHA-256 موثق</w:t>
            </w:r>
          </w:p>
        </w:tc>
      </w:tr>
    </w:tbl>
    <w:p>
      <w:pPr>
        <w:pStyle w:val="Heading2"/>
        <w:keepNext/>
        <w:bidi/>
        <w:spacing w:after="130" w:before="280" w:line="340" w:lineRule="atLeast"/>
        <w:jc w:val="start"/>
      </w:pPr>
      <w:bookmarkStart w:id="100004" w:name="_Toc100004"/>
      <w:r>
        <w:rPr>
          <w:rFonts w:ascii="Segoe UI" w:cs="Cairo" w:eastAsia="Segoe UI" w:hAnsi="Segoe UI"/>
          <w:b/>
          <w:bCs/>
          <w:i w:val="false"/>
          <w:iCs w:val="false"/>
          <w:color w:val="6D28D9"/>
          <w:sz w:val="28"/>
          <w:szCs w:val="28"/>
          <w:rtl/>
        </w:rPr>
        <w:t xml:space="preserve">2.3 الضغط الزمني الخارجي: متطلب Play API 36</w:t>
      </w:r>
      <w:bookmarkEnd w:id="100004"/>
    </w:p>
    <w:p>
      <w:pPr>
        <w:bidi/>
        <w:spacing w:after="140" w:before="0" w:line="312"/>
        <w:jc w:val="start"/>
      </w:pPr>
      <w:r>
        <w:rPr>
          <w:rFonts w:ascii="Segoe UI" w:cs="Cairo" w:eastAsia="Segoe UI" w:hAnsi="Segoe UI"/>
          <w:b w:val="false"/>
          <w:i w:val="false"/>
          <w:iCs w:val="false"/>
          <w:color w:val="000000"/>
          <w:sz w:val="24"/>
          <w:szCs w:val="24"/>
          <w:rtl/>
        </w:rPr>
        <w:t xml:space="preserve">يستهدف هذا الترقية كونها استباقية لا اضطرارية: فسياسة Google Play الجديدة تشترط أن تستهدف الإصدارات المحدثة واجهة API 36 على الأقل اعتباراً من 31 أغسطس 2026، بعد أن كانت العتبة API 35 في العام السابق. وبما أن المشروع كان على targetSdk 35 حتى نهاية v1.0، فإن الترقية المنفذة في W1 تُغلق الباب أمام أي رفض آلي لتحديث مستقبلي بسبب السياسة، وتفتح سلوكيات أندرويد 16 الجديدة التي يجب اختبارها يدوياً: فرض edge-to-edge الكامل، وقيود الإشعارات وأذوناتها، وسلوك البث والخدمات الخلفية الأشد انضباطاً. وبالتالي فإن بند الفحص اليدوي للشاشات (WBS-05) ليس ترفاً تشغيلياً بل إغلاق فعلي لهذه الترقية على أجهزة حقيقية تعمل بأحدث نسخة.</w:t>
      </w:r>
    </w:p>
    <w:p>
      <w:pPr>
        <w:pStyle w:val="Heading2"/>
        <w:keepNext/>
        <w:bidi/>
        <w:spacing w:after="130" w:before="280" w:line="340" w:lineRule="atLeast"/>
        <w:jc w:val="start"/>
      </w:pPr>
      <w:bookmarkStart w:id="100005" w:name="_Toc100005"/>
      <w:r>
        <w:rPr>
          <w:rFonts w:ascii="Segoe UI" w:cs="Cairo" w:eastAsia="Segoe UI" w:hAnsi="Segoe UI"/>
          <w:b/>
          <w:bCs/>
          <w:i w:val="false"/>
          <w:iCs w:val="false"/>
          <w:color w:val="6D28D9"/>
          <w:sz w:val="28"/>
          <w:szCs w:val="28"/>
          <w:rtl/>
        </w:rPr>
        <w:t xml:space="preserve">2.4 تعريف «الامتياز العالمي» بمقاييس قابلة للتحقق</w:t>
      </w:r>
      <w:bookmarkEnd w:id="100005"/>
    </w:p>
    <w:p>
      <w:pPr>
        <w:bidi/>
        <w:spacing w:after="140" w:before="0" w:line="312"/>
        <w:jc w:val="start"/>
      </w:pPr>
      <w:r>
        <w:rPr>
          <w:rFonts w:ascii="Segoe UI" w:cs="Cairo" w:eastAsia="Segoe UI" w:hAnsi="Segoe UI"/>
          <w:b w:val="false"/>
          <w:i w:val="false"/>
          <w:iCs w:val="false"/>
          <w:color w:val="000000"/>
          <w:sz w:val="24"/>
          <w:szCs w:val="24"/>
          <w:rtl/>
        </w:rPr>
        <w:t xml:space="preserve">حرصاً على أن يبقى «الامتياز العالمي» هدفاً قابلاً للتحقق لا شعاراً تحفيزياً، تعتمد هذه الخطة تعريفاً كمياً من أربعة مستويات. أولاً المتانة: نسبة مستخدمين خالين من الأعطال Crash-free عند 99.8% أو أعلى، ومعدل ANR دون عتبة سلوك Google Play السيئ البالغة 0.47%. ثانياً التجربة: تقييم متجر لا يقل عن 4.5 نجوم في أول 60 يوماً وصولاً إلى 4.6 كهدف مستقر، واحتفاظ D30 عند 35% أو أعلى، وصفر مراجعة دون رد خلال 48 ساعة. ثالثاً الهندسة: كل بند مالي يُبنى بـTDD على Room حقيقية، وترحيلات تراكمية بلا destructive أبداً، وسلاسل عربي/إنجليزي متطابقة بفاحص CI، ومصفوفة JDK 17/21 خضراء على كل إصدار. رابعاً الامتثال: بذرة ZATCA مرحلة-2 جاهزة (تحليل فجوات UBL وحساب منصة فاتورة sandbox) بحيث تدخل الموجة الثانية بلا صفر انطلاق. هذه المقاييس الأربعة هي مرجع كل بوابة في الفصول التالية، وهي مشتقة من معايير الجودة الدائمة الستة المعتمدة في الخارطة ومن عتبات Play الرسمية.</w:t>
      </w:r>
    </w:p>
    <w:p>
      <w:pPr>
        <w:pStyle w:val="Heading1"/>
        <w:keepNext/>
        <w:pBdr>
          <w:bottom w:val="single" w:color="8B5CF6" w:sz="6" w:space="6"/>
        </w:pBdr>
        <w:bidi/>
        <w:spacing w:after="180" w:before="400" w:line="380" w:lineRule="atLeast"/>
        <w:jc w:val="start"/>
      </w:pPr>
      <w:bookmarkStart w:id="100006" w:name="_Toc100006"/>
      <w:r>
        <w:rPr>
          <w:rFonts w:ascii="Segoe UI" w:cs="Cairo" w:eastAsia="Segoe UI" w:hAnsi="Segoe UI"/>
          <w:b/>
          <w:bCs/>
          <w:i w:val="false"/>
          <w:iCs w:val="false"/>
          <w:color w:val="6D28D9"/>
          <w:sz w:val="32"/>
          <w:szCs w:val="32"/>
          <w:rtl/>
        </w:rPr>
        <w:t xml:space="preserve">3. </w:t>
      </w:r>
      <w:r>
        <w:rPr>
          <w:rFonts w:ascii="Segoe UI" w:cs="Cairo" w:eastAsia="Segoe UI" w:hAnsi="Segoe UI"/>
          <w:b/>
          <w:bCs/>
          <w:i w:val="false"/>
          <w:iCs w:val="false"/>
          <w:color w:val="0B1026"/>
          <w:sz w:val="32"/>
          <w:szCs w:val="32"/>
          <w:rtl/>
        </w:rPr>
        <w:t xml:space="preserve">الأهداف ومؤشرات النجاح العليا (OKRs)</w:t>
      </w:r>
      <w:bookmarkEnd w:id="100006"/>
    </w:p>
    <w:p>
      <w:pPr>
        <w:bidi/>
        <w:spacing w:after="140" w:before="0" w:line="312"/>
        <w:jc w:val="start"/>
      </w:pPr>
      <w:r>
        <w:rPr>
          <w:rFonts w:ascii="Segoe UI" w:cs="Cairo" w:eastAsia="Segoe UI" w:hAnsi="Segoe UI"/>
          <w:b w:val="false"/>
          <w:i w:val="false"/>
          <w:iCs w:val="false"/>
          <w:color w:val="000000"/>
          <w:sz w:val="24"/>
          <w:szCs w:val="24"/>
          <w:rtl/>
        </w:rPr>
        <w:t xml:space="preserve">تُترجم رؤية المرحلة إلى ثلاثة أهداف عليا، لكل منها نتائج رئيسية قابلة للقياس بتاريخ فحص محدد. وقد صيغت النتائج على أرقام مصدرها دفتر الإطلاق المعتمد (LAUNCH_RUNBOOK_W1) وتقديرات الخارطة، لا على توقعات مثالية؛ فكل رقم هنا له مالك وعتبة فحص ضمن لوحة المؤشرات في الفصل الحادي عشر. ولا يجوز إضافة هدف رابع خلال تنفيذ المرحلة إلا بقرار بوابة موثق، لأن تضخم الأهداف أشهر تضخم النطاق.</w:t>
      </w:r>
    </w:p>
    <w:p>
      <w:pPr>
        <w:keepNext/>
        <w:bidi/>
        <w:spacing w:after="90" w:before="160" w:line="300"/>
        <w:jc w:val="start"/>
      </w:pPr>
      <w:r>
        <w:rPr>
          <w:rFonts w:ascii="Segoe UI" w:cs="Cairo" w:eastAsia="Segoe UI" w:hAnsi="Segoe UI"/>
          <w:b/>
          <w:bCs/>
          <w:i w:val="false"/>
          <w:iCs w:val="false"/>
          <w:color w:val="5A6080"/>
          <w:sz w:val="21"/>
          <w:szCs w:val="21"/>
          <w:rtl/>
        </w:rPr>
        <w:t xml:space="preserve">جدول 4: أهداف المرحلة ونتائجها الرئيسية</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2285"/>
        <w:gridCol w:w="3339"/>
        <w:gridCol w:w="1758"/>
        <w:gridCol w:w="1406"/>
      </w:tblGrid>
      <w:tr>
        <w:trPr>
          <w:cantSplit/>
          <w:tblHeader/>
        </w:trPr>
        <w:tc>
          <w:tcPr>
            <w:tcW w:type="pct" w:w="13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الهدف العليا</w:t>
            </w:r>
          </w:p>
        </w:tc>
        <w:tc>
          <w:tcPr>
            <w:tcW w:type="pct" w:w="19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النتيجة الرئيسية</w:t>
            </w:r>
          </w:p>
        </w:tc>
        <w:tc>
          <w:tcPr>
            <w:tcW w:type="pct" w:w="10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العتبة/الهدف</w:t>
            </w:r>
          </w:p>
        </w:tc>
        <w:tc>
          <w:tcPr>
            <w:tcW w:type="pct" w:w="8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تاريخ الفحص</w:t>
            </w:r>
          </w:p>
        </w:tc>
      </w:tr>
      <w:tr>
        <w:trPr>
          <w:cantSplit/>
        </w:trPr>
        <w:tc>
          <w:tcPr>
            <w:tcW w:type="pct" w:w="13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21"/>
                <w:szCs w:val="21"/>
                <w:rtl/>
              </w:rPr>
              <w:t xml:space="preserve">O1 — إطلاق تجاري ناجح حي على Google Play</w:t>
            </w:r>
          </w:p>
        </w:tc>
        <w:tc>
          <w:tcPr>
            <w:tcW w:type="pct" w:w="19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KR1: النسخة الإنتاجية عامة 100% بعد مسار Internal ثم Closed ثم إطلاق تدريجي</w:t>
            </w:r>
          </w:p>
        </w:tc>
        <w:tc>
          <w:tcPr>
            <w:tcW w:type="pct" w:w="10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20% ثم 100%</w:t>
            </w:r>
          </w:p>
        </w:tc>
        <w:tc>
          <w:tcPr>
            <w:tcW w:type="pct" w:w="8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نهاية الأسبوع 8</w:t>
            </w:r>
          </w:p>
        </w:tc>
      </w:tr>
      <w:tr>
        <w:trPr>
          <w:cantSplit/>
        </w:trPr>
        <w:tc>
          <w:tcPr>
            <w:tcW w:type="pct" w:w="13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【يرجى التعبئة】</w:t>
            </w:r>
          </w:p>
        </w:tc>
        <w:tc>
          <w:tcPr>
            <w:tcW w:type="pct" w:w="19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KR2: مختبرون حقيقيون في القناة المغلقة قبل الإنتاج</w:t>
            </w:r>
          </w:p>
        </w:tc>
        <w:tc>
          <w:tcPr>
            <w:tcW w:type="pct" w:w="10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50 (نشط ≥ 30)</w:t>
            </w:r>
          </w:p>
        </w:tc>
        <w:tc>
          <w:tcPr>
            <w:tcW w:type="pct" w:w="8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الأسبوع 6</w:t>
            </w:r>
          </w:p>
        </w:tc>
      </w:tr>
      <w:tr>
        <w:trPr>
          <w:cantSplit/>
        </w:trPr>
        <w:tc>
          <w:tcPr>
            <w:tcW w:type="pct" w:w="13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【يرجى التعبئة】</w:t>
            </w:r>
          </w:p>
        </w:tc>
        <w:tc>
          <w:tcPr>
            <w:tcW w:type="pct" w:w="19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KR3: تقييم المتجر خلال أول 60 يوماً من النشر</w:t>
            </w:r>
          </w:p>
        </w:tc>
        <w:tc>
          <w:tcPr>
            <w:tcW w:type="pct" w:w="10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 4.5 نجوم</w:t>
            </w:r>
          </w:p>
        </w:tc>
        <w:tc>
          <w:tcPr>
            <w:tcW w:type="pct" w:w="8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يوماً 60</w:t>
            </w:r>
          </w:p>
        </w:tc>
      </w:tr>
      <w:tr>
        <w:trPr>
          <w:cantSplit/>
        </w:trPr>
        <w:tc>
          <w:tcPr>
            <w:tcW w:type="pct" w:w="13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21"/>
                <w:szCs w:val="21"/>
                <w:rtl/>
              </w:rPr>
              <w:t xml:space="preserve">O2 — جودة بمقاييس عالمية</w:t>
            </w:r>
          </w:p>
        </w:tc>
        <w:tc>
          <w:tcPr>
            <w:tcW w:type="pct" w:w="19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KR1: مستخدمون خالون من الأعطال Crash-free</w:t>
            </w:r>
          </w:p>
        </w:tc>
        <w:tc>
          <w:tcPr>
            <w:tcW w:type="pct" w:w="10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 99.8%</w:t>
            </w:r>
          </w:p>
        </w:tc>
        <w:tc>
          <w:tcPr>
            <w:tcW w:type="pct" w:w="8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أسبوعياً</w:t>
            </w:r>
          </w:p>
        </w:tc>
      </w:tr>
      <w:tr>
        <w:trPr>
          <w:cantSplit/>
        </w:trPr>
        <w:tc>
          <w:tcPr>
            <w:tcW w:type="pct" w:w="13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【يرجى التعبئة】</w:t>
            </w:r>
          </w:p>
        </w:tc>
        <w:tc>
          <w:tcPr>
            <w:tcW w:type="pct" w:w="19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KR2: معدل ANR دون عتبة Play السيئة</w:t>
            </w:r>
          </w:p>
        </w:tc>
        <w:tc>
          <w:tcPr>
            <w:tcW w:type="pct" w:w="10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&lt; 0.47% (صفر Bad behavior)</w:t>
            </w:r>
          </w:p>
        </w:tc>
        <w:tc>
          <w:tcPr>
            <w:tcW w:type="pct" w:w="8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أسبوعياً</w:t>
            </w:r>
          </w:p>
        </w:tc>
      </w:tr>
      <w:tr>
        <w:trPr>
          <w:cantSplit/>
        </w:trPr>
        <w:tc>
          <w:tcPr>
            <w:tcW w:type="pct" w:w="13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【يرجى التعبئة】</w:t>
            </w:r>
          </w:p>
        </w:tc>
        <w:tc>
          <w:tcPr>
            <w:tcW w:type="pct" w:w="19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KR3: تغطية الاختبارات الآلية — إجمالي الاختبارات الخضراء</w:t>
            </w:r>
          </w:p>
        </w:tc>
        <w:tc>
          <w:tcPr>
            <w:tcW w:type="pct" w:w="10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 1600 (من 1444)</w:t>
            </w:r>
          </w:p>
        </w:tc>
        <w:tc>
          <w:tcPr>
            <w:tcW w:type="pct" w:w="8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نهاية الأسبوع 11</w:t>
            </w:r>
          </w:p>
        </w:tc>
      </w:tr>
      <w:tr>
        <w:trPr>
          <w:cantSplit/>
        </w:trPr>
        <w:tc>
          <w:tcPr>
            <w:tcW w:type="pct" w:w="13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21"/>
                <w:szCs w:val="21"/>
                <w:rtl/>
              </w:rPr>
              <w:t xml:space="preserve">O3 — تأسيس الموجات القادمة بلا صفر انطلاق</w:t>
            </w:r>
          </w:p>
        </w:tc>
        <w:tc>
          <w:tcPr>
            <w:tcW w:type="pct" w:w="19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KR1: تحليل فجوات ZATCA-2 موثق + حساب منصة فاتورة sandbox فعال</w:t>
            </w:r>
          </w:p>
        </w:tc>
        <w:tc>
          <w:tcPr>
            <w:tcW w:type="pct" w:w="10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وثيقة معتمدة + حساب</w:t>
            </w:r>
          </w:p>
        </w:tc>
        <w:tc>
          <w:tcPr>
            <w:tcW w:type="pct" w:w="8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نهاية الأسبوع 8</w:t>
            </w:r>
          </w:p>
        </w:tc>
      </w:tr>
      <w:tr>
        <w:trPr>
          <w:cantSplit/>
        </w:trPr>
        <w:tc>
          <w:tcPr>
            <w:tcW w:type="pct" w:w="13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【يرجى التعبئة】</w:t>
            </w:r>
          </w:p>
        </w:tc>
        <w:tc>
          <w:tcPr>
            <w:tcW w:type="pct" w:w="19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KR2: قرار معماري للذكاء المحلي مع PoC موثق على جهاز مرجعي</w:t>
            </w:r>
          </w:p>
        </w:tc>
        <w:tc>
          <w:tcPr>
            <w:tcW w:type="pct" w:w="10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قرار + PoC</w:t>
            </w:r>
          </w:p>
        </w:tc>
        <w:tc>
          <w:tcPr>
            <w:tcW w:type="pct" w:w="8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نهاية الأسبوع 10</w:t>
            </w:r>
          </w:p>
        </w:tc>
      </w:tr>
      <w:tr>
        <w:trPr>
          <w:cantSplit/>
        </w:trPr>
        <w:tc>
          <w:tcPr>
            <w:tcW w:type="pct" w:w="13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【يرجى التعبئة】</w:t>
            </w:r>
          </w:p>
        </w:tc>
        <w:tc>
          <w:tcPr>
            <w:tcW w:type="pct" w:w="19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KR3: تصميم RBAC وخطة ترحيل المخطط v12→v13 معتمدان</w:t>
            </w:r>
          </w:p>
        </w:tc>
        <w:tc>
          <w:tcPr>
            <w:tcW w:type="pct" w:w="10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وثيقتان معتمدتان</w:t>
            </w:r>
          </w:p>
        </w:tc>
        <w:tc>
          <w:tcPr>
            <w:tcW w:type="pct" w:w="8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نهاية الأسبوع 10</w:t>
            </w:r>
          </w:p>
        </w:tc>
      </w:tr>
    </w:tbl>
    <w:p>
      <w:pPr>
        <w:pStyle w:val="Heading2"/>
        <w:keepNext/>
        <w:bidi/>
        <w:spacing w:after="130" w:before="280" w:line="340" w:lineRule="atLeast"/>
        <w:jc w:val="start"/>
      </w:pPr>
      <w:bookmarkStart w:id="100007" w:name="_Toc100007"/>
      <w:r>
        <w:rPr>
          <w:rFonts w:ascii="Segoe UI" w:cs="Cairo" w:eastAsia="Segoe UI" w:hAnsi="Segoe UI"/>
          <w:b/>
          <w:bCs/>
          <w:i w:val="false"/>
          <w:iCs w:val="false"/>
          <w:color w:val="6D28D9"/>
          <w:sz w:val="28"/>
          <w:szCs w:val="28"/>
          <w:rtl/>
        </w:rPr>
        <w:t xml:space="preserve">3.1 بوابات القرار Go/No-Go</w:t>
      </w:r>
      <w:bookmarkEnd w:id="100007"/>
    </w:p>
    <w:p>
      <w:pPr>
        <w:bidi/>
        <w:spacing w:after="140" w:before="0" w:line="312"/>
        <w:jc w:val="start"/>
      </w:pPr>
      <w:r>
        <w:rPr>
          <w:rFonts w:ascii="Segoe UI" w:cs="Cairo" w:eastAsia="Segoe UI" w:hAnsi="Segoe UI"/>
          <w:b w:val="false"/>
          <w:i w:val="false"/>
          <w:iCs w:val="false"/>
          <w:color w:val="000000"/>
          <w:sz w:val="24"/>
          <w:szCs w:val="24"/>
          <w:rtl/>
        </w:rPr>
        <w:t xml:space="preserve">لكل معلم بوابية من معالم M1–M6 (الفصل السادس) قرار Go/No-Go صريح: فإذا استُوفت معايير الخروج جرى التقدم؛ وإذا لم تستوفَ فالقرار الافتراضي هو التثبيت في المكان وإعادة فحص خلال أسبوع، لا التحرك بمعايير مخففة. وتُطبق القاعدة الذهبية المستمدة من معايير الجودة الدائمة: لا إصدار بلا اختبارات خضراء كاملة، ولا ترقية لقناة الإنتاج بتصنيف مخاطر مفتوح من درجة حمراء. وبهذا تتحول الأهداف من نص تحفيزي إلى آلية حكم فعلية يُدار بها إيقاع المرحلة أسبوعاً بأسبوع.</w:t>
      </w:r>
    </w:p>
    <w:p>
      <w:pPr>
        <w:pStyle w:val="Heading1"/>
        <w:keepNext/>
        <w:pBdr>
          <w:bottom w:val="single" w:color="8B5CF6" w:sz="6" w:space="6"/>
        </w:pBdr>
        <w:bidi/>
        <w:spacing w:after="180" w:before="400" w:line="380" w:lineRule="atLeast"/>
        <w:jc w:val="start"/>
      </w:pPr>
      <w:bookmarkStart w:id="100008" w:name="_Toc100008"/>
      <w:r>
        <w:rPr>
          <w:rFonts w:ascii="Segoe UI" w:cs="Cairo" w:eastAsia="Segoe UI" w:hAnsi="Segoe UI"/>
          <w:b/>
          <w:bCs/>
          <w:i w:val="false"/>
          <w:iCs w:val="false"/>
          <w:color w:val="6D28D9"/>
          <w:sz w:val="32"/>
          <w:szCs w:val="32"/>
          <w:rtl/>
        </w:rPr>
        <w:t xml:space="preserve">4. </w:t>
      </w:r>
      <w:r>
        <w:rPr>
          <w:rFonts w:ascii="Segoe UI" w:cs="Cairo" w:eastAsia="Segoe UI" w:hAnsi="Segoe UI"/>
          <w:b/>
          <w:bCs/>
          <w:i w:val="false"/>
          <w:iCs w:val="false"/>
          <w:color w:val="0B1026"/>
          <w:sz w:val="32"/>
          <w:szCs w:val="32"/>
          <w:rtl/>
        </w:rPr>
        <w:t xml:space="preserve">نطاق العمل الموسّع: المسارات الستة</w:t>
      </w:r>
      <w:bookmarkEnd w:id="100008"/>
    </w:p>
    <w:p>
      <w:pPr>
        <w:bidi/>
        <w:spacing w:after="140" w:before="0" w:line="312"/>
        <w:jc w:val="start"/>
      </w:pPr>
      <w:r>
        <w:rPr>
          <w:rFonts w:ascii="Segoe UI" w:cs="Cairo" w:eastAsia="Segoe UI" w:hAnsi="Segoe UI"/>
          <w:b w:val="false"/>
          <w:i w:val="false"/>
          <w:iCs w:val="false"/>
          <w:color w:val="000000"/>
          <w:sz w:val="24"/>
          <w:szCs w:val="24"/>
          <w:rtl/>
        </w:rPr>
        <w:t xml:space="preserve">يُفكك نطاق المرحلة إلى ستة مسارات عمل (Workstreams) تجعل التزامن بين «النشر التجاري» و«التمهيد التقني» محكوماً بالأولوية لا بالارتجال. وقد قُسم النطاق بهذه الصورة تحديداً لثلاثة أسباب: أولاً، لأن مسارَي النشر والدخل (WS-B وWS-C) يعملان على ساعة خارجية (مراجعة Play وسلوك المستخدمين) لا نتحكم بها، فيلزم عزلهما عن مسارات نتحكم بإيقاعها. ثانياً، لأن تمهيد الموجة الثانية يبدأ مبكراً وفق الخارطة نفسها (فتح حساب منصة فاتورة sandbox في الأسبوع الرابع من البدء)، ومن ثم يحتاج مساراً مستقلاً بمالك ومعايير. ثالثاً، لأن جودة التنفيذ الخارجي (أداء، وصولية، توطين) هي ما يفرق المنتج العالمي عن التطبيق الجيد، فخصص لها مساراً محاسبياً مستقلاً. ولكل مسار نطاق دقيق ومخرجات ومعايير قبول وخارج نطاق صريح يمنع زحف النطاق.</w:t>
      </w:r>
    </w:p>
    <w:p>
      <w:pPr>
        <w:pStyle w:val="Heading2"/>
        <w:keepNext/>
        <w:bidi/>
        <w:spacing w:after="130" w:before="280" w:line="340" w:lineRule="atLeast"/>
        <w:jc w:val="start"/>
      </w:pPr>
      <w:bookmarkStart w:id="100009" w:name="_Toc100009"/>
      <w:r>
        <w:rPr>
          <w:rFonts w:ascii="Segoe UI" w:cs="Cairo" w:eastAsia="Segoe UI" w:hAnsi="Segoe UI"/>
          <w:b/>
          <w:bCs/>
          <w:i w:val="false"/>
          <w:iCs w:val="false"/>
          <w:color w:val="6D28D9"/>
          <w:sz w:val="28"/>
          <w:szCs w:val="28"/>
          <w:rtl/>
        </w:rPr>
        <w:t xml:space="preserve">4.1 المسار WS-A — الجودة والهندسة</w:t>
      </w:r>
      <w:bookmarkEnd w:id="100009"/>
    </w:p>
    <w:p>
      <w:pPr>
        <w:bidi/>
        <w:spacing w:after="140" w:before="0" w:line="312"/>
        <w:jc w:val="start"/>
      </w:pPr>
      <w:r>
        <w:rPr>
          <w:rFonts w:ascii="Segoe UI" w:cs="Cairo" w:eastAsia="Segoe UI" w:hAnsi="Segoe UI"/>
          <w:b w:val="false"/>
          <w:i w:val="false"/>
          <w:iCs w:val="false"/>
          <w:color w:val="000000"/>
          <w:sz w:val="24"/>
          <w:szCs w:val="24"/>
          <w:rtl/>
        </w:rPr>
        <w:t xml:space="preserve">هذا المسار يحمي رأس مال الثقة المتراكم: 1444 اختباراً أخضر وبنية نظيفة. نطاقه: فحص يدوي شامل للشاشات الـ27 على أندرويد 16 (سلوكيات API 36 وedge-to-edge والإشعارات)، وخط أساس أداء موثق (إقلاع، استهلاك، استعلامات Room)، وتوسعة الاختبارات إلى 1600+، وتحسينات وصولية (TalkBack للشاشات الحرجة وتباين الألوان)، ومراجعة لغوية إنجليزية عميقة للسلاسل الجديدة. وقد أُثبتت بالفعل جاهزية البنية عبر بناء release كامل وlintRelease ناجحين، فتتجه جهود المسار نحو الجودة الملموسة من منظور المستخدم النهائي.</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2109"/>
        <w:gridCol w:w="6679"/>
      </w:tblGrid>
      <w:tr>
        <w:trPr>
          <w:cantSplit/>
          <w:tblHeader/>
        </w:trPr>
        <w:tc>
          <w:tcPr>
            <w:tcW w:type="pct" w:w="12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0"/>
                <w:szCs w:val="20"/>
                <w:rtl/>
              </w:rPr>
              <w:t xml:space="preserve">البند</w:t>
            </w:r>
          </w:p>
        </w:tc>
        <w:tc>
          <w:tcPr>
            <w:tcW w:type="pct" w:w="38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0"/>
                <w:szCs w:val="20"/>
                <w:rtl/>
              </w:rPr>
              <w:t xml:space="preserve">التفصيل</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المخرجات</w:t>
            </w:r>
          </w:p>
        </w:tc>
        <w:tc>
          <w:tcPr>
            <w:tcW w:type="pct" w:w="38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تقرير فحص يدوي موثق · خط أساس أداء · +160 اختباراً · إصلاحات a11y للشاشات الحرجة · تقرير مراجعة التوطين</w:t>
            </w:r>
          </w:p>
        </w:tc>
      </w:tr>
      <w:tr>
        <w:trPr>
          <w:cantSplit/>
        </w:trPr>
        <w:tc>
          <w:tcPr>
            <w:tcW w:type="pct" w:w="12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معايير القبول</w:t>
            </w:r>
          </w:p>
        </w:tc>
        <w:tc>
          <w:tcPr>
            <w:tcW w:type="pct" w:w="38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صفر خلل P0 مفتوح في أي لحظة إطلاق · Crash-free ≥ 99.8% · إقلاع مبرمج دافئ أدنى من ثانية على جهاز مرجعي · 1600+ اختبار أخضر · 2235=2235 (وأعلى) بفاحص CI</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خارج النطاق</w:t>
            </w:r>
          </w:p>
        </w:tc>
        <w:tc>
          <w:tcPr>
            <w:tcW w:type="pct" w:w="38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مزامنة سحابية (لا تُمس) · أي ترحيل مخطط جديد فعلي (يُصمم فقط ويُؤجل تنفيذه للموجة 4) · إعادة كتابة معمارية</w:t>
            </w:r>
          </w:p>
        </w:tc>
      </w:tr>
    </w:tbl>
    <w:p>
      <w:pPr>
        <w:pStyle w:val="Heading2"/>
        <w:keepNext/>
        <w:bidi/>
        <w:spacing w:after="130" w:before="280" w:line="340" w:lineRule="atLeast"/>
        <w:jc w:val="start"/>
      </w:pPr>
      <w:bookmarkStart w:id="100010" w:name="_Toc100010"/>
      <w:r>
        <w:rPr>
          <w:rFonts w:ascii="Segoe UI" w:cs="Cairo" w:eastAsia="Segoe UI" w:hAnsi="Segoe UI"/>
          <w:b/>
          <w:bCs/>
          <w:i w:val="false"/>
          <w:iCs w:val="false"/>
          <w:color w:val="6D28D9"/>
          <w:sz w:val="28"/>
          <w:szCs w:val="28"/>
          <w:rtl/>
        </w:rPr>
        <w:t xml:space="preserve">4.2 المسار WS-B — النشر التجاري على Google Play</w:t>
      </w:r>
      <w:bookmarkEnd w:id="100010"/>
    </w:p>
    <w:p>
      <w:pPr>
        <w:bidi/>
        <w:spacing w:after="140" w:before="0" w:line="312"/>
        <w:jc w:val="start"/>
      </w:pPr>
      <w:r>
        <w:rPr>
          <w:rFonts w:ascii="Segoe UI" w:cs="Cairo" w:eastAsia="Segoe UI" w:hAnsi="Segoe UI"/>
          <w:b w:val="false"/>
          <w:i w:val="false"/>
          <w:iCs w:val="false"/>
          <w:color w:val="000000"/>
          <w:sz w:val="24"/>
          <w:szCs w:val="24"/>
          <w:rtl/>
        </w:rPr>
        <w:t xml:space="preserve">هذا قلب المرحلة التجارية: من AAB vc2 جاهز فعلياً إلى نشر إنتاجي 100%. نطاقه: تشغيل القنوات الثلاث بترتيبها الحاكم (Internal للفحص خلال دقائق، ثم Closed بـ50 مختبراً حقيقياً، ثم Production بإطلاق تدريجي 20% فـ100%)، وإكمال نماذج الامتثال (سياسة الخصوصية المنشورة، Data Safety بحرفيتها من docs/PLAY_DATA_SAFETY.md، تصنيف IARC، وسم «لا إعلانات»)، وقائمة متجر ASO ثنائية اللغة بلقطات v2 الحقيقية من جهاز فعلي (تشمل لقطة Pro للوحة المؤشرات ولقطة بالإنجليزية)، ثم تشغيل حلقة المراقبة (Vitals أسبوعياً ومراجعات يومياً في الشهر الأول). القواعد التشغيلية الدقيقة موثقة حرفياً في دفتر الإطلاق ويعتمد هذا المسار عليها مرجعاً تنفيذياً.</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2109"/>
        <w:gridCol w:w="6679"/>
      </w:tblGrid>
      <w:tr>
        <w:trPr>
          <w:cantSplit/>
          <w:tblHeader/>
        </w:trPr>
        <w:tc>
          <w:tcPr>
            <w:tcW w:type="pct" w:w="12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0"/>
                <w:szCs w:val="20"/>
                <w:rtl/>
              </w:rPr>
              <w:t xml:space="preserve">البند</w:t>
            </w:r>
          </w:p>
        </w:tc>
        <w:tc>
          <w:tcPr>
            <w:tcW w:type="pct" w:w="38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0"/>
                <w:szCs w:val="20"/>
                <w:rtl/>
              </w:rPr>
              <w:t xml:space="preserve">التفصيل</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المخرجات</w:t>
            </w:r>
          </w:p>
        </w:tc>
        <w:tc>
          <w:tcPr>
            <w:tcW w:type="pct" w:w="38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أول AAB مقبول في Internal بلا تحذيرات · قناة Closed عاملة بـ50 مختبراً · نماذج امتثال مكتملة · قائمة متجر كاملة ثنائية اللغة · إطلاق 20% فـ100%</w:t>
            </w:r>
          </w:p>
        </w:tc>
      </w:tr>
      <w:tr>
        <w:trPr>
          <w:cantSplit/>
        </w:trPr>
        <w:tc>
          <w:tcPr>
            <w:tcW w:type="pct" w:w="12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معايير القبول</w:t>
            </w:r>
          </w:p>
        </w:tc>
        <w:tc>
          <w:tcPr>
            <w:tcW w:type="pct" w:w="38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عتبة الترقية للإنتاج: ≥ 30 مختبراً نشطاً وصفر انهيار P0 و≥ 80% نية دفع «نعم/ربما» · قبول أول AAB دون طلبات توضيح من المراجعة · تثبيت تراكبي فوق v1.0 يحفظ كل البيانات</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خارج النطاق</w:t>
            </w:r>
          </w:p>
        </w:tc>
        <w:tc>
          <w:tcPr>
            <w:tcW w:type="pct" w:w="38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حملات إعلانية مدفوعة (إدارة قرار منفصلة) · أي قناة توزيع خارج Play للنسخة التجارية · التوسع لأسواق خارج السعودية</w:t>
            </w:r>
          </w:p>
        </w:tc>
      </w:tr>
    </w:tbl>
    <w:p>
      <w:pPr>
        <w:pStyle w:val="Heading2"/>
        <w:keepNext/>
        <w:bidi/>
        <w:spacing w:after="130" w:before="280" w:line="340" w:lineRule="atLeast"/>
        <w:jc w:val="start"/>
      </w:pPr>
      <w:bookmarkStart w:id="100011" w:name="_Toc100011"/>
      <w:r>
        <w:rPr>
          <w:rFonts w:ascii="Segoe UI" w:cs="Cairo" w:eastAsia="Segoe UI" w:hAnsi="Segoe UI"/>
          <w:b/>
          <w:bCs/>
          <w:i w:val="false"/>
          <w:iCs w:val="false"/>
          <w:color w:val="6D28D9"/>
          <w:sz w:val="28"/>
          <w:szCs w:val="28"/>
          <w:rtl/>
        </w:rPr>
        <w:t xml:space="preserve">4.3 المسار WS-C — تحقيق الدخل Pro</w:t>
      </w:r>
      <w:bookmarkEnd w:id="100011"/>
    </w:p>
    <w:p>
      <w:pPr>
        <w:bidi/>
        <w:spacing w:after="140" w:before="0" w:line="312"/>
        <w:jc w:val="start"/>
      </w:pPr>
      <w:r>
        <w:rPr>
          <w:rFonts w:ascii="Segoe UI" w:cs="Cairo" w:eastAsia="Segoe UI" w:hAnsi="Segoe UI"/>
          <w:b w:val="false"/>
          <w:i w:val="false"/>
          <w:iCs w:val="false"/>
          <w:color w:val="000000"/>
          <w:sz w:val="24"/>
          <w:szCs w:val="24"/>
          <w:rtl/>
        </w:rPr>
        <w:t xml:space="preserve">الإيراد الأول في تاريخ المنتج يبدأ هنا بقرار تسعيري معلن: منتج شراء لمرة واحدة superbiz_pro بسعر 49 ريالاً سعودياً (قابل للتعديل لأن التطبيق يعرض سعر Play المنسّق تلقائياً)، والنواة مجانية للأبد. نطاق المسار التشغيلي: تفعيل المنتج في Play Console بما يسمح لـqueryProductDetailsAsync بالعمل (وإلا ظهرت حالة «المتجر غير متاح» في شاشة Pro)، والتحقق الآلي من سيناريوهات الشراء/الاسترجاع/الترقية التراكبية على أجهزة حقيقية في القناة الداخلية، وقياس التحويل أسبوعياً من Play Console، وكود ترويجي (Promo codes) «Pro مجاناً لأول 10 مختبرين» لتحفيز القناة المغلقة، ثم تحليل مقارن لنقاط سعرية بديلة يستند إلى بيانات تحويل حقيقية لا فرضيات.</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2109"/>
        <w:gridCol w:w="6679"/>
      </w:tblGrid>
      <w:tr>
        <w:trPr>
          <w:cantSplit/>
          <w:tblHeader/>
        </w:trPr>
        <w:tc>
          <w:tcPr>
            <w:tcW w:type="pct" w:w="12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0"/>
                <w:szCs w:val="20"/>
                <w:rtl/>
              </w:rPr>
              <w:t xml:space="preserve">البند</w:t>
            </w:r>
          </w:p>
        </w:tc>
        <w:tc>
          <w:tcPr>
            <w:tcW w:type="pct" w:w="38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0"/>
                <w:szCs w:val="20"/>
                <w:rtl/>
              </w:rPr>
              <w:t xml:space="preserve">التفصيل</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المخرجات</w:t>
            </w:r>
          </w:p>
        </w:tc>
        <w:tc>
          <w:tcPr>
            <w:tcW w:type="pct" w:w="38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منتج superbiz_pro مفعّل بسعر 49 ر.س · اختبار شراء/استرجاع موثق على أجهزة حقيقية · كود ترويجي لأول 10 مختبرين · تقرير تحويل أسبوعي · مذكرة نقاط سعرية</w:t>
            </w:r>
          </w:p>
        </w:tc>
      </w:tr>
      <w:tr>
        <w:trPr>
          <w:cantSplit/>
        </w:trPr>
        <w:tc>
          <w:tcPr>
            <w:tcW w:type="pct" w:w="12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معايير القبول</w:t>
            </w:r>
          </w:p>
        </w:tc>
        <w:tc>
          <w:tcPr>
            <w:tcW w:type="pct" w:w="38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استرجاع الاستحقاق يعمل بعد إعادة تثبيت التطبيق · شراء لمرة واحدة يبقى صالحاً بلا اتصال دائم · تحويل Pro ≥ 2% بحلول يوم 60 (هدف مستقر ≥ 3%)</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خارج النطاق</w:t>
            </w:r>
          </w:p>
        </w:tc>
        <w:tc>
          <w:tcPr>
            <w:tcW w:type="pct" w:w="38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اشتراكات دورية (قناة المطوريين جاءت في Play Billing v8 وبناؤها مؤجل) · أي بوابة Pro إضافية جديدة تُجمد لقائمة الموجات</w:t>
            </w:r>
          </w:p>
        </w:tc>
      </w:tr>
    </w:tbl>
    <w:p>
      <w:pPr>
        <w:pStyle w:val="Heading2"/>
        <w:keepNext/>
        <w:bidi/>
        <w:spacing w:after="130" w:before="280" w:line="340" w:lineRule="atLeast"/>
        <w:jc w:val="start"/>
      </w:pPr>
      <w:bookmarkStart w:id="100012" w:name="_Toc100012"/>
      <w:r>
        <w:rPr>
          <w:rFonts w:ascii="Segoe UI" w:cs="Cairo" w:eastAsia="Segoe UI" w:hAnsi="Segoe UI"/>
          <w:b/>
          <w:bCs/>
          <w:i w:val="false"/>
          <w:iCs w:val="false"/>
          <w:color w:val="6D28D9"/>
          <w:sz w:val="28"/>
          <w:szCs w:val="28"/>
          <w:rtl/>
        </w:rPr>
        <w:t xml:space="preserve">4.4 المسار WS-D — تأسيس ZATCA مرحلة-2</w:t>
      </w:r>
      <w:bookmarkEnd w:id="100012"/>
    </w:p>
    <w:p>
      <w:pPr>
        <w:bidi/>
        <w:spacing w:after="140" w:before="0" w:line="312"/>
        <w:jc w:val="start"/>
      </w:pPr>
      <w:r>
        <w:rPr>
          <w:rFonts w:ascii="Segoe UI" w:cs="Cairo" w:eastAsia="Segoe UI" w:hAnsi="Segoe UI"/>
          <w:b w:val="false"/>
          <w:i w:val="false"/>
          <w:iCs w:val="false"/>
          <w:color w:val="000000"/>
          <w:sz w:val="24"/>
          <w:szCs w:val="24"/>
          <w:rtl/>
        </w:rPr>
        <w:t xml:space="preserve">وفق الخارطة، بذرة الموجة الثانية تُزرع في المرحلة الأولى: تحليل فجوات موثق بين متطلبات الفاتورة الإلكترونية مرحلة-2 (الربط والتكامل عبر منصة فاتورة) ومخطط البيانات الحالي v12 بـ25 كياناً. نطاقه: مراجعة مسار الجيل القائم (QR TLV والإقرار الضريبي وXML التشغيلي من v1.0) مقابل متطلبات UBL وCSID وICV/PIH والتقارير المتزامنة، وفتح حساب منصة فاتورة sandbox وإصدار CSR/CSID تجريبي، وتوثيق القرار المعماري الحاكم: طبقة شبكة feature-gated معزولة تُبقي روح offline-first (صفر طلبات افتراضياً) مع تفعيل اختياري محكم. مخرجات هذا المسار هي مدخل الموجة الثانية الأول، ولذا يحمل أولوية عالية رغم صغر حجمه في هذا الربع.</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2109"/>
        <w:gridCol w:w="6679"/>
      </w:tblGrid>
      <w:tr>
        <w:trPr>
          <w:cantSplit/>
          <w:tblHeader/>
        </w:trPr>
        <w:tc>
          <w:tcPr>
            <w:tcW w:type="pct" w:w="12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0"/>
                <w:szCs w:val="20"/>
                <w:rtl/>
              </w:rPr>
              <w:t xml:space="preserve">البند</w:t>
            </w:r>
          </w:p>
        </w:tc>
        <w:tc>
          <w:tcPr>
            <w:tcW w:type="pct" w:w="38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0"/>
                <w:szCs w:val="20"/>
                <w:rtl/>
              </w:rPr>
              <w:t xml:space="preserve">التفصيل</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المخرجات</w:t>
            </w:r>
          </w:p>
        </w:tc>
        <w:tc>
          <w:tcPr>
            <w:tcW w:type="pct" w:w="38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وثيقة تحليل فجوات (مخطط v12 مقابل UBL/CSID/ICV-PIH/Reporting-Clearance) · حساب sandbox فعال مع CSR/CSID تجريبي · قرار معماري feature-gated موثق</w:t>
            </w:r>
          </w:p>
        </w:tc>
      </w:tr>
      <w:tr>
        <w:trPr>
          <w:cantSplit/>
        </w:trPr>
        <w:tc>
          <w:tcPr>
            <w:tcW w:type="pct" w:w="12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معايير القبول</w:t>
            </w:r>
          </w:p>
        </w:tc>
        <w:tc>
          <w:tcPr>
            <w:tcW w:type="pct" w:w="38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كل فجوة مصنفة (كيان جديد/حقل/سلوك) مع تقدير جهد · فاتورة تجريبية مولدة بصيغة UBL في sandbox تُقبل بلا رفض بنائي · القرار المعماري معتمد بمراجعة CTO</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خارج النطاق</w:t>
            </w:r>
          </w:p>
        </w:tc>
        <w:tc>
          <w:tcPr>
            <w:tcW w:type="pct" w:w="38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أي تنفيذ فعلي لخط الربط (الموجة 2) · ربط حقيقي مع فاتورة · تعديل مخطط v12 القائم</w:t>
            </w:r>
          </w:p>
        </w:tc>
      </w:tr>
    </w:tbl>
    <w:p>
      <w:pPr>
        <w:pStyle w:val="Heading2"/>
        <w:keepNext/>
        <w:bidi/>
        <w:spacing w:after="130" w:before="280" w:line="340" w:lineRule="atLeast"/>
        <w:jc w:val="start"/>
      </w:pPr>
      <w:bookmarkStart w:id="100013" w:name="_Toc100013"/>
      <w:r>
        <w:rPr>
          <w:rFonts w:ascii="Segoe UI" w:cs="Cairo" w:eastAsia="Segoe UI" w:hAnsi="Segoe UI"/>
          <w:b/>
          <w:bCs/>
          <w:i w:val="false"/>
          <w:iCs w:val="false"/>
          <w:color w:val="6D28D9"/>
          <w:sz w:val="28"/>
          <w:szCs w:val="28"/>
          <w:rtl/>
        </w:rPr>
        <w:t xml:space="preserve">4.5 المسار WS-E — تمهيد الذكاء المحلي</w:t>
      </w:r>
      <w:bookmarkEnd w:id="100013"/>
    </w:p>
    <w:p>
      <w:pPr>
        <w:bidi/>
        <w:spacing w:after="140" w:before="0" w:line="312"/>
        <w:jc w:val="start"/>
      </w:pPr>
      <w:r>
        <w:rPr>
          <w:rFonts w:ascii="Segoe UI" w:cs="Cairo" w:eastAsia="Segoe UI" w:hAnsi="Segoe UI"/>
          <w:b w:val="false"/>
          <w:i w:val="false"/>
          <w:iCs w:val="false"/>
          <w:color w:val="000000"/>
          <w:sz w:val="24"/>
          <w:szCs w:val="24"/>
          <w:rtl/>
        </w:rPr>
        <w:t xml:space="preserve">قرار العمود الثالث المعماري (مسار A إحصائي أساس + مسار B اختياري على نماذج جهازية) يحتاج دليلاً تقنياً قبل أن يتحول إلى استثمار في الموجة الثالثة. نطاق المسار في هذا الربع مقصود وصغير: إثبات مفهوم (PoC) موثق لنموذج جهازي (Gemini Nano عبر AICore على جهاز Pixel مرجعي حديث) يختبر جاهزية البيئة وزمن الاستجابة وجودة المخرجات بالعربية لثلاثة أسئلة استخدام من واقع التطبيق (قراءة فاتورة غير مفهومة، اقتراح سعر، تفسير تقرير)، دون أي دمج في كود التطبيق، ودون أي اعتماد وظيفي عليه. المعيار النهائي: مذكرة قرار تدعم أو تعارض تفعيل المسار B مستقبلاً، مع أرقام قياس حقيقية لا انطباعات.</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2109"/>
        <w:gridCol w:w="6679"/>
      </w:tblGrid>
      <w:tr>
        <w:trPr>
          <w:cantSplit/>
          <w:tblHeader/>
        </w:trPr>
        <w:tc>
          <w:tcPr>
            <w:tcW w:type="pct" w:w="12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0"/>
                <w:szCs w:val="20"/>
                <w:rtl/>
              </w:rPr>
              <w:t xml:space="preserve">البند</w:t>
            </w:r>
          </w:p>
        </w:tc>
        <w:tc>
          <w:tcPr>
            <w:tcW w:type="pct" w:w="38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0"/>
                <w:szCs w:val="20"/>
                <w:rtl/>
              </w:rPr>
              <w:t xml:space="preserve">التفصيل</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المخرجات</w:t>
            </w:r>
          </w:p>
        </w:tc>
        <w:tc>
          <w:tcPr>
            <w:tcW w:type="pct" w:w="38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PoC موثق على جهاز مرجعي · أرقام زمن استجابة وجودة عربية · مذكرة قرار معمارية للمسار B</w:t>
            </w:r>
          </w:p>
        </w:tc>
      </w:tr>
      <w:tr>
        <w:trPr>
          <w:cantSplit/>
        </w:trPr>
        <w:tc>
          <w:tcPr>
            <w:tcW w:type="pct" w:w="12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معايير القبول</w:t>
            </w:r>
          </w:p>
        </w:tc>
        <w:tc>
          <w:tcPr>
            <w:tcW w:type="pct" w:w="38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زمن استجابة موثق أقل من 3 ثوانٍ للسؤال المرجعي على الجهاز المرجعي · صفر كود في شجرة التطبيق الرئيسية · القرار معتمد في مراجعة بوابة M5</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خارج النطاق</w:t>
            </w:r>
          </w:p>
        </w:tc>
        <w:tc>
          <w:tcPr>
            <w:tcW w:type="pct" w:w="38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دمج أي نموذج في التطبيق · أي مسار ذكاء يعتمد شبكة افتراضياً · تجاوز حاجز الجودة المعتمد (دقة ≥ 85%، صفر شبكة، زمن &lt; 3 ثوانٍ)</w:t>
            </w:r>
          </w:p>
        </w:tc>
      </w:tr>
    </w:tbl>
    <w:p>
      <w:pPr>
        <w:pStyle w:val="Heading2"/>
        <w:keepNext/>
        <w:bidi/>
        <w:spacing w:after="130" w:before="280" w:line="340" w:lineRule="atLeast"/>
        <w:jc w:val="start"/>
      </w:pPr>
      <w:bookmarkStart w:id="100014" w:name="_Toc100014"/>
      <w:r>
        <w:rPr>
          <w:rFonts w:ascii="Segoe UI" w:cs="Cairo" w:eastAsia="Segoe UI" w:hAnsi="Segoe UI"/>
          <w:b/>
          <w:bCs/>
          <w:i w:val="false"/>
          <w:iCs w:val="false"/>
          <w:color w:val="6D28D9"/>
          <w:sz w:val="28"/>
          <w:szCs w:val="28"/>
          <w:rtl/>
        </w:rPr>
        <w:t xml:space="preserve">4.6 المسار WS-F — تمهيد المؤسسات</w:t>
      </w:r>
      <w:bookmarkEnd w:id="100014"/>
    </w:p>
    <w:p>
      <w:pPr>
        <w:bidi/>
        <w:spacing w:after="140" w:before="0" w:line="312"/>
        <w:jc w:val="start"/>
      </w:pPr>
      <w:r>
        <w:rPr>
          <w:rFonts w:ascii="Segoe UI" w:cs="Cairo" w:eastAsia="Segoe UI" w:hAnsi="Segoe UI"/>
          <w:b w:val="false"/>
          <w:i w:val="false"/>
          <w:iCs w:val="false"/>
          <w:color w:val="000000"/>
          <w:sz w:val="24"/>
          <w:szCs w:val="24"/>
          <w:rtl/>
        </w:rPr>
        <w:t xml:space="preserve">عمود المؤسسات (فروع، RBAC، محاسبة موسعة، مزامنة S1) يبدأ من أساس صلب: مخطط v12 بـ25 كياناً على Room ودرساً مجرباً في الترحيل الذرّي (v10→v12 بلا فقد). نطاقه هنا تصميمي بحت: وثيقة RBAC (نموذج أدوار وأذونات على مستوى الشاشة والعملية، وربطها بالسلاسل والملاحة)، وخطة ترحيل v12→v13 التي تضيف كيانات الفروع والأدوار دون أي destructive، وتقييم أولي لتشفير قاعدة البيانات SQLCipher مقابل ميزانية أداء الجهازات المستهدفة. هذا التمهيد يجعل تقدير الموجة الرابعة (12–16 أسبوعاً) قابلاً للاختبار بدل كونه رقماً ورقياً، ويرفع جودة أي عرض تعاقدي مؤسسي لاحق.</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2109"/>
        <w:gridCol w:w="6679"/>
      </w:tblGrid>
      <w:tr>
        <w:trPr>
          <w:cantSplit/>
          <w:tblHeader/>
        </w:trPr>
        <w:tc>
          <w:tcPr>
            <w:tcW w:type="pct" w:w="12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0"/>
                <w:szCs w:val="20"/>
                <w:rtl/>
              </w:rPr>
              <w:t xml:space="preserve">البند</w:t>
            </w:r>
          </w:p>
        </w:tc>
        <w:tc>
          <w:tcPr>
            <w:tcW w:type="pct" w:w="38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0"/>
                <w:szCs w:val="20"/>
                <w:rtl/>
              </w:rPr>
              <w:t xml:space="preserve">التفصيل</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المخرجات</w:t>
            </w:r>
          </w:p>
        </w:tc>
        <w:tc>
          <w:tcPr>
            <w:tcW w:type="pct" w:w="38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وثيقة RBAC معتمدة · خطة ترحيل v12→v13 ذرّية · تقييم SQLCipher بأرقام أداء أولية</w:t>
            </w:r>
          </w:p>
        </w:tc>
      </w:tr>
      <w:tr>
        <w:trPr>
          <w:cantSplit/>
        </w:trPr>
        <w:tc>
          <w:tcPr>
            <w:tcW w:type="pct" w:w="12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معايير القبول</w:t>
            </w:r>
          </w:p>
        </w:tc>
        <w:tc>
          <w:tcPr>
            <w:tcW w:type="pct" w:w="38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كل دور مؤسسي قابل للتعبئة من النموذج دون تعديل كود (حالة تصميمية) · خطة الترحيل بلا خطوة destructive واحدة · مراجعة أداء موثقة على الجهاز المرجعي</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خارج النطاق</w:t>
            </w:r>
          </w:p>
        </w:tc>
        <w:tc>
          <w:tcPr>
            <w:tcW w:type="pct" w:w="38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0"/>
                <w:szCs w:val="20"/>
                <w:rtl/>
              </w:rPr>
              <w:t xml:space="preserve">تنفيذ RBAC أو الفروع فعلياً (موجة 4) · مختبر أمان خارجي · مزامنة S1</w:t>
            </w:r>
          </w:p>
        </w:tc>
      </w:tr>
    </w:tbl>
    <w:p>
      <w:pPr>
        <w:pStyle w:val="Heading1"/>
        <w:keepNext/>
        <w:pBdr>
          <w:bottom w:val="single" w:color="8B5CF6" w:sz="6" w:space="6"/>
        </w:pBdr>
        <w:bidi/>
        <w:spacing w:after="180" w:before="400" w:line="380" w:lineRule="atLeast"/>
        <w:jc w:val="start"/>
      </w:pPr>
      <w:bookmarkStart w:id="100015" w:name="_Toc100015"/>
      <w:r>
        <w:rPr>
          <w:rFonts w:ascii="Segoe UI" w:cs="Cairo" w:eastAsia="Segoe UI" w:hAnsi="Segoe UI"/>
          <w:b/>
          <w:bCs/>
          <w:i w:val="false"/>
          <w:iCs w:val="false"/>
          <w:color w:val="6D28D9"/>
          <w:sz w:val="32"/>
          <w:szCs w:val="32"/>
          <w:rtl/>
        </w:rPr>
        <w:t xml:space="preserve">5. </w:t>
      </w:r>
      <w:r>
        <w:rPr>
          <w:rFonts w:ascii="Segoe UI" w:cs="Cairo" w:eastAsia="Segoe UI" w:hAnsi="Segoe UI"/>
          <w:b/>
          <w:bCs/>
          <w:i w:val="false"/>
          <w:iCs w:val="false"/>
          <w:color w:val="0B1026"/>
          <w:sz w:val="32"/>
          <w:szCs w:val="32"/>
          <w:rtl/>
        </w:rPr>
        <w:t xml:space="preserve">هيكل تجزئة العمل (WBS) الأسبوعي</w:t>
      </w:r>
      <w:bookmarkEnd w:id="100015"/>
    </w:p>
    <w:p>
      <w:pPr>
        <w:bidi/>
        <w:spacing w:after="140" w:before="0" w:line="312"/>
        <w:jc w:val="start"/>
      </w:pPr>
      <w:r>
        <w:rPr>
          <w:rFonts w:ascii="Segoe UI" w:cs="Cairo" w:eastAsia="Segoe UI" w:hAnsi="Segoe UI"/>
          <w:b w:val="false"/>
          <w:i w:val="false"/>
          <w:iCs w:val="false"/>
          <w:color w:val="000000"/>
          <w:sz w:val="24"/>
          <w:szCs w:val="24"/>
          <w:rtl/>
        </w:rPr>
        <w:t xml:space="preserve">يُفكك الربع التنفيذي إلى 32 مهمة محددة الهوية (WBS-01 حتى WBS-32)، لكل منها مسار ومسؤول ونافذة أسبوعية ومعيار قبول قابل للفحص. وقد صيغت المعايير كذلك بحيث يمكن لأي عضو — أو أي أداة CI — الحكم آلياً تقريباً على اكتمال المهمة دون جدل تفسيري، وهو جوهر الاحتراف التنفيذي: كل بند إما أخضر أو أحمر ولا يوجد «شبه جاهز». وتُعرض المهام في ثلاثة جداول شهرية تلي التسلسل الزمني للمرحلة (5 أكتوبر – 27 ديسمبر 2026)، فيما يعرض الفصل السادس المسارات الزمنية والمسار الحرج الذي تتحكم به أربعة بنود فقط: قناة Internal، ثم النماذج الامتثالية، ثم القناة المغلقة، ثم بوابة الإنتاج.</w:t>
      </w:r>
    </w:p>
    <w:p>
      <w:pPr>
        <w:pStyle w:val="Heading2"/>
        <w:keepNext/>
        <w:bidi/>
        <w:spacing w:after="130" w:before="280" w:line="340" w:lineRule="atLeast"/>
        <w:jc w:val="start"/>
      </w:pPr>
      <w:bookmarkStart w:id="100016" w:name="_Toc100016"/>
      <w:r>
        <w:rPr>
          <w:rFonts w:ascii="Segoe UI" w:cs="Cairo" w:eastAsia="Segoe UI" w:hAnsi="Segoe UI"/>
          <w:b/>
          <w:bCs/>
          <w:i w:val="false"/>
          <w:iCs w:val="false"/>
          <w:color w:val="6D28D9"/>
          <w:sz w:val="28"/>
          <w:szCs w:val="28"/>
          <w:rtl/>
        </w:rPr>
        <w:t xml:space="preserve">5.1 أكتوبر 2026 — الأسبوع 1 إلى 4 (التأسيس والفتح)</w:t>
      </w:r>
      <w:bookmarkEnd w:id="100016"/>
    </w:p>
    <w:p>
      <w:pPr>
        <w:keepNext/>
        <w:bidi/>
        <w:spacing w:after="90" w:before="160" w:line="300"/>
        <w:jc w:val="start"/>
      </w:pPr>
      <w:r>
        <w:rPr>
          <w:rFonts w:ascii="Segoe UI" w:cs="Cairo" w:eastAsia="Segoe UI" w:hAnsi="Segoe UI"/>
          <w:b/>
          <w:bCs/>
          <w:i w:val="false"/>
          <w:iCs w:val="false"/>
          <w:color w:val="5A6080"/>
          <w:sz w:val="21"/>
          <w:szCs w:val="21"/>
          <w:rtl/>
        </w:rPr>
        <w:t xml:space="preserve">جدول 5: مهام أكتوبر — الأسبوع و1: 5–11 أكتوبر، و2: 12–18، و3: 19–25، و4: 26 أكتوبر – 1 نوفمبر</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967"/>
        <w:gridCol w:w="2549"/>
        <w:gridCol w:w="791"/>
        <w:gridCol w:w="967"/>
        <w:gridCol w:w="967"/>
        <w:gridCol w:w="2549"/>
      </w:tblGrid>
      <w:tr>
        <w:trPr>
          <w:cantSplit/>
          <w:tblHeader/>
        </w:trPr>
        <w:tc>
          <w:tcPr>
            <w:tcW w:type="pct" w:w="5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المعرف</w:t>
            </w:r>
          </w:p>
        </w:tc>
        <w:tc>
          <w:tcPr>
            <w:tcW w:type="pct" w:w="14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المهمة</w:t>
            </w:r>
          </w:p>
        </w:tc>
        <w:tc>
          <w:tcPr>
            <w:tcW w:type="pct" w:w="4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المسار</w:t>
            </w:r>
          </w:p>
        </w:tc>
        <w:tc>
          <w:tcPr>
            <w:tcW w:type="pct" w:w="5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الأسبوع</w:t>
            </w:r>
          </w:p>
        </w:tc>
        <w:tc>
          <w:tcPr>
            <w:tcW w:type="pct" w:w="5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المسؤول</w:t>
            </w:r>
          </w:p>
        </w:tc>
        <w:tc>
          <w:tcPr>
            <w:tcW w:type="pct" w:w="14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معيار القبول</w:t>
            </w:r>
          </w:p>
        </w:tc>
      </w:tr>
      <w:tr>
        <w:trPr>
          <w:cantSplit/>
        </w:trPr>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01</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اعتماد هذه الخطة وتجميد نطاق الربع وOKRs</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حوكمة</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و1</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CTO</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محضر اعتماد + شجرة مهام منشورة</w:t>
            </w:r>
          </w:p>
        </w:tc>
      </w:tr>
      <w:tr>
        <w:trPr>
          <w:cantSplit/>
        </w:trPr>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02</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رفع AAB vc2 إلى قناة Internal + اختبار Billing على جهاز حقيقي</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WS-B</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و1</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DEV-1</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أول AAB يُقبل بلا تحذيرات</w:t>
            </w:r>
          </w:p>
        </w:tc>
      </w:tr>
      <w:tr>
        <w:trPr>
          <w:cantSplit/>
        </w:trPr>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03</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إنشاء منتج superbiz_pro (49 ر.س) وتفعيله</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WS-C</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و1</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CTO</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queryProductDetailsAsync يعيد السعر</w:t>
            </w:r>
          </w:p>
        </w:tc>
      </w:tr>
      <w:tr>
        <w:trPr>
          <w:cantSplit/>
        </w:trPr>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04</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نشر سياسة الخصوصية + تعبئة Data Safety + IARC</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WS-B</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و1–2</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GRO-1</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النماذج مكتملة بلا ملاحظات</w:t>
            </w:r>
          </w:p>
        </w:tc>
      </w:tr>
      <w:tr>
        <w:trPr>
          <w:cantSplit/>
        </w:trPr>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05</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فحص يدوي شامل للشاشات الـ27 على Android 16</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WS-A</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و1–2</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QA-1</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تقرير فحص بصفر P0 مفتوح</w:t>
            </w:r>
          </w:p>
        </w:tc>
      </w:tr>
      <w:tr>
        <w:trPr>
          <w:cantSplit/>
        </w:trPr>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06</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لقطات v2 حقيقية (Pro + إنجليزي) + فيديو قصير</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WS-B</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و2</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GRO-1</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8 لقطات هاتف + 2 لوحي جاهزة</w:t>
            </w:r>
          </w:p>
        </w:tc>
      </w:tr>
      <w:tr>
        <w:trPr>
          <w:cantSplit/>
        </w:trPr>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07</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قائمة المتجر ASO ثنائية اللغة النهائية</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WS-B</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و2–3</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GRO-1</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قائمة كاملة وفق STORE_LISTING_ASO</w:t>
            </w:r>
          </w:p>
        </w:tc>
      </w:tr>
      <w:tr>
        <w:trPr>
          <w:cantSplit/>
        </w:trPr>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08</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إعداد Google Group «superbiz-testers» + نموذج الملاحظات</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WS-B</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و2–3</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GRO-1</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قائمة بريد + استمارة جاهزة</w:t>
            </w:r>
          </w:p>
        </w:tc>
      </w:tr>
      <w:tr>
        <w:trPr>
          <w:cantSplit/>
        </w:trPr>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09</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دفعة إصلاحات نتيجة الفحص اليدوي</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WS-A</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و3–4</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DEV-1</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كل P1 المغلقة واختباراتها خضراء</w:t>
            </w:r>
          </w:p>
        </w:tc>
      </w:tr>
      <w:tr>
        <w:trPr>
          <w:cantSplit/>
        </w:trPr>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10</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فتح القناة المغلقة بـ50 مختبراً + كود ترويجي لأول 10</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WS-B/C</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و4</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CTO</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50 بريداً مدعواً وpromo فعالاً</w:t>
            </w:r>
          </w:p>
        </w:tc>
      </w:tr>
      <w:tr>
        <w:trPr>
          <w:cantSplit/>
        </w:trPr>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11</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خط أساس الأداء: إقلاع/ذاكرة/بطارية/استعلامات</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WS-A</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و3–4</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QA-1</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وثيقة baseline بأرقام موثقة</w:t>
            </w:r>
          </w:p>
        </w:tc>
      </w:tr>
    </w:tbl>
    <w:p>
      <w:pPr>
        <w:pStyle w:val="Heading2"/>
        <w:keepNext/>
        <w:bidi/>
        <w:spacing w:after="130" w:before="280" w:line="340" w:lineRule="atLeast"/>
        <w:jc w:val="start"/>
      </w:pPr>
      <w:bookmarkStart w:id="100017" w:name="_Toc100017"/>
      <w:r>
        <w:rPr>
          <w:rFonts w:ascii="Segoe UI" w:cs="Cairo" w:eastAsia="Segoe UI" w:hAnsi="Segoe UI"/>
          <w:b/>
          <w:bCs/>
          <w:i w:val="false"/>
          <w:iCs w:val="false"/>
          <w:color w:val="6D28D9"/>
          <w:sz w:val="28"/>
          <w:szCs w:val="28"/>
          <w:rtl/>
        </w:rPr>
        <w:t xml:space="preserve">5.2 نوفمبر 2026 — الأسبوع 5 إلى 8 (الإطلاق والرصد) + تمهيد</w:t>
      </w:r>
      <w:bookmarkEnd w:id="100017"/>
    </w:p>
    <w:p>
      <w:pPr>
        <w:keepNext/>
        <w:bidi/>
        <w:spacing w:after="90" w:before="160" w:line="300"/>
        <w:jc w:val="start"/>
      </w:pPr>
      <w:r>
        <w:rPr>
          <w:rFonts w:ascii="Segoe UI" w:cs="Cairo" w:eastAsia="Segoe UI" w:hAnsi="Segoe UI"/>
          <w:b/>
          <w:bCs/>
          <w:i w:val="false"/>
          <w:iCs w:val="false"/>
          <w:color w:val="5A6080"/>
          <w:sz w:val="21"/>
          <w:szCs w:val="21"/>
          <w:rtl/>
        </w:rPr>
        <w:t xml:space="preserve">جدول 6: مهام نوفمبر — و5: 2–8 نوفمبر، و6: 9–15، و7: 16–22، و8: 23–29</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967"/>
        <w:gridCol w:w="2549"/>
        <w:gridCol w:w="791"/>
        <w:gridCol w:w="967"/>
        <w:gridCol w:w="967"/>
        <w:gridCol w:w="2549"/>
      </w:tblGrid>
      <w:tr>
        <w:trPr>
          <w:cantSplit/>
          <w:tblHeader/>
        </w:trPr>
        <w:tc>
          <w:tcPr>
            <w:tcW w:type="pct" w:w="5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المعرف</w:t>
            </w:r>
          </w:p>
        </w:tc>
        <w:tc>
          <w:tcPr>
            <w:tcW w:type="pct" w:w="14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المهمة</w:t>
            </w:r>
          </w:p>
        </w:tc>
        <w:tc>
          <w:tcPr>
            <w:tcW w:type="pct" w:w="4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المسار</w:t>
            </w:r>
          </w:p>
        </w:tc>
        <w:tc>
          <w:tcPr>
            <w:tcW w:type="pct" w:w="5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الأسبوع</w:t>
            </w:r>
          </w:p>
        </w:tc>
        <w:tc>
          <w:tcPr>
            <w:tcW w:type="pct" w:w="5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المسؤول</w:t>
            </w:r>
          </w:p>
        </w:tc>
        <w:tc>
          <w:tcPr>
            <w:tcW w:type="pct" w:w="14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معيار القبول</w:t>
            </w:r>
          </w:p>
        </w:tc>
      </w:tr>
      <w:tr>
        <w:trPr>
          <w:cantSplit/>
        </w:trPr>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12</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دورة ملاحظات أسبوعية للمختبرين مع تصنيف P0–P2</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WS-A</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و5–8</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QA-1</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تقرير أسبوعي + زمن استجابة P0 &lt; 24س</w:t>
            </w:r>
          </w:p>
        </w:tc>
      </w:tr>
      <w:tr>
        <w:trPr>
          <w:cantSplit/>
        </w:trPr>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13</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تحسينات تجربة الشراء/الاسترجاع من ملاحظات ميدانية</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WS-C</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و5–6</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DEV-1</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سيناريوهات شراء/استرجاع خضراء على أجهزة</w:t>
            </w:r>
          </w:p>
        </w:tc>
      </w:tr>
      <w:tr>
        <w:trPr>
          <w:cantSplit/>
        </w:trPr>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14</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رصد Vitals والرد على المراجعات (≤ 48 ساعة)</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WS-B</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و5–12</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GRO-1</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صفر مراجعة بلا رد</w:t>
            </w:r>
          </w:p>
        </w:tc>
      </w:tr>
      <w:tr>
        <w:trPr>
          <w:cantSplit/>
        </w:trPr>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15</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تحليل فجوات ZATCA-2: مخطط v12 مقابل UBL/CSID/ICV-PIH</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WS-D</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و5–7</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DEV-2</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وثيقة فجوات مصنفة بأقدام تقديرية</w:t>
            </w:r>
          </w:p>
        </w:tc>
      </w:tr>
      <w:tr>
        <w:trPr>
          <w:cantSplit/>
        </w:trPr>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16</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فتح حساب منصة فاتورة sandbox + CSR/CSID تجريبي</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WS-D</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و6–7</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CTO</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فاتورة تجريبية تُقبل في sandbox</w:t>
            </w:r>
          </w:p>
        </w:tc>
      </w:tr>
      <w:tr>
        <w:trPr>
          <w:cantSplit/>
        </w:trPr>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17</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قرار معماري موثق: طبقة شبكة feature-gated معزولة</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WS-D</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و7</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DEV-2</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ADR معتمد بمراجعة CTO</w:t>
            </w:r>
          </w:p>
        </w:tc>
      </w:tr>
      <w:tr>
        <w:trPr>
          <w:cantSplit/>
        </w:trPr>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18</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تقارير أداء أسبوعية ولوحة KPIs الخارجية من Play</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حوكمة</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و5–12</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CTO</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تقرير كل أحد بلا انقطاع</w:t>
            </w:r>
          </w:p>
        </w:tc>
      </w:tr>
      <w:tr>
        <w:trPr>
          <w:cantSplit/>
        </w:trPr>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19</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بوابة M3: عتبات Closed مستوفاة → تقديم Production 20%</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WS-B</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و6</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CTO</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قرار Go موثق + قبول Play</w:t>
            </w:r>
          </w:p>
        </w:tc>
      </w:tr>
      <w:tr>
        <w:trPr>
          <w:cantSplit/>
        </w:trPr>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20</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إطلاق تدريجي 20% → 100% مع مراقبة مكثفة</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WS-B</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و6–8</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DEV-1</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100% بحلول نهاية و8 وصفر انحدار</w:t>
            </w:r>
          </w:p>
        </w:tc>
      </w:tr>
      <w:tr>
        <w:trPr>
          <w:cantSplit/>
        </w:trPr>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21</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تحسينات أداء: إقلاع واستعلامات Room وتحسين R8</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WS-A</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و7–8</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DEV-1</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أرقام أفضل من baseline أو مساوية</w:t>
            </w:r>
          </w:p>
        </w:tc>
      </w:tr>
      <w:tr>
        <w:trPr>
          <w:cantSplit/>
        </w:trPr>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22</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وصولية a11y: TalkBack وتباين للشاشات الحرجة</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WS-A</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و7–9</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DEV-2</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جولة TalkBack كاملة بلا عوائق</w:t>
            </w:r>
          </w:p>
        </w:tc>
      </w:tr>
      <w:tr>
        <w:trPr>
          <w:cantSplit/>
        </w:trPr>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23</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PoC ذكاء محلي على جهاز مرجعي (Gemini Nano/AICore)</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WS-E</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و8–10</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DEV-2</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أرقام زمن وجودة موثقة</w:t>
            </w:r>
          </w:p>
        </w:tc>
      </w:tr>
    </w:tbl>
    <w:p>
      <w:pPr>
        <w:pStyle w:val="Heading2"/>
        <w:keepNext/>
        <w:bidi/>
        <w:spacing w:after="130" w:before="280" w:line="340" w:lineRule="atLeast"/>
        <w:jc w:val="start"/>
      </w:pPr>
      <w:bookmarkStart w:id="100018" w:name="_Toc100018"/>
      <w:r>
        <w:rPr>
          <w:rFonts w:ascii="Segoe UI" w:cs="Cairo" w:eastAsia="Segoe UI" w:hAnsi="Segoe UI"/>
          <w:b/>
          <w:bCs/>
          <w:i w:val="false"/>
          <w:iCs w:val="false"/>
          <w:color w:val="6D28D9"/>
          <w:sz w:val="28"/>
          <w:szCs w:val="28"/>
          <w:rtl/>
        </w:rPr>
        <w:t xml:space="preserve">5.3 ديسمبر 2026 — الأسبوع 9 إلى 12 (التعميق وبوابة الخروج)</w:t>
      </w:r>
      <w:bookmarkEnd w:id="100018"/>
    </w:p>
    <w:p>
      <w:pPr>
        <w:keepNext/>
        <w:bidi/>
        <w:spacing w:after="90" w:before="160" w:line="300"/>
        <w:jc w:val="start"/>
      </w:pPr>
      <w:r>
        <w:rPr>
          <w:rFonts w:ascii="Segoe UI" w:cs="Cairo" w:eastAsia="Segoe UI" w:hAnsi="Segoe UI"/>
          <w:b/>
          <w:bCs/>
          <w:i w:val="false"/>
          <w:iCs w:val="false"/>
          <w:color w:val="5A6080"/>
          <w:sz w:val="21"/>
          <w:szCs w:val="21"/>
          <w:rtl/>
        </w:rPr>
        <w:t xml:space="preserve">جدول 7: مهام ديسمبر — و9: 30 نوفمبر – 6 ديسمبر، و10: 7–13، و11: 14–20، و12: 21–27</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967"/>
        <w:gridCol w:w="2549"/>
        <w:gridCol w:w="791"/>
        <w:gridCol w:w="967"/>
        <w:gridCol w:w="967"/>
        <w:gridCol w:w="2549"/>
      </w:tblGrid>
      <w:tr>
        <w:trPr>
          <w:cantSplit/>
          <w:tblHeader/>
        </w:trPr>
        <w:tc>
          <w:tcPr>
            <w:tcW w:type="pct" w:w="5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المعرف</w:t>
            </w:r>
          </w:p>
        </w:tc>
        <w:tc>
          <w:tcPr>
            <w:tcW w:type="pct" w:w="14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المهمة</w:t>
            </w:r>
          </w:p>
        </w:tc>
        <w:tc>
          <w:tcPr>
            <w:tcW w:type="pct" w:w="4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المسار</w:t>
            </w:r>
          </w:p>
        </w:tc>
        <w:tc>
          <w:tcPr>
            <w:tcW w:type="pct" w:w="5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الأسبوع</w:t>
            </w:r>
          </w:p>
        </w:tc>
        <w:tc>
          <w:tcPr>
            <w:tcW w:type="pct" w:w="5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المسؤول</w:t>
            </w:r>
          </w:p>
        </w:tc>
        <w:tc>
          <w:tcPr>
            <w:tcW w:type="pct" w:w="14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معيار القبول</w:t>
            </w:r>
          </w:p>
        </w:tc>
      </w:tr>
      <w:tr>
        <w:trPr>
          <w:cantSplit/>
        </w:trPr>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24</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تصميم RBAC + خطة ترحيل v12→v13 الذرّية</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WS-F</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و8–10</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DEV-1</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وثيقتان معتمدتان</w:t>
            </w:r>
          </w:p>
        </w:tc>
      </w:tr>
      <w:tr>
        <w:trPr>
          <w:cantSplit/>
        </w:trPr>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25</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توسعة الاختبارات: +160 اختباراً (مالية/استحقاق/تقارير)</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WS-A</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و9–11</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QA-1</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1600 اختباراً أخضر في CI</w:t>
            </w:r>
          </w:p>
        </w:tc>
      </w:tr>
      <w:tr>
        <w:trPr>
          <w:cantSplit/>
        </w:trPr>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26</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مراجعة لغوية إنجليزية عميقة للسلاسل الجديدة</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WS-A</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و9–10</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GRO-1</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2235=2235 مع تحسينات الصياغة</w:t>
            </w:r>
          </w:p>
        </w:tc>
      </w:tr>
      <w:tr>
        <w:trPr>
          <w:cantSplit/>
        </w:trPr>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27</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تحليل مقارن لنقاط سعرية Pro من بيانات تحويل حقيقية</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WS-C</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و9–10</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CTO</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مذكرة قرار تسعير موثقة</w:t>
            </w:r>
          </w:p>
        </w:tc>
      </w:tr>
      <w:tr>
        <w:trPr>
          <w:cantSplit/>
        </w:trPr>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28</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دفاتر الدعم والأسئلة الشائعة التشغيلية</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تشغيل</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و10–11</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GRO-1</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دليل منشور داخلياً + قوالب ردود</w:t>
            </w:r>
          </w:p>
        </w:tc>
      </w:tr>
      <w:tr>
        <w:trPr>
          <w:cantSplit/>
        </w:trPr>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29</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خطة ZATCA-2 التفصيلية للموجة الثانية (نطاق/جدول/قبول)</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WS-D</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و10–11</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DEV-2</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خطة جاهزة لبوابة الخروج</w:t>
            </w:r>
          </w:p>
        </w:tc>
      </w:tr>
      <w:tr>
        <w:trPr>
          <w:cantSplit/>
        </w:trPr>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30</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تصليب الأمان: تقييم SQLCipher وإدارة المفاتيح</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WS-F</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و11</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DEV-1</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تقرير تقييم بأثر أداء مقاس</w:t>
            </w:r>
          </w:p>
        </w:tc>
      </w:tr>
      <w:tr>
        <w:trPr>
          <w:cantSplit/>
        </w:trPr>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31</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تجميد كود للبوابة + تقرير KPIs للمرحلة</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حوكمة</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و12</w:t>
            </w:r>
          </w:p>
        </w:tc>
        <w:tc>
          <w:tcPr>
            <w:tcW w:type="pct" w:w="5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CTO</w:t>
            </w:r>
          </w:p>
        </w:tc>
        <w:tc>
          <w:tcPr>
            <w:tcW w:type="pct" w:w="1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تقرير ربع سنوي منشور</w:t>
            </w:r>
          </w:p>
        </w:tc>
      </w:tr>
      <w:tr>
        <w:trPr>
          <w:cantSplit/>
        </w:trPr>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32</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بوابة الخروج M6 + دروس مستفادة + تسليم للموجة 2</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حوكمة</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و12</w:t>
            </w:r>
          </w:p>
        </w:tc>
        <w:tc>
          <w:tcPr>
            <w:tcW w:type="pct" w:w="5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الفريق</w:t>
            </w:r>
          </w:p>
        </w:tc>
        <w:tc>
          <w:tcPr>
            <w:tcW w:type="pct" w:w="1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محضر بوابة + 18 معياراً محسوماً</w:t>
            </w:r>
          </w:p>
        </w:tc>
      </w:tr>
    </w:tbl>
    <w:p>
      <w:pPr>
        <w:bidi/>
        <w:spacing w:after="160" w:line="300"/>
        <w:jc w:val="start"/>
      </w:pPr>
      <w:r>
        <w:rPr>
          <w:rFonts w:ascii="Segoe UI" w:cs="Cairo" w:eastAsia="Segoe UI" w:hAnsi="Segoe UI"/>
          <w:b w:val="false"/>
          <w:i/>
          <w:iCs/>
          <w:color w:val="6B7280"/>
          <w:sz w:val="19"/>
          <w:szCs w:val="19"/>
          <w:rtl/>
        </w:rPr>
        <w:t xml:space="preserve">الاختصارات: CTO = إدارة التقنية · DEV-1 = المطوّر الأول · DEV-2 = المطوّر الثاني · QA-1 = مهندس الجودة · GRO-1 = مسؤول النمو. تُوزع الأدوار فعلياً وفق الفصل السابع، ويمكن لفريق من شخصين تغطية الأدوار بدمج محكوم لا يخالف الفصل الواحد لكل مسار.</w:t>
      </w:r>
    </w:p>
    <w:p>
      <w:pPr>
        <w:pStyle w:val="Heading1"/>
        <w:keepNext/>
        <w:pBdr>
          <w:bottom w:val="single" w:color="8B5CF6" w:sz="6" w:space="6"/>
        </w:pBdr>
        <w:bidi/>
        <w:spacing w:after="180" w:before="400" w:line="380" w:lineRule="atLeast"/>
        <w:jc w:val="start"/>
      </w:pPr>
      <w:bookmarkStart w:id="100019" w:name="_Toc100019"/>
      <w:r>
        <w:rPr>
          <w:rFonts w:ascii="Segoe UI" w:cs="Cairo" w:eastAsia="Segoe UI" w:hAnsi="Segoe UI"/>
          <w:b/>
          <w:bCs/>
          <w:i w:val="false"/>
          <w:iCs w:val="false"/>
          <w:color w:val="6D28D9"/>
          <w:sz w:val="32"/>
          <w:szCs w:val="32"/>
          <w:rtl/>
        </w:rPr>
        <w:t xml:space="preserve">6. </w:t>
      </w:r>
      <w:r>
        <w:rPr>
          <w:rFonts w:ascii="Segoe UI" w:cs="Cairo" w:eastAsia="Segoe UI" w:hAnsi="Segoe UI"/>
          <w:b/>
          <w:bCs/>
          <w:i w:val="false"/>
          <w:iCs w:val="false"/>
          <w:color w:val="0B1026"/>
          <w:sz w:val="32"/>
          <w:szCs w:val="32"/>
          <w:rtl/>
        </w:rPr>
        <w:t xml:space="preserve">المخطط الزمني والمسار الحرج والمعالم</w:t>
      </w:r>
      <w:bookmarkEnd w:id="100019"/>
    </w:p>
    <w:p>
      <w:pPr>
        <w:bidi/>
        <w:spacing w:after="140" w:before="0" w:line="312"/>
        <w:jc w:val="start"/>
      </w:pPr>
      <w:r>
        <w:rPr>
          <w:rFonts w:ascii="Segoe UI" w:cs="Cairo" w:eastAsia="Segoe UI" w:hAnsi="Segoe UI"/>
          <w:b w:val="false"/>
          <w:i w:val="false"/>
          <w:iCs w:val="false"/>
          <w:color w:val="000000"/>
          <w:sz w:val="24"/>
          <w:szCs w:val="24"/>
          <w:rtl/>
        </w:rPr>
        <w:t xml:space="preserve">يعرض الجدول التالي مسارات العمل الستة وخط الحوكمة على الأسبوع الاثني عشر للمرة بألوان مميزة: الخلية الملوّنة الكاملة تعني أسبوعاً نشطاً بجهد جوهري، والخلية الفاتحة تعني متابعة خفيفة أو حضوراً جزئياً. وقد بُني المخطط أفقياً كجدول Word أصلي حتى يبقى قابلاً للتحرير والطباعة داخل المستند نفسه دون صور خارجية، وترتيب الأسبوع فيه من اليمين إلى اليسار موافقاً لاتجاه القراءة العربية: الأسبوع الأول و1 أقصى اليمين والثاني عشر و12 أقصى اليسار.</w:t>
      </w:r>
    </w:p>
    <w:p>
      <w:pPr>
        <w:keepNext/>
        <w:bidi/>
        <w:spacing w:after="90" w:before="160" w:line="300"/>
        <w:jc w:val="start"/>
      </w:pPr>
      <w:r>
        <w:rPr>
          <w:rFonts w:ascii="Segoe UI" w:cs="Cairo" w:eastAsia="Segoe UI" w:hAnsi="Segoe UI"/>
          <w:b/>
          <w:bCs/>
          <w:i w:val="false"/>
          <w:iCs w:val="false"/>
          <w:color w:val="5A6080"/>
          <w:sz w:val="21"/>
          <w:szCs w:val="21"/>
          <w:rtl/>
        </w:rPr>
        <w:t xml:space="preserve">جدول 8: مخطط Gantt الأسبوعي للمرحلة الأولى — 5 أكتوبر حتى 27 ديسمبر 2026</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2109"/>
        <w:gridCol w:w="1142"/>
        <w:gridCol w:w="461"/>
        <w:gridCol w:w="461"/>
        <w:gridCol w:w="461"/>
        <w:gridCol w:w="461"/>
        <w:gridCol w:w="461"/>
        <w:gridCol w:w="461"/>
        <w:gridCol w:w="461"/>
        <w:gridCol w:w="461"/>
        <w:gridCol w:w="461"/>
        <w:gridCol w:w="461"/>
        <w:gridCol w:w="461"/>
        <w:gridCol w:w="461"/>
      </w:tblGrid>
      <w:tr>
        <w:trPr>
          <w:cantSplit/>
          <w:tblHeader/>
        </w:trPr>
        <w:tc>
          <w:tcPr>
            <w:tcW w:type="pct" w:w="12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المهمة / المسار</w:t>
            </w:r>
          </w:p>
        </w:tc>
        <w:tc>
          <w:tcPr>
            <w:tcW w:type="pct" w:w="6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المسار</w:t>
            </w:r>
          </w:p>
        </w:tc>
        <w:tc>
          <w:tcPr>
            <w:tcW w:type="pct" w:w="263"/>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و1</w:t>
            </w:r>
          </w:p>
        </w:tc>
        <w:tc>
          <w:tcPr>
            <w:tcW w:type="pct" w:w="263"/>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و2</w:t>
            </w:r>
          </w:p>
        </w:tc>
        <w:tc>
          <w:tcPr>
            <w:tcW w:type="pct" w:w="263"/>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و3</w:t>
            </w:r>
          </w:p>
        </w:tc>
        <w:tc>
          <w:tcPr>
            <w:tcW w:type="pct" w:w="263"/>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و4</w:t>
            </w:r>
          </w:p>
        </w:tc>
        <w:tc>
          <w:tcPr>
            <w:tcW w:type="pct" w:w="263"/>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و5</w:t>
            </w:r>
          </w:p>
        </w:tc>
        <w:tc>
          <w:tcPr>
            <w:tcW w:type="pct" w:w="263"/>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و6</w:t>
            </w:r>
          </w:p>
        </w:tc>
        <w:tc>
          <w:tcPr>
            <w:tcW w:type="pct" w:w="263"/>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و7</w:t>
            </w:r>
          </w:p>
        </w:tc>
        <w:tc>
          <w:tcPr>
            <w:tcW w:type="pct" w:w="263"/>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و8</w:t>
            </w:r>
          </w:p>
        </w:tc>
        <w:tc>
          <w:tcPr>
            <w:tcW w:type="pct" w:w="263"/>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و9</w:t>
            </w:r>
          </w:p>
        </w:tc>
        <w:tc>
          <w:tcPr>
            <w:tcW w:type="pct" w:w="263"/>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و10</w:t>
            </w:r>
          </w:p>
        </w:tc>
        <w:tc>
          <w:tcPr>
            <w:tcW w:type="pct" w:w="263"/>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و11</w:t>
            </w:r>
          </w:p>
        </w:tc>
        <w:tc>
          <w:tcPr>
            <w:tcW w:type="pct" w:w="263"/>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و12</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اعتماد وحوكمة وتقارير</w:t>
            </w:r>
          </w:p>
        </w:tc>
        <w:tc>
          <w:tcPr>
            <w:tcW w:type="pct" w:w="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6B7280"/>
                <w:sz w:val="19"/>
                <w:szCs w:val="19"/>
                <w:rtl/>
              </w:rPr>
              <w:t xml:space="preserve">حوكمة</w:t>
            </w:r>
          </w:p>
        </w:tc>
        <w:tc>
          <w:tcPr>
            <w:tcW w:type="pct" w:w="263"/>
            <w:shd w:fill="6B7280"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6B7280"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6B7280"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6B7280"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6B7280"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6B7280"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6B7280"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6B7280"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6B7280"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6B7280"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6B7280"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6B7280"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الجودة والهندسة (فحص/أداء/a11y)</w:t>
            </w:r>
          </w:p>
        </w:tc>
        <w:tc>
          <w:tcPr>
            <w:tcW w:type="pct" w:w="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D97706"/>
                <w:sz w:val="19"/>
                <w:szCs w:val="19"/>
                <w:rtl/>
              </w:rPr>
              <w:t xml:space="preserve">WS-A</w:t>
            </w:r>
          </w:p>
        </w:tc>
        <w:tc>
          <w:tcPr>
            <w:tcW w:type="pct" w:w="263"/>
            <w:shd w:fill="D97706"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D97706"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D97706"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D97706"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C4B5FD"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C4B5FD"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C4B5FD"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C4B5FD"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C4B5FD"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C4B5FD"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C4B5FD"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القنوات والامتثال وASO</w:t>
            </w:r>
          </w:p>
        </w:tc>
        <w:tc>
          <w:tcPr>
            <w:tcW w:type="pct" w:w="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6D28D9"/>
                <w:sz w:val="19"/>
                <w:szCs w:val="19"/>
                <w:rtl/>
              </w:rPr>
              <w:t xml:space="preserve">WS-B</w:t>
            </w:r>
          </w:p>
        </w:tc>
        <w:tc>
          <w:tcPr>
            <w:tcW w:type="pct" w:w="263"/>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Closed 50 مختبراً + بوابة الإنتاج</w:t>
            </w:r>
          </w:p>
        </w:tc>
        <w:tc>
          <w:tcPr>
            <w:tcW w:type="pct" w:w="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6D28D9"/>
                <w:sz w:val="19"/>
                <w:szCs w:val="19"/>
                <w:rtl/>
              </w:rPr>
              <w:t xml:space="preserve">WS-B</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C4B5FD"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C4B5FD"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C4B5FD"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C4B5FD"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تفعيل Pro وقياس التحويل</w:t>
            </w:r>
          </w:p>
        </w:tc>
        <w:tc>
          <w:tcPr>
            <w:tcW w:type="pct" w:w="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891B2"/>
                <w:sz w:val="19"/>
                <w:szCs w:val="19"/>
                <w:rtl/>
              </w:rPr>
              <w:t xml:space="preserve">WS-C</w:t>
            </w:r>
          </w:p>
        </w:tc>
        <w:tc>
          <w:tcPr>
            <w:tcW w:type="pct" w:w="263"/>
            <w:shd w:fill="0891B2"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0891B2"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C4B5FD"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C4B5FD"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C4B5FD"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C4B5FD"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C4B5FD"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C4B5FD"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تحليل فجوات ZATCA-2 + sandbox</w:t>
            </w:r>
          </w:p>
        </w:tc>
        <w:tc>
          <w:tcPr>
            <w:tcW w:type="pct" w:w="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2563EB"/>
                <w:sz w:val="19"/>
                <w:szCs w:val="19"/>
                <w:rtl/>
              </w:rPr>
              <w:t xml:space="preserve">WS-D</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2563EB"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2563EB"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2563EB"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2563EB"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2563EB"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2563EB"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2563EB"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PoC الذكاء المحلي</w:t>
            </w:r>
          </w:p>
        </w:tc>
        <w:tc>
          <w:tcPr>
            <w:tcW w:type="pct" w:w="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891B2"/>
                <w:sz w:val="19"/>
                <w:szCs w:val="19"/>
                <w:rtl/>
              </w:rPr>
              <w:t xml:space="preserve">WS-E</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0891B2"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0891B2"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0891B2"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تصميم RBAC وترحيل v13 وأمان</w:t>
            </w:r>
          </w:p>
        </w:tc>
        <w:tc>
          <w:tcPr>
            <w:tcW w:type="pct" w:w="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59669"/>
                <w:sz w:val="19"/>
                <w:szCs w:val="19"/>
                <w:rtl/>
              </w:rPr>
              <w:t xml:space="preserve">WS-F</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059669"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059669"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059669"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059669"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رصد Vitals وردود المراجعات</w:t>
            </w:r>
          </w:p>
        </w:tc>
        <w:tc>
          <w:tcPr>
            <w:tcW w:type="pct" w:w="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7C6AE8"/>
                <w:sz w:val="19"/>
                <w:szCs w:val="19"/>
                <w:rtl/>
              </w:rPr>
              <w:t xml:space="preserve">WS-B</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FAFAFC"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w:t>
            </w:r>
          </w:p>
        </w:tc>
        <w:tc>
          <w:tcPr>
            <w:tcW w:type="pct" w:w="263"/>
            <w:shd w:fill="7C6AE8"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7C6AE8"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7C6AE8"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7C6AE8"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7C6AE8"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7C6AE8"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7C6AE8"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c>
          <w:tcPr>
            <w:tcW w:type="pct" w:w="263"/>
            <w:shd w:fill="7C6AE8"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 </w:t>
            </w:r>
          </w:p>
        </w:tc>
      </w:tr>
    </w:tbl>
    <w:p>
      <w:pPr>
        <w:bidi/>
        <w:spacing w:after="160" w:line="300"/>
        <w:jc w:val="start"/>
      </w:pPr>
      <w:r>
        <w:rPr>
          <w:rFonts w:ascii="Segoe UI" w:cs="Cairo" w:eastAsia="Segoe UI" w:hAnsi="Segoe UI"/>
          <w:b w:val="false"/>
          <w:i/>
          <w:iCs/>
          <w:color w:val="6B7280"/>
          <w:sz w:val="19"/>
          <w:szCs w:val="19"/>
          <w:rtl/>
        </w:rPr>
        <w:t xml:space="preserve">قيم الألوان: كهرماني WS-A · بنفسجي داكن WS-B (النشر) · سماوي WS-C · أزرق WS-D · أخضر WS-F · رمادي الحوكمة. النمط الفاتح = متابعة جزئية.</w:t>
      </w:r>
    </w:p>
    <w:p>
      <w:pPr>
        <w:pStyle w:val="Heading2"/>
        <w:keepNext/>
        <w:bidi/>
        <w:spacing w:after="130" w:before="280" w:line="340" w:lineRule="atLeast"/>
        <w:jc w:val="start"/>
      </w:pPr>
      <w:bookmarkStart w:id="100020" w:name="_Toc100020"/>
      <w:r>
        <w:rPr>
          <w:rFonts w:ascii="Segoe UI" w:cs="Cairo" w:eastAsia="Segoe UI" w:hAnsi="Segoe UI"/>
          <w:b/>
          <w:bCs/>
          <w:i w:val="false"/>
          <w:iCs w:val="false"/>
          <w:color w:val="6D28D9"/>
          <w:sz w:val="28"/>
          <w:szCs w:val="28"/>
          <w:rtl/>
        </w:rPr>
        <w:t xml:space="preserve">6.1 المسار الحرج</w:t>
      </w:r>
      <w:bookmarkEnd w:id="100020"/>
    </w:p>
    <w:p>
      <w:pPr>
        <w:bidi/>
        <w:spacing w:after="140" w:before="0" w:line="312"/>
        <w:jc w:val="start"/>
      </w:pPr>
      <w:r>
        <w:rPr>
          <w:rFonts w:ascii="Segoe UI" w:cs="Cairo" w:eastAsia="Segoe UI" w:hAnsi="Segoe UI"/>
          <w:b w:val="false"/>
          <w:i w:val="false"/>
          <w:iCs w:val="false"/>
          <w:color w:val="000000"/>
          <w:sz w:val="24"/>
          <w:szCs w:val="24"/>
          <w:rtl/>
        </w:rPr>
        <w:t xml:space="preserve">المسار الحرج للمرحلة له ثلاث حلقات متتابعة لا تقبل الاختصار. الحلقة الأولى (الأسبوعان 1–2): AAB في قناة Internal مع اختبار Billing على جهاز حقيقي، ثم نماذج الامتثال الثلاثة (الخصوصية وData Safety وIARC) — فبدونها لا يُعلن عن القناة المغلقة قانوناً. الحلقة الثانية (الأسبوعان 3–6): تجهيز القناة المغلقة بـ50 مختبراً حقيقياً وجمع ثلاث لقيم عتبة (≥ 30 نشطاً، صفر P0، ≥ 80% نية دفع) قبل تقديم الإنتاج. الحلقة الثالثة (الأسبوعان 6–8): الإطلاق التدريجي 20% فـ100% مع مراقبة مكثفة. أي انزلاق في هذه الحلقات ينزلق به تاريخ «الحي على Play» بأكمله، بينما مسارات WS-D وWS-E وWS-F تمهيدية قابلة للسحب ضمن حدود بوابة M5 دون التأثير على النشر. لذلك يُخصص جهد التحقق المبكر لقطع حلقات المسار الحرج أول ما أول: إعداد Google Group ونموذج الملاحظات في الأسبوعين 2–3 لا 4، وتقديم النماذج الامتثالية في الأسبوع الأول.</w:t>
      </w:r>
    </w:p>
    <w:p>
      <w:pPr>
        <w:pStyle w:val="Heading2"/>
        <w:keepNext/>
        <w:bidi/>
        <w:spacing w:after="130" w:before="280" w:line="340" w:lineRule="atLeast"/>
        <w:jc w:val="start"/>
      </w:pPr>
      <w:bookmarkStart w:id="100021" w:name="_Toc100021"/>
      <w:r>
        <w:rPr>
          <w:rFonts w:ascii="Segoe UI" w:cs="Cairo" w:eastAsia="Segoe UI" w:hAnsi="Segoe UI"/>
          <w:b/>
          <w:bCs/>
          <w:i w:val="false"/>
          <w:iCs w:val="false"/>
          <w:color w:val="6D28D9"/>
          <w:sz w:val="28"/>
          <w:szCs w:val="28"/>
          <w:rtl/>
        </w:rPr>
        <w:t xml:space="preserve">6.2 المعالم البوابية M1–M6</w:t>
      </w:r>
      <w:bookmarkEnd w:id="100021"/>
    </w:p>
    <w:p>
      <w:pPr>
        <w:keepNext/>
        <w:bidi/>
        <w:spacing w:after="90" w:before="160" w:line="300"/>
        <w:jc w:val="start"/>
      </w:pPr>
      <w:r>
        <w:rPr>
          <w:rFonts w:ascii="Segoe UI" w:cs="Cairo" w:eastAsia="Segoe UI" w:hAnsi="Segoe UI"/>
          <w:b/>
          <w:bCs/>
          <w:i w:val="false"/>
          <w:iCs w:val="false"/>
          <w:color w:val="5A6080"/>
          <w:sz w:val="21"/>
          <w:szCs w:val="21"/>
          <w:rtl/>
        </w:rPr>
        <w:t xml:space="preserve">جدول 9: معالم المرحلة ومعايير الخروج وقرارات البوابة</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791"/>
        <w:gridCol w:w="1318"/>
        <w:gridCol w:w="2461"/>
        <w:gridCol w:w="2636"/>
        <w:gridCol w:w="1582"/>
      </w:tblGrid>
      <w:tr>
        <w:trPr>
          <w:cantSplit/>
          <w:tblHeader/>
        </w:trPr>
        <w:tc>
          <w:tcPr>
            <w:tcW w:type="pct" w:w="4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المعلم</w:t>
            </w:r>
          </w:p>
        </w:tc>
        <w:tc>
          <w:tcPr>
            <w:tcW w:type="pct" w:w="7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التاريخ</w:t>
            </w:r>
          </w:p>
        </w:tc>
        <w:tc>
          <w:tcPr>
            <w:tcW w:type="pct" w:w="14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التعريف</w:t>
            </w:r>
          </w:p>
        </w:tc>
        <w:tc>
          <w:tcPr>
            <w:tcW w:type="pct" w:w="15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معيار الخروج</w:t>
            </w:r>
          </w:p>
        </w:tc>
        <w:tc>
          <w:tcPr>
            <w:tcW w:type="pct" w:w="9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قرار البوابة</w:t>
            </w:r>
          </w:p>
        </w:tc>
      </w:tr>
      <w:tr>
        <w:trPr>
          <w:cantSplit/>
        </w:trPr>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M1</w:t>
            </w:r>
          </w:p>
        </w:tc>
        <w:tc>
          <w:tcPr>
            <w:tcW w:type="pct" w:w="7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18 أكتوبر (نهاية و2)</w:t>
            </w:r>
          </w:p>
        </w:tc>
        <w:tc>
          <w:tcPr>
            <w:tcW w:type="pct" w:w="14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القناة الداخلية حية ومنتج Pro مفعّل</w:t>
            </w:r>
          </w:p>
        </w:tc>
        <w:tc>
          <w:tcPr>
            <w:tcW w:type="pct" w:w="1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AAB مقبول بلا تحذيرات + شراء/استرجاع مؤكد على جهاز + منتج مفعّل</w:t>
            </w:r>
          </w:p>
        </w:tc>
        <w:tc>
          <w:tcPr>
            <w:tcW w:type="pct" w:w="9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Go للامتثال وASO</w:t>
            </w:r>
          </w:p>
        </w:tc>
      </w:tr>
      <w:tr>
        <w:trPr>
          <w:cantSplit/>
        </w:trPr>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M2</w:t>
            </w:r>
          </w:p>
        </w:tc>
        <w:tc>
          <w:tcPr>
            <w:tcW w:type="pct" w:w="7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1 نوفمبر (نهاية و4)</w:t>
            </w:r>
          </w:p>
        </w:tc>
        <w:tc>
          <w:tcPr>
            <w:tcW w:type="pct" w:w="14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القناة المغلقة مفتوحة بـ50 مختبراً</w:t>
            </w:r>
          </w:p>
        </w:tc>
        <w:tc>
          <w:tcPr>
            <w:tcW w:type="pct" w:w="1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50 دعوة صادرة + نموذج ملاحظات يعمل + baseline أداء موثق</w:t>
            </w:r>
          </w:p>
        </w:tc>
        <w:tc>
          <w:tcPr>
            <w:tcW w:type="pct" w:w="9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Go لجمع العتبات</w:t>
            </w:r>
          </w:p>
        </w:tc>
      </w:tr>
      <w:tr>
        <w:trPr>
          <w:cantSplit/>
        </w:trPr>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M3</w:t>
            </w:r>
          </w:p>
        </w:tc>
        <w:tc>
          <w:tcPr>
            <w:tcW w:type="pct" w:w="7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15 نوفمبر (نهاية و6)</w:t>
            </w:r>
          </w:p>
        </w:tc>
        <w:tc>
          <w:tcPr>
            <w:tcW w:type="pct" w:w="14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بوابة الترقية للإنتاج</w:t>
            </w:r>
          </w:p>
        </w:tc>
        <w:tc>
          <w:tcPr>
            <w:tcW w:type="pct" w:w="1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30 نشطاً + صفر P0 + ≥ 80% نية دفع + CI أخضر + تثبيت تراكبي مؤكد</w:t>
            </w:r>
          </w:p>
        </w:tc>
        <w:tc>
          <w:tcPr>
            <w:tcW w:type="pct" w:w="9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Go/No-Go حاسم</w:t>
            </w:r>
          </w:p>
        </w:tc>
      </w:tr>
      <w:tr>
        <w:trPr>
          <w:cantSplit/>
        </w:trPr>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M4</w:t>
            </w:r>
          </w:p>
        </w:tc>
        <w:tc>
          <w:tcPr>
            <w:tcW w:type="pct" w:w="7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29 نوفمبر (نهاية و8)</w:t>
            </w:r>
          </w:p>
        </w:tc>
        <w:tc>
          <w:tcPr>
            <w:tcW w:type="pct" w:w="14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النشر 100% + إغلاق تحليل ZATCA-2</w:t>
            </w:r>
          </w:p>
        </w:tc>
        <w:tc>
          <w:tcPr>
            <w:tcW w:type="pct" w:w="1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توزيع 100% بلا انحدار Vitals + وثيقة فجوات معتمدة + sandbox فعال</w:t>
            </w:r>
          </w:p>
        </w:tc>
        <w:tc>
          <w:tcPr>
            <w:tcW w:type="pct" w:w="9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Go لتمهيد الموجة 2</w:t>
            </w:r>
          </w:p>
        </w:tc>
      </w:tr>
      <w:tr>
        <w:trPr>
          <w:cantSplit/>
        </w:trPr>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M5</w:t>
            </w:r>
          </w:p>
        </w:tc>
        <w:tc>
          <w:tcPr>
            <w:tcW w:type="pct" w:w="7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13 ديسمبر (نهاية و10)</w:t>
            </w:r>
          </w:p>
        </w:tc>
        <w:tc>
          <w:tcPr>
            <w:tcW w:type="pct" w:w="14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قرارات التمهيد الثلاثة</w:t>
            </w:r>
          </w:p>
        </w:tc>
        <w:tc>
          <w:tcPr>
            <w:tcW w:type="pct" w:w="1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PoC ذكاء موثق + RBAC وترحيل v13 معتمدان + تقييم SQLCipher</w:t>
            </w:r>
          </w:p>
        </w:tc>
        <w:tc>
          <w:tcPr>
            <w:tcW w:type="pct" w:w="9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تثبيت خطط الموجات 3 و4</w:t>
            </w:r>
          </w:p>
        </w:tc>
      </w:tr>
      <w:tr>
        <w:trPr>
          <w:cantSplit/>
        </w:trPr>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M6</w:t>
            </w:r>
          </w:p>
        </w:tc>
        <w:tc>
          <w:tcPr>
            <w:tcW w:type="pct" w:w="7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27 ديسمبر (نهاية و12)</w:t>
            </w:r>
          </w:p>
        </w:tc>
        <w:tc>
          <w:tcPr>
            <w:tcW w:type="pct" w:w="14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بوابة خروج المرحلة</w:t>
            </w:r>
          </w:p>
        </w:tc>
        <w:tc>
          <w:tcPr>
            <w:tcW w:type="pct" w:w="1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18 معيار الخروج محسومة (الفصل 12) + تقرير KPIs + محضر دروس</w:t>
            </w:r>
          </w:p>
        </w:tc>
        <w:tc>
          <w:tcPr>
            <w:tcW w:type="pct" w:w="9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تسليم رسمي للموجة 2</w:t>
            </w:r>
          </w:p>
        </w:tc>
      </w:tr>
    </w:tbl>
    <w:p>
      <w:pPr>
        <w:pStyle w:val="Heading1"/>
        <w:keepNext/>
        <w:pBdr>
          <w:bottom w:val="single" w:color="8B5CF6" w:sz="6" w:space="6"/>
        </w:pBdr>
        <w:bidi/>
        <w:spacing w:after="180" w:before="400" w:line="380" w:lineRule="atLeast"/>
        <w:jc w:val="start"/>
      </w:pPr>
      <w:bookmarkStart w:id="100022" w:name="_Toc100022"/>
      <w:r>
        <w:rPr>
          <w:rFonts w:ascii="Segoe UI" w:cs="Cairo" w:eastAsia="Segoe UI" w:hAnsi="Segoe UI"/>
          <w:b/>
          <w:bCs/>
          <w:i w:val="false"/>
          <w:iCs w:val="false"/>
          <w:color w:val="6D28D9"/>
          <w:sz w:val="32"/>
          <w:szCs w:val="32"/>
          <w:rtl/>
        </w:rPr>
        <w:t xml:space="preserve">7. </w:t>
      </w:r>
      <w:r>
        <w:rPr>
          <w:rFonts w:ascii="Segoe UI" w:cs="Cairo" w:eastAsia="Segoe UI" w:hAnsi="Segoe UI"/>
          <w:b/>
          <w:bCs/>
          <w:i w:val="false"/>
          <w:iCs w:val="false"/>
          <w:color w:val="0B1026"/>
          <w:sz w:val="32"/>
          <w:szCs w:val="32"/>
          <w:rtl/>
        </w:rPr>
        <w:t xml:space="preserve">الفريق والأدوار ومصفوفة RACI</w:t>
      </w:r>
      <w:bookmarkEnd w:id="100022"/>
    </w:p>
    <w:p>
      <w:pPr>
        <w:bidi/>
        <w:spacing w:after="140" w:before="0" w:line="312"/>
        <w:jc w:val="start"/>
      </w:pPr>
      <w:r>
        <w:rPr>
          <w:rFonts w:ascii="Segoe UI" w:cs="Cairo" w:eastAsia="Segoe UI" w:hAnsi="Segoe UI"/>
          <w:b w:val="false"/>
          <w:i w:val="false"/>
          <w:iCs w:val="false"/>
          <w:color w:val="000000"/>
          <w:sz w:val="24"/>
          <w:szCs w:val="24"/>
          <w:rtl/>
        </w:rPr>
        <w:t xml:space="preserve">الفريق الحالي آلة إنتاجية مُثبتة: مطوّر أول يعمل بإيقاع الموجات (TDD مالي على Room حقيقية) مدعوم بأدوات ذكاء اصطناعي تسرّع كل من التوليد والمراجعة، مع CI يعمل بوصفه حارس جودة آلياً دائماً. وتقترح هذه الخطة تطوير الهيكل لا إعادة بنائه: إضافة أربعة أدوار مساندة بمستويات التزام متفاوتة تُفرّغ المطوّر الأول للتركيز على المسار الحرج والقرارات المعمارية، وتملأ الفجوات التي لا يغطيها أي أتمتة: تجربة المستخدمين الحقيقيين، والرد التمثيلي على المراجعات، والفحص اليدوي المنضبط. والجدول التالي يحدد الأدوار الخمسة بكفاءاتها والتزامها المتوقع، ثم تعرض مصفوفة RACI توزيع المساءلة على المسارات الستة.</w:t>
      </w:r>
    </w:p>
    <w:p>
      <w:pPr>
        <w:keepNext/>
        <w:bidi/>
        <w:spacing w:after="90" w:before="160" w:line="300"/>
        <w:jc w:val="start"/>
      </w:pPr>
      <w:r>
        <w:rPr>
          <w:rFonts w:ascii="Segoe UI" w:cs="Cairo" w:eastAsia="Segoe UI" w:hAnsi="Segoe UI"/>
          <w:b/>
          <w:bCs/>
          <w:i w:val="false"/>
          <w:iCs w:val="false"/>
          <w:color w:val="5A6080"/>
          <w:sz w:val="21"/>
          <w:szCs w:val="21"/>
          <w:rtl/>
        </w:rPr>
        <w:t xml:space="preserve">جدول 10: الأدوار المطلوبة للمرحلة</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1933"/>
        <w:gridCol w:w="791"/>
        <w:gridCol w:w="2988"/>
        <w:gridCol w:w="1142"/>
        <w:gridCol w:w="1933"/>
      </w:tblGrid>
      <w:tr>
        <w:trPr>
          <w:cantSplit/>
          <w:tblHeader/>
        </w:trPr>
        <w:tc>
          <w:tcPr>
            <w:tcW w:type="pct" w:w="11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الدور</w:t>
            </w:r>
          </w:p>
        </w:tc>
        <w:tc>
          <w:tcPr>
            <w:tcW w:type="pct" w:w="4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الرمز</w:t>
            </w:r>
          </w:p>
        </w:tc>
        <w:tc>
          <w:tcPr>
            <w:tcW w:type="pct" w:w="17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الكفاءات الحاكمة</w:t>
            </w:r>
          </w:p>
        </w:tc>
        <w:tc>
          <w:tcPr>
            <w:tcW w:type="pct" w:w="6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الالتزام</w:t>
            </w:r>
          </w:p>
        </w:tc>
        <w:tc>
          <w:tcPr>
            <w:tcW w:type="pct" w:w="11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ملاحظة توظيف</w:t>
            </w:r>
          </w:p>
        </w:tc>
      </w:tr>
      <w:tr>
        <w:trPr>
          <w:cantSplit/>
        </w:trPr>
        <w:tc>
          <w:tcPr>
            <w:tcW w:type="pct" w:w="11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مطوّر أندرويد أول / قائد تقني</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DEV-1</w:t>
            </w:r>
          </w:p>
        </w:tc>
        <w:tc>
          <w:tcPr>
            <w:tcW w:type="pct" w:w="17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Kotlin/Compose/Room · قرارات معمارية · TDD مالي · مراجعة كل PR</w:t>
            </w:r>
          </w:p>
        </w:tc>
        <w:tc>
          <w:tcPr>
            <w:tcW w:type="pct" w:w="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دوام كامل</w:t>
            </w:r>
          </w:p>
        </w:tc>
        <w:tc>
          <w:tcPr>
            <w:tcW w:type="pct" w:w="11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قائم فعلياً — لا تعيين جديد</w:t>
            </w:r>
          </w:p>
        </w:tc>
      </w:tr>
      <w:tr>
        <w:trPr>
          <w:cantSplit/>
        </w:trPr>
        <w:tc>
          <w:tcPr>
            <w:tcW w:type="pct" w:w="11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مطوّر ثانٍ</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DEV-2</w:t>
            </w:r>
          </w:p>
        </w:tc>
        <w:tc>
          <w:tcPr>
            <w:tcW w:type="pct" w:w="17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Kotlin · تحليل فجوات ZATCA · a11y · PoC جهازي</w:t>
            </w:r>
          </w:p>
        </w:tc>
        <w:tc>
          <w:tcPr>
            <w:tcW w:type="pct" w:w="6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دوام كامل (أو 50% هذا الربع)</w:t>
            </w:r>
          </w:p>
        </w:tc>
        <w:tc>
          <w:tcPr>
            <w:tcW w:type="pct" w:w="11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أولوية توظيف 1 — يُفعّل من نوفمبر</w:t>
            </w:r>
          </w:p>
        </w:tc>
      </w:tr>
      <w:tr>
        <w:trPr>
          <w:cantSplit/>
        </w:trPr>
        <w:tc>
          <w:tcPr>
            <w:tcW w:type="pct" w:w="11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مهندس جودة</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QA-1</w:t>
            </w:r>
          </w:p>
        </w:tc>
        <w:tc>
          <w:tcPr>
            <w:tcW w:type="pct" w:w="17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فحص يدوي منضبط · تقرير خلل P0–P2 · قياس أداء</w:t>
            </w:r>
          </w:p>
        </w:tc>
        <w:tc>
          <w:tcPr>
            <w:tcW w:type="pct" w:w="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50–100%</w:t>
            </w:r>
          </w:p>
        </w:tc>
        <w:tc>
          <w:tcPr>
            <w:tcW w:type="pct" w:w="11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أولوية توظيف 2 — من الأسبوع 1</w:t>
            </w:r>
          </w:p>
        </w:tc>
      </w:tr>
      <w:tr>
        <w:trPr>
          <w:cantSplit/>
        </w:trPr>
        <w:tc>
          <w:tcPr>
            <w:tcW w:type="pct" w:w="11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مسؤول نمو وتشغيل متجر</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GRO-1</w:t>
            </w:r>
          </w:p>
        </w:tc>
        <w:tc>
          <w:tcPr>
            <w:tcW w:type="pct" w:w="17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Play Console · ASO ثنائي اللغة · دعم مستخدمين · محتوى</w:t>
            </w:r>
          </w:p>
        </w:tc>
        <w:tc>
          <w:tcPr>
            <w:tcW w:type="pct" w:w="6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50%</w:t>
            </w:r>
          </w:p>
        </w:tc>
        <w:tc>
          <w:tcPr>
            <w:tcW w:type="pct" w:w="11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أولوية 3 — يمكن CTO مؤقتاً</w:t>
            </w:r>
          </w:p>
        </w:tc>
      </w:tr>
      <w:tr>
        <w:trPr>
          <w:cantSplit/>
        </w:trPr>
        <w:tc>
          <w:tcPr>
            <w:tcW w:type="pct" w:w="11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مصمم منتجات (جزئي)</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DSG-1</w:t>
            </w:r>
          </w:p>
        </w:tc>
        <w:tc>
          <w:tcPr>
            <w:tcW w:type="pct" w:w="17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لقطات وأصول متجر · تحسين تجربة شاشات Pro/KPIs</w:t>
            </w:r>
          </w:p>
        </w:tc>
        <w:tc>
          <w:tcPr>
            <w:tcW w:type="pct" w:w="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بالطلب</w:t>
            </w:r>
          </w:p>
        </w:tc>
        <w:tc>
          <w:tcPr>
            <w:tcW w:type="pct" w:w="11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أولوية 4 — بالتعاقد</w:t>
            </w:r>
          </w:p>
        </w:tc>
      </w:tr>
    </w:tbl>
    <w:p>
      <w:pPr>
        <w:keepNext/>
        <w:bidi/>
        <w:spacing w:after="90" w:before="160" w:line="300"/>
        <w:jc w:val="start"/>
      </w:pPr>
      <w:r>
        <w:rPr>
          <w:rFonts w:ascii="Segoe UI" w:cs="Cairo" w:eastAsia="Segoe UI" w:hAnsi="Segoe UI"/>
          <w:b/>
          <w:bCs/>
          <w:i w:val="false"/>
          <w:iCs w:val="false"/>
          <w:color w:val="5A6080"/>
          <w:sz w:val="21"/>
          <w:szCs w:val="21"/>
          <w:rtl/>
        </w:rPr>
        <w:t xml:space="preserve">جدول 11: مصفوفة RACI للمسارات الستة (R منفذ · A مسؤول نهائي · C مستشار · I مطّلع)</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3076"/>
        <w:gridCol w:w="1142"/>
        <w:gridCol w:w="1142"/>
        <w:gridCol w:w="1142"/>
        <w:gridCol w:w="1142"/>
        <w:gridCol w:w="1142"/>
      </w:tblGrid>
      <w:tr>
        <w:trPr>
          <w:cantSplit/>
          <w:tblHeader/>
        </w:trPr>
        <w:tc>
          <w:tcPr>
            <w:tcW w:type="pct" w:w="17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المسار</w:t>
            </w:r>
          </w:p>
        </w:tc>
        <w:tc>
          <w:tcPr>
            <w:tcW w:type="pct" w:w="6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CTO</w:t>
            </w:r>
          </w:p>
        </w:tc>
        <w:tc>
          <w:tcPr>
            <w:tcW w:type="pct" w:w="6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DEV-1</w:t>
            </w:r>
          </w:p>
        </w:tc>
        <w:tc>
          <w:tcPr>
            <w:tcW w:type="pct" w:w="6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DEV-2</w:t>
            </w:r>
          </w:p>
        </w:tc>
        <w:tc>
          <w:tcPr>
            <w:tcW w:type="pct" w:w="6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QA-1</w:t>
            </w:r>
          </w:p>
        </w:tc>
        <w:tc>
          <w:tcPr>
            <w:tcW w:type="pct" w:w="6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GRO-1</w:t>
            </w:r>
          </w:p>
        </w:tc>
      </w:tr>
      <w:tr>
        <w:trPr>
          <w:cantSplit/>
        </w:trPr>
        <w:tc>
          <w:tcPr>
            <w:tcW w:type="pct" w:w="17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WS-A الجودة والهندسة</w:t>
            </w:r>
          </w:p>
        </w:tc>
        <w:tc>
          <w:tcPr>
            <w:tcW w:type="pct" w:w="6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C</w:t>
            </w:r>
          </w:p>
        </w:tc>
        <w:tc>
          <w:tcPr>
            <w:tcW w:type="pct" w:w="6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000000"/>
                <w:sz w:val="21"/>
                <w:szCs w:val="21"/>
                <w:rtl/>
              </w:rPr>
              <w:t xml:space="preserve">A/R</w:t>
            </w:r>
          </w:p>
        </w:tc>
        <w:tc>
          <w:tcPr>
            <w:tcW w:type="pct" w:w="6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R</w:t>
            </w:r>
          </w:p>
        </w:tc>
        <w:tc>
          <w:tcPr>
            <w:tcW w:type="pct" w:w="6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R</w:t>
            </w:r>
          </w:p>
        </w:tc>
        <w:tc>
          <w:tcPr>
            <w:tcW w:type="pct" w:w="6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C</w:t>
            </w:r>
          </w:p>
        </w:tc>
      </w:tr>
      <w:tr>
        <w:trPr>
          <w:cantSplit/>
        </w:trPr>
        <w:tc>
          <w:tcPr>
            <w:tcW w:type="pct" w:w="17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WS-B النشر التجاري</w:t>
            </w:r>
          </w:p>
        </w:tc>
        <w:tc>
          <w:tcPr>
            <w:tcW w:type="pct" w:w="6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000000"/>
                <w:sz w:val="21"/>
                <w:szCs w:val="21"/>
                <w:rtl/>
              </w:rPr>
              <w:t xml:space="preserve">A</w:t>
            </w:r>
          </w:p>
        </w:tc>
        <w:tc>
          <w:tcPr>
            <w:tcW w:type="pct" w:w="6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R</w:t>
            </w:r>
          </w:p>
        </w:tc>
        <w:tc>
          <w:tcPr>
            <w:tcW w:type="pct" w:w="6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I</w:t>
            </w:r>
          </w:p>
        </w:tc>
        <w:tc>
          <w:tcPr>
            <w:tcW w:type="pct" w:w="6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C</w:t>
            </w:r>
          </w:p>
        </w:tc>
        <w:tc>
          <w:tcPr>
            <w:tcW w:type="pct" w:w="6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000000"/>
                <w:sz w:val="21"/>
                <w:szCs w:val="21"/>
                <w:rtl/>
              </w:rPr>
              <w:t xml:space="preserve">R</w:t>
            </w:r>
          </w:p>
        </w:tc>
      </w:tr>
      <w:tr>
        <w:trPr>
          <w:cantSplit/>
        </w:trPr>
        <w:tc>
          <w:tcPr>
            <w:tcW w:type="pct" w:w="17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WS-C تحقيق الدخل Pro</w:t>
            </w:r>
          </w:p>
        </w:tc>
        <w:tc>
          <w:tcPr>
            <w:tcW w:type="pct" w:w="6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000000"/>
                <w:sz w:val="21"/>
                <w:szCs w:val="21"/>
                <w:rtl/>
              </w:rPr>
              <w:t xml:space="preserve">A</w:t>
            </w:r>
          </w:p>
        </w:tc>
        <w:tc>
          <w:tcPr>
            <w:tcW w:type="pct" w:w="6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R</w:t>
            </w:r>
          </w:p>
        </w:tc>
        <w:tc>
          <w:tcPr>
            <w:tcW w:type="pct" w:w="6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I</w:t>
            </w:r>
          </w:p>
        </w:tc>
        <w:tc>
          <w:tcPr>
            <w:tcW w:type="pct" w:w="6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R</w:t>
            </w:r>
          </w:p>
        </w:tc>
        <w:tc>
          <w:tcPr>
            <w:tcW w:type="pct" w:w="6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C</w:t>
            </w:r>
          </w:p>
        </w:tc>
      </w:tr>
      <w:tr>
        <w:trPr>
          <w:cantSplit/>
        </w:trPr>
        <w:tc>
          <w:tcPr>
            <w:tcW w:type="pct" w:w="17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WS-D تأسيس ZATCA-2</w:t>
            </w:r>
          </w:p>
        </w:tc>
        <w:tc>
          <w:tcPr>
            <w:tcW w:type="pct" w:w="6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000000"/>
                <w:sz w:val="21"/>
                <w:szCs w:val="21"/>
                <w:rtl/>
              </w:rPr>
              <w:t xml:space="preserve">A</w:t>
            </w:r>
          </w:p>
        </w:tc>
        <w:tc>
          <w:tcPr>
            <w:tcW w:type="pct" w:w="6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C</w:t>
            </w:r>
          </w:p>
        </w:tc>
        <w:tc>
          <w:tcPr>
            <w:tcW w:type="pct" w:w="6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000000"/>
                <w:sz w:val="21"/>
                <w:szCs w:val="21"/>
                <w:rtl/>
              </w:rPr>
              <w:t xml:space="preserve">R</w:t>
            </w:r>
          </w:p>
        </w:tc>
        <w:tc>
          <w:tcPr>
            <w:tcW w:type="pct" w:w="6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I</w:t>
            </w:r>
          </w:p>
        </w:tc>
        <w:tc>
          <w:tcPr>
            <w:tcW w:type="pct" w:w="6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I</w:t>
            </w:r>
          </w:p>
        </w:tc>
      </w:tr>
      <w:tr>
        <w:trPr>
          <w:cantSplit/>
        </w:trPr>
        <w:tc>
          <w:tcPr>
            <w:tcW w:type="pct" w:w="17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WS-E تمهيد الذكاء المحلي</w:t>
            </w:r>
          </w:p>
        </w:tc>
        <w:tc>
          <w:tcPr>
            <w:tcW w:type="pct" w:w="6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C</w:t>
            </w:r>
          </w:p>
        </w:tc>
        <w:tc>
          <w:tcPr>
            <w:tcW w:type="pct" w:w="6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000000"/>
                <w:sz w:val="21"/>
                <w:szCs w:val="21"/>
                <w:rtl/>
              </w:rPr>
              <w:t xml:space="preserve">A</w:t>
            </w:r>
          </w:p>
        </w:tc>
        <w:tc>
          <w:tcPr>
            <w:tcW w:type="pct" w:w="6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000000"/>
                <w:sz w:val="21"/>
                <w:szCs w:val="21"/>
                <w:rtl/>
              </w:rPr>
              <w:t xml:space="preserve">R</w:t>
            </w:r>
          </w:p>
        </w:tc>
        <w:tc>
          <w:tcPr>
            <w:tcW w:type="pct" w:w="6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I</w:t>
            </w:r>
          </w:p>
        </w:tc>
        <w:tc>
          <w:tcPr>
            <w:tcW w:type="pct" w:w="6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I</w:t>
            </w:r>
          </w:p>
        </w:tc>
      </w:tr>
      <w:tr>
        <w:trPr>
          <w:cantSplit/>
        </w:trPr>
        <w:tc>
          <w:tcPr>
            <w:tcW w:type="pct" w:w="17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WS-F تمهيد المؤسسات</w:t>
            </w:r>
          </w:p>
        </w:tc>
        <w:tc>
          <w:tcPr>
            <w:tcW w:type="pct" w:w="6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C</w:t>
            </w:r>
          </w:p>
        </w:tc>
        <w:tc>
          <w:tcPr>
            <w:tcW w:type="pct" w:w="6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000000"/>
                <w:sz w:val="21"/>
                <w:szCs w:val="21"/>
                <w:rtl/>
              </w:rPr>
              <w:t xml:space="preserve">A</w:t>
            </w:r>
          </w:p>
        </w:tc>
        <w:tc>
          <w:tcPr>
            <w:tcW w:type="pct" w:w="6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R</w:t>
            </w:r>
          </w:p>
        </w:tc>
        <w:tc>
          <w:tcPr>
            <w:tcW w:type="pct" w:w="6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I</w:t>
            </w:r>
          </w:p>
        </w:tc>
        <w:tc>
          <w:tcPr>
            <w:tcW w:type="pct" w:w="6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I</w:t>
            </w:r>
          </w:p>
        </w:tc>
      </w:tr>
    </w:tbl>
    <w:p>
      <w:pPr>
        <w:pStyle w:val="Heading2"/>
        <w:keepNext/>
        <w:bidi/>
        <w:spacing w:after="130" w:before="280" w:line="340" w:lineRule="atLeast"/>
        <w:jc w:val="start"/>
      </w:pPr>
      <w:bookmarkStart w:id="100023" w:name="_Toc100023"/>
      <w:r>
        <w:rPr>
          <w:rFonts w:ascii="Segoe UI" w:cs="Cairo" w:eastAsia="Segoe UI" w:hAnsi="Segoe UI"/>
          <w:b/>
          <w:bCs/>
          <w:i w:val="false"/>
          <w:iCs w:val="false"/>
          <w:color w:val="6D28D9"/>
          <w:sz w:val="28"/>
          <w:szCs w:val="28"/>
          <w:rtl/>
        </w:rPr>
        <w:t xml:space="preserve">7.1 خطة التوظيف التدريجية</w:t>
      </w:r>
      <w:bookmarkEnd w:id="100023"/>
    </w:p>
    <w:p>
      <w:pPr>
        <w:bidi/>
        <w:spacing w:after="140" w:before="0" w:line="312"/>
        <w:jc w:val="start"/>
      </w:pPr>
      <w:r>
        <w:rPr>
          <w:rFonts w:ascii="Segoe UI" w:cs="Cairo" w:eastAsia="Segoe UI" w:hAnsi="Segoe UI"/>
          <w:b w:val="false"/>
          <w:i w:val="false"/>
          <w:iCs w:val="false"/>
          <w:color w:val="000000"/>
          <w:sz w:val="24"/>
          <w:szCs w:val="24"/>
          <w:rtl/>
        </w:rPr>
        <w:t xml:space="preserve">يُدار التوظيف بواقعية تناسب فريقاً صغيراً: يبدأ الربع بالفريق القائم (DEV-1 + CTO يغطي GRO-1 مؤقتاً)، ويعين QA-1 مبكراً لأن الفحص اليدوي للشاشات الـ27 والجولات الأسبوعية للمختبرين هما أكبر حمولة تكرارية في الربع، ثم يفعّل DEV-2 من نوفمبر ليتولى تحليل فجوات ZATCA-2 وa11y وPoC الذكاء المحلي، وبقية الأدوار بالتعاقد أو التغطية المزدوجة. وإذا ضاقت السعة تُطبق قاعدة الترتيب الصارم: يُقص WS-E أولاً (تأجيل PoC أسبوعين مقبول)، ثم يُخفف WS-F إلى RBAC فقط، ثم يُضغط WS-D إلى تحليل الفجوات دون sandbox؛ أما أي قص في WS-A أو WS-B فغير مسموح لأنه يمس جوهر بوابة المرحلة. وبهذا تبقى وعدة المرحلة قابلة للتسليم تحت أشد سيناريوهات الضغط.</w:t>
      </w:r>
    </w:p>
    <w:p>
      <w:pPr>
        <w:pStyle w:val="Heading1"/>
        <w:keepNext/>
        <w:pBdr>
          <w:bottom w:val="single" w:color="8B5CF6" w:sz="6" w:space="6"/>
        </w:pBdr>
        <w:bidi/>
        <w:spacing w:after="180" w:before="400" w:line="380" w:lineRule="atLeast"/>
        <w:jc w:val="start"/>
      </w:pPr>
      <w:bookmarkStart w:id="100024" w:name="_Toc100024"/>
      <w:r>
        <w:rPr>
          <w:rFonts w:ascii="Segoe UI" w:cs="Cairo" w:eastAsia="Segoe UI" w:hAnsi="Segoe UI"/>
          <w:b/>
          <w:bCs/>
          <w:i w:val="false"/>
          <w:iCs w:val="false"/>
          <w:color w:val="6D28D9"/>
          <w:sz w:val="32"/>
          <w:szCs w:val="32"/>
          <w:rtl/>
        </w:rPr>
        <w:t xml:space="preserve">8. </w:t>
      </w:r>
      <w:r>
        <w:rPr>
          <w:rFonts w:ascii="Segoe UI" w:cs="Cairo" w:eastAsia="Segoe UI" w:hAnsi="Segoe UI"/>
          <w:b/>
          <w:bCs/>
          <w:i w:val="false"/>
          <w:iCs w:val="false"/>
          <w:color w:val="0B1026"/>
          <w:sz w:val="32"/>
          <w:szCs w:val="32"/>
          <w:rtl/>
        </w:rPr>
        <w:t xml:space="preserve">الحوكمة وبوابات الجودة</w:t>
      </w:r>
      <w:bookmarkEnd w:id="100024"/>
    </w:p>
    <w:p>
      <w:pPr>
        <w:pStyle w:val="Heading2"/>
        <w:keepNext/>
        <w:bidi/>
        <w:spacing w:after="130" w:before="280" w:line="340" w:lineRule="atLeast"/>
        <w:jc w:val="start"/>
      </w:pPr>
      <w:bookmarkStart w:id="100025" w:name="_Toc100025"/>
      <w:r>
        <w:rPr>
          <w:rFonts w:ascii="Segoe UI" w:cs="Cairo" w:eastAsia="Segoe UI" w:hAnsi="Segoe UI"/>
          <w:b/>
          <w:bCs/>
          <w:i w:val="false"/>
          <w:iCs w:val="false"/>
          <w:color w:val="6D28D9"/>
          <w:sz w:val="28"/>
          <w:szCs w:val="28"/>
          <w:rtl/>
        </w:rPr>
        <w:t xml:space="preserve">8.1 تعريف الإنجاز (Definition of Done)</w:t>
      </w:r>
      <w:bookmarkEnd w:id="100025"/>
    </w:p>
    <w:p>
      <w:pPr>
        <w:bidi/>
        <w:spacing w:after="140" w:before="0" w:line="312"/>
        <w:jc w:val="start"/>
      </w:pPr>
      <w:r>
        <w:rPr>
          <w:rFonts w:ascii="Segoe UI" w:cs="Cairo" w:eastAsia="Segoe UI" w:hAnsi="Segoe UI"/>
          <w:b w:val="false"/>
          <w:i w:val="false"/>
          <w:iCs w:val="false"/>
          <w:color w:val="000000"/>
          <w:sz w:val="24"/>
          <w:szCs w:val="24"/>
          <w:rtl/>
        </w:rPr>
        <w:t xml:space="preserve">حتى لا يبقى «الجاهز» رأياً شخصياً، تُطبق قائمة DoD السباعية على كل تغيير بلا استثناء، وهي امتداد طبيعي لما جرى فعلياً في إصدار V 1.0.0 (اختبارات جديدة لكل ميزة، سلاسل متطابقة، بناء نظيف):</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703"/>
        <w:gridCol w:w="8085"/>
      </w:tblGrid>
      <w:tr>
        <w:trPr>
          <w:cantSplit/>
          <w:tblHeader/>
        </w:trPr>
        <w:tc>
          <w:tcPr>
            <w:tcW w:type="pct" w:w="4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w:t>
            </w:r>
          </w:p>
        </w:tc>
        <w:tc>
          <w:tcPr>
            <w:tcW w:type="pct" w:w="46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بند DoD</w:t>
            </w:r>
          </w:p>
        </w:tc>
      </w:tr>
      <w:tr>
        <w:trPr>
          <w:cantSplit/>
        </w:trPr>
        <w:tc>
          <w:tcPr>
            <w:tcW w:type="pct" w:w="4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1</w:t>
            </w:r>
          </w:p>
        </w:tc>
        <w:tc>
          <w:tcPr>
            <w:tcW w:type="pct" w:w="46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اختبارات وحدة جديدة تغطي السلوك، والبنية الكاملة خضراء 1444+ (ومن الأسبوع 11: 1600+)</w:t>
            </w:r>
          </w:p>
        </w:tc>
      </w:tr>
      <w:tr>
        <w:trPr>
          <w:cantSplit/>
        </w:trPr>
        <w:tc>
          <w:tcPr>
            <w:tcW w:type="pct" w:w="4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2</w:t>
            </w:r>
          </w:p>
        </w:tc>
        <w:tc>
          <w:tcPr>
            <w:tcW w:type="pct" w:w="46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سلاسل عربي/إنجليزي مضافة في الملفين معاً — يرفض CI أي قيم غير متساوية (فاحص المقاسم وحارس الاستخدام)</w:t>
            </w:r>
          </w:p>
        </w:tc>
      </w:tr>
      <w:tr>
        <w:trPr>
          <w:cantSplit/>
        </w:trPr>
        <w:tc>
          <w:tcPr>
            <w:tcW w:type="pct" w:w="4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3</w:t>
            </w:r>
          </w:p>
        </w:tc>
        <w:tc>
          <w:tcPr>
            <w:tcW w:type="pct" w:w="46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لا تسريب شبكة خارج الطبقة feature-gated المعتمدة — صفر طلبات افتراضياً</w:t>
            </w:r>
          </w:p>
        </w:tc>
      </w:tr>
      <w:tr>
        <w:trPr>
          <w:cantSplit/>
        </w:trPr>
        <w:tc>
          <w:tcPr>
            <w:tcW w:type="pct" w:w="4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4</w:t>
            </w:r>
          </w:p>
        </w:tc>
        <w:tc>
          <w:tcPr>
            <w:tcW w:type="pct" w:w="46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بناء assembleRelease وlintRelease ناجحان محلياً قبل رفع الـPR</w:t>
            </w:r>
          </w:p>
        </w:tc>
      </w:tr>
      <w:tr>
        <w:trPr>
          <w:cantSplit/>
        </w:trPr>
        <w:tc>
          <w:tcPr>
            <w:tcW w:type="pct" w:w="4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5</w:t>
            </w:r>
          </w:p>
        </w:tc>
        <w:tc>
          <w:tcPr>
            <w:tcW w:type="pct" w:w="46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CI الأخضر على GitHub Actions: مصفوفة JDK 17/21 على release + الاختبارات + الحواجز</w:t>
            </w:r>
          </w:p>
        </w:tc>
      </w:tr>
      <w:tr>
        <w:trPr>
          <w:cantSplit/>
        </w:trPr>
        <w:tc>
          <w:tcPr>
            <w:tcW w:type="pct" w:w="4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6</w:t>
            </w:r>
          </w:p>
        </w:tc>
        <w:tc>
          <w:tcPr>
            <w:tcW w:type="pct" w:w="46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مراجعة كود إلزامية (مراجع واحد على الأقل غير كاتب الكود) وربط PR بمهمة WBS</w:t>
            </w:r>
          </w:p>
        </w:tc>
      </w:tr>
      <w:tr>
        <w:trPr>
          <w:cantSplit/>
        </w:trPr>
        <w:tc>
          <w:tcPr>
            <w:tcW w:type="pct" w:w="4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7</w:t>
            </w:r>
          </w:p>
        </w:tc>
        <w:tc>
          <w:tcPr>
            <w:tcW w:type="pct" w:w="46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تحديث الوثائق المتأثرة (CHANGELOG ودفاتر التشغيل) في الـPR نفسه لا بعده</w:t>
            </w:r>
          </w:p>
        </w:tc>
      </w:tr>
    </w:tbl>
    <w:p>
      <w:pPr>
        <w:pStyle w:val="Heading2"/>
        <w:keepNext/>
        <w:bidi/>
        <w:spacing w:after="130" w:before="280" w:line="340" w:lineRule="atLeast"/>
        <w:jc w:val="start"/>
      </w:pPr>
      <w:bookmarkStart w:id="100026" w:name="_Toc100026"/>
      <w:r>
        <w:rPr>
          <w:rFonts w:ascii="Segoe UI" w:cs="Cairo" w:eastAsia="Segoe UI" w:hAnsi="Segoe UI"/>
          <w:b/>
          <w:bCs/>
          <w:i w:val="false"/>
          <w:iCs w:val="false"/>
          <w:color w:val="6D28D9"/>
          <w:sz w:val="28"/>
          <w:szCs w:val="28"/>
          <w:rtl/>
        </w:rPr>
        <w:t xml:space="preserve">8.2 سياسة الفروع وبوابات CI/CD</w:t>
      </w:r>
      <w:bookmarkEnd w:id="100026"/>
    </w:p>
    <w:p>
      <w:pPr>
        <w:bidi/>
        <w:spacing w:after="140" w:before="0" w:line="312"/>
        <w:jc w:val="start"/>
      </w:pPr>
      <w:r>
        <w:rPr>
          <w:rFonts w:ascii="Segoe UI" w:cs="Cairo" w:eastAsia="Segoe UI" w:hAnsi="Segoe UI"/>
          <w:b w:val="false"/>
          <w:i w:val="false"/>
          <w:iCs w:val="false"/>
          <w:color w:val="000000"/>
          <w:sz w:val="24"/>
          <w:szCs w:val="24"/>
          <w:rtl/>
        </w:rPr>
        <w:t xml:space="preserve">الفرع الرئيسي main محمي: لا دفع مباشر أبداً، وكل تغيير عبر فرع ميزة feature/* أو إصلاح fix/* بـPR خاضع للمراجعة وبوابات CI الحالية: مصفوفة JDK 17/21 على بناء release، واختبارات الوحدة، وفاحص مقاسم السلاسل، وحارس استخدام السلاسل، وlintRelease، ثم حلقة النشر الآلية عند الوسوم التي تُنتج AAB/APK ويُرفع الإصدار بأصوله. ويوسع هذا الربع البوابات بعنصرين إضافيين منضبطين: بوابة توقيع إلزامية (لا أصل إصدار يُرفع دون توقيع apksigner v2+v3 بمفتاح superbiz.keystore المعتمد والتحقق من بصمة الشهادة)، وبوابة تدقيق سلوك الشبكة (فحص آلي خفيف يرصد أي سلسلة مكتبة اتصال جديدة خارج الطبقة المعتمدة). وعند توفر جهاز اختبار مستقر يُضاف مسار تدخين آلي اختياري على القناة الداخلية قبل ترقية أي إصدار.</w:t>
      </w:r>
    </w:p>
    <w:p>
      <w:pPr>
        <w:pStyle w:val="Heading2"/>
        <w:keepNext/>
        <w:bidi/>
        <w:spacing w:after="130" w:before="280" w:line="340" w:lineRule="atLeast"/>
        <w:jc w:val="start"/>
      </w:pPr>
      <w:bookmarkStart w:id="100027" w:name="_Toc100027"/>
      <w:r>
        <w:rPr>
          <w:rFonts w:ascii="Segoe UI" w:cs="Cairo" w:eastAsia="Segoe UI" w:hAnsi="Segoe UI"/>
          <w:b/>
          <w:bCs/>
          <w:i w:val="false"/>
          <w:iCs w:val="false"/>
          <w:color w:val="6D28D9"/>
          <w:sz w:val="28"/>
          <w:szCs w:val="28"/>
          <w:rtl/>
        </w:rPr>
        <w:t xml:space="preserve">8.3 الطقوس التشغيلية</w:t>
      </w:r>
      <w:bookmarkEnd w:id="100027"/>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2636"/>
        <w:gridCol w:w="1933"/>
        <w:gridCol w:w="4218"/>
      </w:tblGrid>
      <w:tr>
        <w:trPr>
          <w:cantSplit/>
          <w:tblHeader/>
        </w:trPr>
        <w:tc>
          <w:tcPr>
            <w:tcW w:type="pct" w:w="15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الطقس</w:t>
            </w:r>
          </w:p>
        </w:tc>
        <w:tc>
          <w:tcPr>
            <w:tcW w:type="pct" w:w="11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الإيقاع</w:t>
            </w:r>
          </w:p>
        </w:tc>
        <w:tc>
          <w:tcPr>
            <w:tcW w:type="pct" w:w="24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المخرج الموثق</w:t>
            </w:r>
          </w:p>
        </w:tc>
      </w:tr>
      <w:tr>
        <w:trPr>
          <w:cantSplit/>
        </w:trPr>
        <w:tc>
          <w:tcPr>
            <w:tcW w:type="pct" w:w="1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مراجعة يومية 15 دقيقة (أو مسجلة كتابةً)</w:t>
            </w:r>
          </w:p>
        </w:tc>
        <w:tc>
          <w:tcPr>
            <w:tcW w:type="pct" w:w="11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يومياً</w:t>
            </w:r>
          </w:p>
        </w:tc>
        <w:tc>
          <w:tcPr>
            <w:tcW w:type="pct" w:w="24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حالة P0–P1 فقط + عوائق اليوم</w:t>
            </w:r>
          </w:p>
        </w:tc>
      </w:tr>
      <w:tr>
        <w:trPr>
          <w:cantSplit/>
        </w:trPr>
        <w:tc>
          <w:tcPr>
            <w:tcW w:type="pct" w:w="1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مراجعة KPIs ولوحة المسارات</w:t>
            </w:r>
          </w:p>
        </w:tc>
        <w:tc>
          <w:tcPr>
            <w:tcW w:type="pct" w:w="11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كل أحد صباحاً</w:t>
            </w:r>
          </w:p>
        </w:tc>
        <w:tc>
          <w:tcPr>
            <w:tcW w:type="pct" w:w="24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تقرير أسبوعي وفق قالب الملحق (أ) — يُرفع للمستودع</w:t>
            </w:r>
          </w:p>
        </w:tc>
      </w:tr>
      <w:tr>
        <w:trPr>
          <w:cantSplit/>
        </w:trPr>
        <w:tc>
          <w:tcPr>
            <w:tcW w:type="pct" w:w="1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دورة ملاحظات المختبرين</w:t>
            </w:r>
          </w:p>
        </w:tc>
        <w:tc>
          <w:tcPr>
            <w:tcW w:type="pct" w:w="11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أسبوعياً</w:t>
            </w:r>
          </w:p>
        </w:tc>
        <w:tc>
          <w:tcPr>
            <w:tcW w:type="pct" w:w="24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تصنيف P0–P2 + قرارات إصلاح ضمن إصدار قادم</w:t>
            </w:r>
          </w:p>
        </w:tc>
      </w:tr>
      <w:tr>
        <w:trPr>
          <w:cantSplit/>
        </w:trPr>
        <w:tc>
          <w:tcPr>
            <w:tcW w:type="pct" w:w="1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مراجعة بوابة معلم</w:t>
            </w:r>
          </w:p>
        </w:tc>
        <w:tc>
          <w:tcPr>
            <w:tcW w:type="pct" w:w="11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عند M1–M6</w:t>
            </w:r>
          </w:p>
        </w:tc>
        <w:tc>
          <w:tcPr>
            <w:tcW w:type="pct" w:w="24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محضر بوابة: معايير محسومة + قرار Go/No-Go موقّع</w:t>
            </w:r>
          </w:p>
        </w:tc>
      </w:tr>
      <w:tr>
        <w:trPr>
          <w:cantSplit/>
        </w:trPr>
        <w:tc>
          <w:tcPr>
            <w:tcW w:type="pct" w:w="1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نظرة أمان وامتثال</w:t>
            </w:r>
          </w:p>
        </w:tc>
        <w:tc>
          <w:tcPr>
            <w:tcW w:type="pct" w:w="11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نصف شهرية</w:t>
            </w:r>
          </w:p>
        </w:tc>
        <w:tc>
          <w:tcPr>
            <w:tcW w:type="pct" w:w="24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حالة أذونات التطبيق وسياسات Play وسجل أي تحذير</w:t>
            </w:r>
          </w:p>
        </w:tc>
      </w:tr>
    </w:tbl>
    <w:p>
      <w:pPr>
        <w:pStyle w:val="Heading2"/>
        <w:keepNext/>
        <w:bidi/>
        <w:spacing w:after="130" w:before="280" w:line="340" w:lineRule="atLeast"/>
        <w:jc w:val="start"/>
      </w:pPr>
      <w:bookmarkStart w:id="100028" w:name="_Toc100028"/>
      <w:r>
        <w:rPr>
          <w:rFonts w:ascii="Segoe UI" w:cs="Cairo" w:eastAsia="Segoe UI" w:hAnsi="Segoe UI"/>
          <w:b/>
          <w:bCs/>
          <w:i w:val="false"/>
          <w:iCs w:val="false"/>
          <w:color w:val="6D28D9"/>
          <w:sz w:val="28"/>
          <w:szCs w:val="28"/>
          <w:rtl/>
        </w:rPr>
        <w:t xml:space="preserve">8.4 معايير الجودة الدائمة (غير قابلة للتفاوض)</w:t>
      </w:r>
      <w:bookmarkEnd w:id="100028"/>
    </w:p>
    <w:p>
      <w:pPr>
        <w:bidi/>
        <w:spacing w:after="140" w:before="0" w:line="312"/>
        <w:jc w:val="start"/>
      </w:pPr>
      <w:r>
        <w:rPr>
          <w:rFonts w:ascii="Segoe UI" w:cs="Cairo" w:eastAsia="Segoe UI" w:hAnsi="Segoe UI"/>
          <w:b w:val="false"/>
          <w:i w:val="false"/>
          <w:iCs w:val="false"/>
          <w:color w:val="000000"/>
          <w:sz w:val="24"/>
          <w:szCs w:val="24"/>
          <w:rtl/>
        </w:rPr>
        <w:t xml:space="preserve">تحتفظ المرحلة بالمعايير الستة المعتمدة في خارطة الطريق بوصفها حدوداً حمراء لا تُمس بأي اعتبار جدولي، وقد كلفت فعلياً في السابق ببناء ثقة قابلة للقياس (بناء قابل للتكرار مطابق بايت-ببايت بين المحلي وCI، وترحيلات تراكمية آمنة عبر موجات متعددة): لا إصدار بلا اختبارات خضراء كاملة؛ وأي ميزة مالية بـTDD على Room حقيقية؛ وترحيل تراكبي بلا destructive أبداً؛ وسلاسل عربي/إنجليزي متطابقة بفاحص CI؛ ومصفوفة JDK 17/21 على release؛ وكل بوابة موجة تصدر تقرير KPIs موثقاً. وفي هذا الربع يُضاف عليها رقابة النشر العام: أي انحدار في Vitals أو تقييم يفتح بند مراجعة فوري في الطقس الأسبوعي، ويحق لأي عضو في الفريق تصعيد P0 خارج الدورة العادية مباشرة إلى CTO.</w:t>
      </w:r>
    </w:p>
    <w:p>
      <w:pPr>
        <w:pStyle w:val="Heading1"/>
        <w:keepNext/>
        <w:pBdr>
          <w:bottom w:val="single" w:color="8B5CF6" w:sz="6" w:space="6"/>
        </w:pBdr>
        <w:bidi/>
        <w:spacing w:after="180" w:before="400" w:line="380" w:lineRule="atLeast"/>
        <w:jc w:val="start"/>
      </w:pPr>
      <w:bookmarkStart w:id="100029" w:name="_Toc100029"/>
      <w:r>
        <w:rPr>
          <w:rFonts w:ascii="Segoe UI" w:cs="Cairo" w:eastAsia="Segoe UI" w:hAnsi="Segoe UI"/>
          <w:b/>
          <w:bCs/>
          <w:i w:val="false"/>
          <w:iCs w:val="false"/>
          <w:color w:val="6D28D9"/>
          <w:sz w:val="32"/>
          <w:szCs w:val="32"/>
          <w:rtl/>
        </w:rPr>
        <w:t xml:space="preserve">9. </w:t>
      </w:r>
      <w:r>
        <w:rPr>
          <w:rFonts w:ascii="Segoe UI" w:cs="Cairo" w:eastAsia="Segoe UI" w:hAnsi="Segoe UI"/>
          <w:b/>
          <w:bCs/>
          <w:i w:val="false"/>
          <w:iCs w:val="false"/>
          <w:color w:val="0B1026"/>
          <w:sz w:val="32"/>
          <w:szCs w:val="32"/>
          <w:rtl/>
        </w:rPr>
        <w:t xml:space="preserve">الميزانية وتقديرات التكلفة (بالريال السعودي)</w:t>
      </w:r>
      <w:bookmarkEnd w:id="100029"/>
    </w:p>
    <w:p>
      <w:pPr>
        <w:bidi/>
        <w:spacing w:after="140" w:before="0" w:line="312"/>
        <w:jc w:val="start"/>
      </w:pPr>
      <w:r>
        <w:rPr>
          <w:rFonts w:ascii="Segoe UI" w:cs="Cairo" w:eastAsia="Segoe UI" w:hAnsi="Segoe UI"/>
          <w:b w:val="false"/>
          <w:i w:val="false"/>
          <w:iCs w:val="false"/>
          <w:color w:val="000000"/>
          <w:sz w:val="24"/>
          <w:szCs w:val="24"/>
          <w:rtl/>
        </w:rPr>
        <w:t xml:space="preserve">الميزانية التالية تقديرات تخطيطية صريحة الفرضيات تُعاد معايرتها عند أول فاتورة فعلية لكل بند؛ فهي وثيقة قرار لا سجل محاسبي. ومنطقها يبدأ من ميزة بنيوية حقيقية للمنتج: طبيعة offline-first وبلا خادم تجعل التكلفة الجارية للبنية تحتية شبه معدومة — فلا خوادم تطبيق ولا قواعد بيانات سحابية مدفوعة، والتوزيع كله عبر Google Play، والبناء والاختبار على GitHub Actions ضمن الحصص المتاحة. وعليه تتوزع النفقات على أربع حزم: متطلبات Play الرسمية، والأدوات، والتسويق التشغيلي، وسيولة الطوارئ، إضافة إلى تكلفة التوظيف التي تُدرج كسيناريو منفصل لأنها قرار مستثمر لا نفقة تشغيل.</w:t>
      </w:r>
    </w:p>
    <w:p>
      <w:pPr>
        <w:keepNext/>
        <w:bidi/>
        <w:spacing w:after="90" w:before="160" w:line="300"/>
        <w:jc w:val="start"/>
      </w:pPr>
      <w:r>
        <w:rPr>
          <w:rFonts w:ascii="Segoe UI" w:cs="Cairo" w:eastAsia="Segoe UI" w:hAnsi="Segoe UI"/>
          <w:b/>
          <w:bCs/>
          <w:i w:val="false"/>
          <w:iCs w:val="false"/>
          <w:color w:val="5A6080"/>
          <w:sz w:val="21"/>
          <w:szCs w:val="21"/>
          <w:rtl/>
        </w:rPr>
        <w:t xml:space="preserve">جدول 12: بنود التكلفة الثابتة والمتغيرة للربع (تقديرات تخطيطية)</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2636"/>
        <w:gridCol w:w="4218"/>
        <w:gridCol w:w="1933"/>
      </w:tblGrid>
      <w:tr>
        <w:trPr>
          <w:cantSplit/>
          <w:tblHeader/>
        </w:trPr>
        <w:tc>
          <w:tcPr>
            <w:tcW w:type="pct" w:w="15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البند</w:t>
            </w:r>
          </w:p>
        </w:tc>
        <w:tc>
          <w:tcPr>
            <w:tcW w:type="pct" w:w="24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الأساس</w:t>
            </w:r>
          </w:p>
        </w:tc>
        <w:tc>
          <w:tcPr>
            <w:tcW w:type="pct" w:w="11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التقدير للربع (ر.س)</w:t>
            </w:r>
          </w:p>
        </w:tc>
      </w:tr>
      <w:tr>
        <w:trPr>
          <w:cantSplit/>
        </w:trPr>
        <w:tc>
          <w:tcPr>
            <w:tcW w:type="pct" w:w="1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حساب Google Play Developer</w:t>
            </w:r>
          </w:p>
        </w:tc>
        <w:tc>
          <w:tcPr>
            <w:tcW w:type="pct" w:w="24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رسوم تسجيل لمرة واحدة 25 دولاراً (رسم رسمي معلن)</w:t>
            </w:r>
          </w:p>
        </w:tc>
        <w:tc>
          <w:tcPr>
            <w:tcW w:type="pct" w:w="11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000000"/>
                <w:sz w:val="21"/>
                <w:szCs w:val="21"/>
                <w:rtl/>
              </w:rPr>
              <w:t xml:space="preserve">≈ 95</w:t>
            </w:r>
          </w:p>
        </w:tc>
      </w:tr>
      <w:tr>
        <w:trPr>
          <w:cantSplit/>
        </w:trPr>
        <w:tc>
          <w:tcPr>
            <w:tcW w:type="pct" w:w="1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حساب تاجر Google Payments</w:t>
            </w:r>
          </w:p>
        </w:tc>
        <w:tc>
          <w:tcPr>
            <w:tcW w:type="pct" w:w="24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مطلوب لتحصيل مبيعات superbiz_pro — لا رسوم إعداد؛ عمولة Play من المبيعات (تُخصم عند التحصيل)</w:t>
            </w:r>
          </w:p>
        </w:tc>
        <w:tc>
          <w:tcPr>
            <w:tcW w:type="pct" w:w="11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بلا رسوم إعداد</w:t>
            </w:r>
          </w:p>
        </w:tc>
      </w:tr>
      <w:tr>
        <w:trPr>
          <w:cantSplit/>
        </w:trPr>
        <w:tc>
          <w:tcPr>
            <w:tcW w:type="pct" w:w="1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عمولة متجر Play على المبيعات</w:t>
            </w:r>
          </w:p>
        </w:tc>
        <w:tc>
          <w:tcPr>
            <w:tcW w:type="pct" w:w="24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نسبة من مبيعات Pro الفعلية (تُحسب عند أول تحصيل — تعتمد سياسة Play المعمول بها لحساباتك)</w:t>
            </w:r>
          </w:p>
        </w:tc>
        <w:tc>
          <w:tcPr>
            <w:tcW w:type="pct" w:w="11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000000"/>
                <w:sz w:val="21"/>
                <w:szCs w:val="21"/>
                <w:rtl/>
              </w:rPr>
              <w:t xml:space="preserve">متغير مع الإيراد</w:t>
            </w:r>
          </w:p>
        </w:tc>
      </w:tr>
      <w:tr>
        <w:trPr>
          <w:cantSplit/>
        </w:trPr>
        <w:tc>
          <w:tcPr>
            <w:tcW w:type="pct" w:w="1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أدوات التصميم والإنتاجية</w:t>
            </w:r>
          </w:p>
        </w:tc>
        <w:tc>
          <w:tcPr>
            <w:tcW w:type="pct" w:w="24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خطة Figma/بريد/توثيق — بمستوى مجاني حيث أمكن</w:t>
            </w:r>
          </w:p>
        </w:tc>
        <w:tc>
          <w:tcPr>
            <w:tcW w:type="pct" w:w="11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0 – 900</w:t>
            </w:r>
          </w:p>
        </w:tc>
      </w:tr>
      <w:tr>
        <w:trPr>
          <w:cantSplit/>
        </w:trPr>
        <w:tc>
          <w:tcPr>
            <w:tcW w:type="pct" w:w="1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المراقبة والقياس</w:t>
            </w:r>
          </w:p>
        </w:tc>
        <w:tc>
          <w:tcPr>
            <w:tcW w:type="pct" w:w="24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Play Console + Vitals مجانية؛ لا APM مدفوع في هذا الربع</w:t>
            </w:r>
          </w:p>
        </w:tc>
        <w:tc>
          <w:tcPr>
            <w:tcW w:type="pct" w:w="11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0</w:t>
            </w:r>
          </w:p>
        </w:tc>
      </w:tr>
      <w:tr>
        <w:trPr>
          <w:cantSplit/>
        </w:trPr>
        <w:tc>
          <w:tcPr>
            <w:tcW w:type="pct" w:w="1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CI/CD (GitHub Actions)</w:t>
            </w:r>
          </w:p>
        </w:tc>
        <w:tc>
          <w:tcPr>
            <w:tcW w:type="pct" w:w="24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دقائق مستودع خاص ضمن الحصة المجانية المعمول بها — البناء الحالي ينجز ضمنها</w:t>
            </w:r>
          </w:p>
        </w:tc>
        <w:tc>
          <w:tcPr>
            <w:tcW w:type="pct" w:w="11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0 – 500</w:t>
            </w:r>
          </w:p>
        </w:tc>
      </w:tr>
      <w:tr>
        <w:trPr>
          <w:cantSplit/>
        </w:trPr>
        <w:tc>
          <w:tcPr>
            <w:tcW w:type="pct" w:w="1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مكافآت المختبرين وأكواد ترويجية</w:t>
            </w:r>
          </w:p>
        </w:tc>
        <w:tc>
          <w:tcPr>
            <w:tcW w:type="pct" w:w="24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أكواد Pro مجانية لأول 10 (تكلفة فرصة هامشية) + رموز تقدير للمختبرين المتميزين</w:t>
            </w:r>
          </w:p>
        </w:tc>
        <w:tc>
          <w:tcPr>
            <w:tcW w:type="pct" w:w="11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0 – 1,000</w:t>
            </w:r>
          </w:p>
        </w:tc>
      </w:tr>
      <w:tr>
        <w:trPr>
          <w:cantSplit/>
        </w:trPr>
        <w:tc>
          <w:tcPr>
            <w:tcW w:type="pct" w:w="1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التسويق التشغيلي للإطلاق</w:t>
            </w:r>
          </w:p>
        </w:tc>
        <w:tc>
          <w:tcPr>
            <w:tcW w:type="pct" w:w="24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محتوى + مجتمع تيليجرام + تواصل مباشر مع تجار (بلا إعلانات مدفوعة هذا الربع)</w:t>
            </w:r>
          </w:p>
        </w:tc>
        <w:tc>
          <w:tcPr>
            <w:tcW w:type="pct" w:w="11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0 – 3,000</w:t>
            </w:r>
          </w:p>
        </w:tc>
      </w:tr>
      <w:tr>
        <w:trPr>
          <w:cantSplit/>
        </w:trPr>
        <w:tc>
          <w:tcPr>
            <w:tcW w:type="pct" w:w="1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احتياطي طوارئ تشغيلي</w:t>
            </w:r>
          </w:p>
        </w:tc>
        <w:tc>
          <w:tcPr>
            <w:tcW w:type="pct" w:w="24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أجهزة اختبار إضافية أو اشتراكات طارئة أو تكاليف مراجعة</w:t>
            </w:r>
          </w:p>
        </w:tc>
        <w:tc>
          <w:tcPr>
            <w:tcW w:type="pct" w:w="11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1,500 – 4,000</w:t>
            </w:r>
          </w:p>
        </w:tc>
      </w:tr>
    </w:tbl>
    <w:p>
      <w:pPr>
        <w:bidi/>
        <w:spacing w:after="160" w:line="300"/>
        <w:jc w:val="start"/>
      </w:pPr>
      <w:r>
        <w:rPr>
          <w:rFonts w:ascii="Segoe UI" w:cs="Cairo" w:eastAsia="Segoe UI" w:hAnsi="Segoe UI"/>
          <w:b w:val="false"/>
          <w:i/>
          <w:iCs/>
          <w:color w:val="6B7280"/>
          <w:sz w:val="19"/>
          <w:szCs w:val="19"/>
          <w:rtl/>
        </w:rPr>
        <w:t xml:space="preserve">التقديرات أعلاه تشغيلية فقط ولا تشمل رواتب. أسعار الطرف الثالث تتحقق من مصادرها الرسمية عند الاعتماد النهائي للصرف.</w:t>
      </w:r>
    </w:p>
    <w:p>
      <w:pPr>
        <w:keepNext/>
        <w:bidi/>
        <w:spacing w:after="90" w:before="160" w:line="300"/>
        <w:jc w:val="start"/>
      </w:pPr>
      <w:r>
        <w:rPr>
          <w:rFonts w:ascii="Segoe UI" w:cs="Cairo" w:eastAsia="Segoe UI" w:hAnsi="Segoe UI"/>
          <w:b/>
          <w:bCs/>
          <w:i w:val="false"/>
          <w:iCs w:val="false"/>
          <w:color w:val="5A6080"/>
          <w:sz w:val="21"/>
          <w:szCs w:val="21"/>
          <w:rtl/>
        </w:rPr>
        <w:t xml:space="preserve">جدول 13: سيناريوهات ميزانية الربع الثلاثة (تشغيل + توظيف)</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1582"/>
        <w:gridCol w:w="4570"/>
        <w:gridCol w:w="2636"/>
      </w:tblGrid>
      <w:tr>
        <w:trPr>
          <w:cantSplit/>
          <w:tblHeader/>
        </w:trPr>
        <w:tc>
          <w:tcPr>
            <w:tcW w:type="pct" w:w="9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السيناريو</w:t>
            </w:r>
          </w:p>
        </w:tc>
        <w:tc>
          <w:tcPr>
            <w:tcW w:type="pct" w:w="26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المكوّن البشري</w:t>
            </w:r>
          </w:p>
        </w:tc>
        <w:tc>
          <w:tcPr>
            <w:tcW w:type="pct" w:w="15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الإجمالي التقديري للربع (ر.س)</w:t>
            </w:r>
          </w:p>
        </w:tc>
      </w:tr>
      <w:tr>
        <w:trPr>
          <w:cantSplit/>
        </w:trPr>
        <w:tc>
          <w:tcPr>
            <w:tcW w:type="pct" w:w="9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اقتصادي</w:t>
            </w:r>
          </w:p>
        </w:tc>
        <w:tc>
          <w:tcPr>
            <w:tcW w:type="pct" w:w="26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الفريق القائم فقط (DEV-1 + CTO) وتغطية مزدوجة للأدوار</w:t>
            </w:r>
          </w:p>
        </w:tc>
        <w:tc>
          <w:tcPr>
            <w:tcW w:type="pct" w:w="15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2,000 – 9,500 (تشغيل فقط)</w:t>
            </w:r>
          </w:p>
        </w:tc>
      </w:tr>
      <w:tr>
        <w:trPr>
          <w:cantSplit/>
        </w:trPr>
        <w:tc>
          <w:tcPr>
            <w:tcW w:type="pct" w:w="9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أساسي (الموصى به)</w:t>
            </w:r>
          </w:p>
        </w:tc>
        <w:tc>
          <w:tcPr>
            <w:tcW w:type="pct" w:w="26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 QA-1 بنسبة 50–100% لمدة الربع</w:t>
            </w:r>
          </w:p>
        </w:tc>
        <w:tc>
          <w:tcPr>
            <w:tcW w:type="pct" w:w="15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35,000 – 60,000</w:t>
            </w:r>
          </w:p>
        </w:tc>
      </w:tr>
      <w:tr>
        <w:trPr>
          <w:cantSplit/>
        </w:trPr>
        <w:tc>
          <w:tcPr>
            <w:tcW w:type="pct" w:w="9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موسّع</w:t>
            </w:r>
          </w:p>
        </w:tc>
        <w:tc>
          <w:tcPr>
            <w:tcW w:type="pct" w:w="26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 DEV-2 من نوفمبر + مصمم بالتعاقد</w:t>
            </w:r>
          </w:p>
        </w:tc>
        <w:tc>
          <w:tcPr>
            <w:tcW w:type="pct" w:w="15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95,000 – 160,000</w:t>
            </w:r>
          </w:p>
        </w:tc>
      </w:tr>
    </w:tbl>
    <w:p>
      <w:pPr>
        <w:pStyle w:val="Heading2"/>
        <w:keepNext/>
        <w:bidi/>
        <w:spacing w:after="130" w:before="280" w:line="340" w:lineRule="atLeast"/>
        <w:jc w:val="start"/>
      </w:pPr>
      <w:bookmarkStart w:id="100030" w:name="_Toc100030"/>
      <w:r>
        <w:rPr>
          <w:rFonts w:ascii="Segoe UI" w:cs="Cairo" w:eastAsia="Segoe UI" w:hAnsi="Segoe UI"/>
          <w:b/>
          <w:bCs/>
          <w:i w:val="false"/>
          <w:iCs w:val="false"/>
          <w:color w:val="6D28D9"/>
          <w:sz w:val="28"/>
          <w:szCs w:val="28"/>
          <w:rtl/>
        </w:rPr>
        <w:t xml:space="preserve">9.1 فرضيات الرواتب وضوابط الاعتماد</w:t>
      </w:r>
      <w:bookmarkEnd w:id="100030"/>
    </w:p>
    <w:p>
      <w:pPr>
        <w:bidi/>
        <w:spacing w:after="140" w:before="0" w:line="312"/>
        <w:jc w:val="start"/>
      </w:pPr>
      <w:r>
        <w:rPr>
          <w:rFonts w:ascii="Segoe UI" w:cs="Cairo" w:eastAsia="Segoe UI" w:hAnsi="Segoe UI"/>
          <w:b w:val="false"/>
          <w:i w:val="false"/>
          <w:iCs w:val="false"/>
          <w:color w:val="000000"/>
          <w:sz w:val="24"/>
          <w:szCs w:val="24"/>
          <w:rtl/>
        </w:rPr>
        <w:t xml:space="preserve">نطاقات الرواتب في السيناريوهين الأساسي والموسّع مبنية على نطاقات سوقية شائعة لوظائف تطوير أندرويد وضمان الجودة في الرياض، وهي تخمين تخطيطي مقصود نطاقه الفسيح، ويُستبدل بأرقام العروض الفعلية عند التعاقد. وتُطبق ثلاثة ضوابط اعتماد: أي صرف يقل عن 1,000 ريال يعتمده CTO مباشرة مع قيد في سجل المصروفات؛ وما بين 1,000 و5,000 يتطلب بنداً في هذه الخطة؛ وما فوق 5,000 يتطلب قراراً موثقاً بمعيار عائده المتوقع. وتُراجع الميزانية في مراجعة M3 (نهاية الأسبوع السادس) لأنها اللحظة التي تتضح فيها حاجة التوظيف الفعلية بعد أسبوعين من عمل المختبرين.</w:t>
      </w:r>
    </w:p>
    <w:p>
      <w:pPr>
        <w:pStyle w:val="Heading1"/>
        <w:keepNext/>
        <w:pBdr>
          <w:bottom w:val="single" w:color="8B5CF6" w:sz="6" w:space="6"/>
        </w:pBdr>
        <w:bidi/>
        <w:spacing w:after="180" w:before="400" w:line="380" w:lineRule="atLeast"/>
        <w:jc w:val="start"/>
      </w:pPr>
      <w:bookmarkStart w:id="100031" w:name="_Toc100031"/>
      <w:r>
        <w:rPr>
          <w:rFonts w:ascii="Segoe UI" w:cs="Cairo" w:eastAsia="Segoe UI" w:hAnsi="Segoe UI"/>
          <w:b/>
          <w:bCs/>
          <w:i w:val="false"/>
          <w:iCs w:val="false"/>
          <w:color w:val="6D28D9"/>
          <w:sz w:val="32"/>
          <w:szCs w:val="32"/>
          <w:rtl/>
        </w:rPr>
        <w:t xml:space="preserve">10. </w:t>
      </w:r>
      <w:r>
        <w:rPr>
          <w:rFonts w:ascii="Segoe UI" w:cs="Cairo" w:eastAsia="Segoe UI" w:hAnsi="Segoe UI"/>
          <w:b/>
          <w:bCs/>
          <w:i w:val="false"/>
          <w:iCs w:val="false"/>
          <w:color w:val="0B1026"/>
          <w:sz w:val="32"/>
          <w:szCs w:val="32"/>
          <w:rtl/>
        </w:rPr>
        <w:t xml:space="preserve">المخاطر والفرص وخطط التخفيف</w:t>
      </w:r>
      <w:bookmarkEnd w:id="100031"/>
    </w:p>
    <w:p>
      <w:pPr>
        <w:bidi/>
        <w:spacing w:after="140" w:before="0" w:line="312"/>
        <w:jc w:val="start"/>
      </w:pPr>
      <w:r>
        <w:rPr>
          <w:rFonts w:ascii="Segoe UI" w:cs="Cairo" w:eastAsia="Segoe UI" w:hAnsi="Segoe UI"/>
          <w:b w:val="false"/>
          <w:i w:val="false"/>
          <w:iCs w:val="false"/>
          <w:color w:val="000000"/>
          <w:sz w:val="24"/>
          <w:szCs w:val="24"/>
          <w:rtl/>
        </w:rPr>
        <w:t xml:space="preserve">يرفع الفريق عشرة مخاطر جوهرية إلى هذه الخطة لأن الشفافية في المخاطر شرط الاحتراف لا نقيضه. وتُصنف كل خطر بالاحتمالية والأثر (منخفض/متوسط/عالٍ) مع مالك محدد وخطة تخفيف استباقية وخطة طوارئ عند الحدوث. وقد شمل الجدول المخاطر الخمسة المعتمدة في عرض الخارطة (اعتماد ZATCA الخارجي، وروح offline-first أمام إذن الشبكة، وتوافق الأجهزة الجهازية، وتعقيد RBAC على مخطط ناضج، وتوسع الفريق) مضافة إليها مخاطر هذا الربع الخاص: دورة مراجعة Play، وسلوك Billing على أجهزة حقيقية، والتقييمات العامة المبكرة، وضغط الذاكرة في بيئة البناء، وتركز المعرفة في فرد واحد، وفقدان مفتاح التوقيع.</w:t>
      </w:r>
    </w:p>
    <w:p>
      <w:pPr>
        <w:keepNext/>
        <w:bidi/>
        <w:spacing w:after="90" w:before="160" w:line="300"/>
        <w:jc w:val="start"/>
      </w:pPr>
      <w:r>
        <w:rPr>
          <w:rFonts w:ascii="Segoe UI" w:cs="Cairo" w:eastAsia="Segoe UI" w:hAnsi="Segoe UI"/>
          <w:b/>
          <w:bCs/>
          <w:i w:val="false"/>
          <w:iCs w:val="false"/>
          <w:color w:val="5A6080"/>
          <w:sz w:val="21"/>
          <w:szCs w:val="21"/>
          <w:rtl/>
        </w:rPr>
        <w:t xml:space="preserve">جدول 14: سجل المخاطر العشرة</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2109"/>
        <w:gridCol w:w="791"/>
        <w:gridCol w:w="791"/>
        <w:gridCol w:w="2285"/>
        <w:gridCol w:w="1933"/>
        <w:gridCol w:w="879"/>
      </w:tblGrid>
      <w:tr>
        <w:trPr>
          <w:cantSplit/>
          <w:tblHeader/>
        </w:trPr>
        <w:tc>
          <w:tcPr>
            <w:tcW w:type="pct" w:w="12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8"/>
                <w:szCs w:val="18"/>
                <w:rtl/>
              </w:rPr>
              <w:t xml:space="preserve">الخطر</w:t>
            </w:r>
          </w:p>
        </w:tc>
        <w:tc>
          <w:tcPr>
            <w:tcW w:type="pct" w:w="4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8"/>
                <w:szCs w:val="18"/>
                <w:rtl/>
              </w:rPr>
              <w:t xml:space="preserve">احتمال</w:t>
            </w:r>
          </w:p>
        </w:tc>
        <w:tc>
          <w:tcPr>
            <w:tcW w:type="pct" w:w="4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8"/>
                <w:szCs w:val="18"/>
                <w:rtl/>
              </w:rPr>
              <w:t xml:space="preserve">أثر</w:t>
            </w:r>
          </w:p>
        </w:tc>
        <w:tc>
          <w:tcPr>
            <w:tcW w:type="pct" w:w="13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8"/>
                <w:szCs w:val="18"/>
                <w:rtl/>
              </w:rPr>
              <w:t xml:space="preserve">التخفيف الاستباقي</w:t>
            </w:r>
          </w:p>
        </w:tc>
        <w:tc>
          <w:tcPr>
            <w:tcW w:type="pct" w:w="11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8"/>
                <w:szCs w:val="18"/>
                <w:rtl/>
              </w:rPr>
              <w:t xml:space="preserve">خطة الطوارئ</w:t>
            </w:r>
          </w:p>
        </w:tc>
        <w:tc>
          <w:tcPr>
            <w:tcW w:type="pct" w:w="5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8"/>
                <w:szCs w:val="18"/>
                <w:rtl/>
              </w:rPr>
              <w:t xml:space="preserve">المالك</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رفض أو تأخر مراجعة Google Play</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متوسط</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عالٍ</w:t>
            </w:r>
          </w:p>
        </w:tc>
        <w:tc>
          <w:tcPr>
            <w:tcW w:type="pct" w:w="13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امتثال كامل مبكراً: سياسة + Data Safety + IARC في و1–2، وAAB نظيف من lintRelease</w:t>
            </w:r>
          </w:p>
        </w:tc>
        <w:tc>
          <w:tcPr>
            <w:tcW w:type="pct" w:w="11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معالجة الملاحظات خلال 48 ساعة وإعادة تقديم؛ نشر كأولوية قصوى</w:t>
            </w:r>
          </w:p>
        </w:tc>
        <w:tc>
          <w:tcPr>
            <w:tcW w:type="pct" w:w="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GRO-1</w:t>
            </w:r>
          </w:p>
        </w:tc>
      </w:tr>
      <w:tr>
        <w:trPr>
          <w:cantSplit/>
        </w:trPr>
        <w:tc>
          <w:tcPr>
            <w:tcW w:type="pct" w:w="12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فشل سيناريو Billing على أجهزة حقيقية</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متوسط</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عالٍ</w:t>
            </w:r>
          </w:p>
        </w:tc>
        <w:tc>
          <w:tcPr>
            <w:tcW w:type="pct" w:w="13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اختبار شراء/استرجاع/ترقية على جهاز فعلي في و1 (قناة Internal)</w:t>
            </w:r>
          </w:p>
        </w:tc>
        <w:tc>
          <w:tcPr>
            <w:tcW w:type="pct" w:w="11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تعطيل باب Pro مؤقتاً وتأجيل الحصول على البيانات — لا يؤجل النشر</w:t>
            </w:r>
          </w:p>
        </w:tc>
        <w:tc>
          <w:tcPr>
            <w:tcW w:type="pct" w:w="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DEV-1</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تقييمات مبكرة منخفضة تفسد الانطباع الأول</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متوسط</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عالٍ</w:t>
            </w:r>
          </w:p>
        </w:tc>
        <w:tc>
          <w:tcPr>
            <w:tcW w:type="pct" w:w="13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قناة مغلقة قبل الإنتاج + دعم يومي + رد ≤ 48 ساعة</w:t>
            </w:r>
          </w:p>
        </w:tc>
        <w:tc>
          <w:tcPr>
            <w:tcW w:type="pct" w:w="11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إصدار إصلاح سريع + تواصل مع المراجعين لتعديل التقييم وفق سياستهم</w:t>
            </w:r>
          </w:p>
        </w:tc>
        <w:tc>
          <w:tcPr>
            <w:tcW w:type="pct" w:w="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GRO-1</w:t>
            </w:r>
          </w:p>
        </w:tc>
      </w:tr>
      <w:tr>
        <w:trPr>
          <w:cantSplit/>
        </w:trPr>
        <w:tc>
          <w:tcPr>
            <w:tcW w:type="pct" w:w="12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اعتماد ZATCA خارجي (حسابات/بيانات اعتماد) يتأخر</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متوسط</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متوسط</w:t>
            </w:r>
          </w:p>
        </w:tc>
        <w:tc>
          <w:tcPr>
            <w:tcW w:type="pct" w:w="13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فتح حساب منصة فاتورة sandbox مبكراً (و6) وترتيب داخلي مرن</w:t>
            </w:r>
          </w:p>
        </w:tc>
        <w:tc>
          <w:tcPr>
            <w:tcW w:type="pct" w:w="11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استكمال تحليل الفجوات كاملاً وتأجيل التصديق الفعلي للموجة 2</w:t>
            </w:r>
          </w:p>
        </w:tc>
        <w:tc>
          <w:tcPr>
            <w:tcW w:type="pct" w:w="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CTO</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إذن INTERNET يخالف روح offline-first</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منخفض</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عالٍ</w:t>
            </w:r>
          </w:p>
        </w:tc>
        <w:tc>
          <w:tcPr>
            <w:tcW w:type="pct" w:w="13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طبقة feature-gated معزولة وصفر طلبات افتراضياً وتوثيق شفاف بالسياسة</w:t>
            </w:r>
          </w:p>
        </w:tc>
        <w:tc>
          <w:tcPr>
            <w:tcW w:type="pct" w:w="11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مراجعة أذونات قبل كل إصدار + تعطيل الميزة المعنية فوراً</w:t>
            </w:r>
          </w:p>
        </w:tc>
        <w:tc>
          <w:tcPr>
            <w:tcW w:type="pct" w:w="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DEV-2</w:t>
            </w:r>
          </w:p>
        </w:tc>
      </w:tr>
      <w:tr>
        <w:trPr>
          <w:cantSplit/>
        </w:trPr>
        <w:tc>
          <w:tcPr>
            <w:tcW w:type="pct" w:w="12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توافق أجهزة الذكاء الجهازي محدود</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عالٍ</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منخفض</w:t>
            </w:r>
          </w:p>
        </w:tc>
        <w:tc>
          <w:tcPr>
            <w:tcW w:type="pct" w:w="13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المسار اختياري معطل افتراضياً + مسار إحصائي مستقل كامل</w:t>
            </w:r>
          </w:p>
        </w:tc>
        <w:tc>
          <w:tcPr>
            <w:tcW w:type="pct" w:w="11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الاكتفاء بالمسار الإحصائي وتوسيع قائمة الأجهزة المرجعية تدريجياً</w:t>
            </w:r>
          </w:p>
        </w:tc>
        <w:tc>
          <w:tcPr>
            <w:tcW w:type="pct" w:w="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DEV-2</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تعقيد RBAC والفروع على مخطط ناضج</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متوسط</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متوسط</w:t>
            </w:r>
          </w:p>
        </w:tc>
        <w:tc>
          <w:tcPr>
            <w:tcW w:type="pct" w:w="13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تصميم فقط هذا الربع + TDD مالي أولاً + ترحيل ذرّي بالنمط المجرب v10→v12</w:t>
            </w:r>
          </w:p>
        </w:tc>
        <w:tc>
          <w:tcPr>
            <w:tcW w:type="pct" w:w="11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تقسيم الترحيل v13 إلى موجات فرعية أصغر</w:t>
            </w:r>
          </w:p>
        </w:tc>
        <w:tc>
          <w:tcPr>
            <w:tcW w:type="pct" w:w="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DEV-1</w:t>
            </w:r>
          </w:p>
        </w:tc>
      </w:tr>
      <w:tr>
        <w:trPr>
          <w:cantSplit/>
        </w:trPr>
        <w:tc>
          <w:tcPr>
            <w:tcW w:type="pct" w:w="12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ضغط ذاكرة بيئة البناء (4GB) يبطئ الإيقاع</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متوسط</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متوسط</w:t>
            </w:r>
          </w:p>
        </w:tc>
        <w:tc>
          <w:tcPr>
            <w:tcW w:type="pct" w:w="13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خبرة موثقة: jvmargs مؤقتة وبناء release بلا daemon إضافي</w:t>
            </w:r>
          </w:p>
        </w:tc>
        <w:tc>
          <w:tcPr>
            <w:tcW w:type="pct" w:w="11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ترقية RAM لبيئة البناء (من احتياطي الطوارئ)</w:t>
            </w:r>
          </w:p>
        </w:tc>
        <w:tc>
          <w:tcPr>
            <w:tcW w:type="pct" w:w="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DEV-1</w:t>
            </w:r>
          </w:p>
        </w:tc>
      </w:tr>
      <w:tr>
        <w:trPr>
          <w:cantSplit/>
        </w:trPr>
        <w:tc>
          <w:tcPr>
            <w:tcW w:type="pct" w:w="12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تركز المعرفة في فرد واحد</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متوسط</w:t>
            </w:r>
          </w:p>
        </w:tc>
        <w:tc>
          <w:tcPr>
            <w:tcW w:type="pct" w:w="4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عالٍ</w:t>
            </w:r>
          </w:p>
        </w:tc>
        <w:tc>
          <w:tcPr>
            <w:tcW w:type="pct" w:w="13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توثيق إجباري في كل PR + دفاتر تشغيل + مراجعات متقاطعة</w:t>
            </w:r>
          </w:p>
        </w:tc>
        <w:tc>
          <w:tcPr>
            <w:tcW w:type="pct" w:w="11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أولوية نقل معرفة أسبوعية قبل أي غياب متوقع</w:t>
            </w:r>
          </w:p>
        </w:tc>
        <w:tc>
          <w:tcPr>
            <w:tcW w:type="pct" w:w="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CTO</w:t>
            </w:r>
          </w:p>
        </w:tc>
      </w:tr>
      <w:tr>
        <w:trPr>
          <w:cantSplit/>
        </w:trPr>
        <w:tc>
          <w:tcPr>
            <w:tcW w:type="pct" w:w="12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فقدان أو إتلاف مفتاح التوقيع</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منخفض</w:t>
            </w:r>
          </w:p>
        </w:tc>
        <w:tc>
          <w:tcPr>
            <w:tcW w:type="pct" w:w="4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عالٍ</w:t>
            </w:r>
          </w:p>
        </w:tc>
        <w:tc>
          <w:tcPr>
            <w:tcW w:type="pct" w:w="13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نسخ مفتاح موثقة: GitHub Release الخاص + نسخة محلية + ملف تعليمات استعادة بكلمة المرور</w:t>
            </w:r>
          </w:p>
        </w:tc>
        <w:tc>
          <w:tcPr>
            <w:tcW w:type="pct" w:w="11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لن يُفقد: ثلاث نسخ؛ وإلا التسجيل في Play App Signing بديلاً معتمداً</w:t>
            </w:r>
          </w:p>
        </w:tc>
        <w:tc>
          <w:tcPr>
            <w:tcW w:type="pct" w:w="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8"/>
                <w:szCs w:val="18"/>
                <w:rtl/>
              </w:rPr>
              <w:t xml:space="preserve">CTO</w:t>
            </w:r>
          </w:p>
        </w:tc>
      </w:tr>
    </w:tbl>
    <w:p>
      <w:pPr>
        <w:pStyle w:val="Heading2"/>
        <w:keepNext/>
        <w:bidi/>
        <w:spacing w:after="130" w:before="280" w:line="340" w:lineRule="atLeast"/>
        <w:jc w:val="start"/>
      </w:pPr>
      <w:bookmarkStart w:id="100032" w:name="_Toc100032"/>
      <w:r>
        <w:rPr>
          <w:rFonts w:ascii="Segoe UI" w:cs="Cairo" w:eastAsia="Segoe UI" w:hAnsi="Segoe UI"/>
          <w:b/>
          <w:bCs/>
          <w:i w:val="false"/>
          <w:iCs w:val="false"/>
          <w:color w:val="6D28D9"/>
          <w:sz w:val="28"/>
          <w:szCs w:val="28"/>
          <w:rtl/>
        </w:rPr>
        <w:t xml:space="preserve">10.1 سجل الفرص</w:t>
      </w:r>
      <w:bookmarkEnd w:id="100032"/>
    </w:p>
    <w:p>
      <w:pPr>
        <w:bidi/>
        <w:spacing w:after="140" w:before="0" w:line="312"/>
        <w:jc w:val="start"/>
      </w:pPr>
      <w:r>
        <w:rPr>
          <w:rFonts w:ascii="Segoe UI" w:cs="Cairo" w:eastAsia="Segoe UI" w:hAnsi="Segoe UI"/>
          <w:b w:val="false"/>
          <w:i w:val="false"/>
          <w:iCs w:val="false"/>
          <w:color w:val="000000"/>
          <w:sz w:val="24"/>
          <w:szCs w:val="24"/>
          <w:rtl/>
        </w:rPr>
        <w:t xml:space="preserve">الاحتراف يدير الاتجاهين: فبالتوازي مع المخاطر تُرصد أربع فرص واقعية لهذا الربع، لكل منها مُبادِر ومؤشر ظهور. أولاً: إذا تجاوز التقييم 4.7 خلال الشهر الأول فالفرصة هي التقدم لأهلية برامج الظهور والتوصيات في Play (مثل مسارات الجودة للمطورين) — يتابعها GRO-1 عبر لوحة Play. ثانياً: مجموعات التاجر الحقيقية (مقاهٍ وبقالات قريبة) قد تتحول من مختبرين إلى قصص نجاح موثقة تُستخدم في ASO والمحتوى — يوثقها GRO-1 بموافقة أصحابها. ثالثاً: بيانات التحويل الحقيقية قد تكشف شريحة سعرية أو حزمة Pro أفضل (مثل تجميع أبواب مستقبلية) تُعتمد في مذكرة التسعير دون انتظار الموجة الثانية. رابعاً: مجتمع التيليجرام للمنتج قد ينمو إلى قناة دعم استباقية تخفض أحمال الدعم وتكرر رسائل القيمة — يُقاس بعدد الأعضاء النشطين وزمن الإجابة المجتمعي.</w:t>
      </w:r>
    </w:p>
    <w:p>
      <w:pPr>
        <w:pStyle w:val="Heading1"/>
        <w:keepNext/>
        <w:pBdr>
          <w:bottom w:val="single" w:color="8B5CF6" w:sz="6" w:space="6"/>
        </w:pBdr>
        <w:bidi/>
        <w:spacing w:after="180" w:before="400" w:line="380" w:lineRule="atLeast"/>
        <w:jc w:val="start"/>
      </w:pPr>
      <w:bookmarkStart w:id="100033" w:name="_Toc100033"/>
      <w:r>
        <w:rPr>
          <w:rFonts w:ascii="Segoe UI" w:cs="Cairo" w:eastAsia="Segoe UI" w:hAnsi="Segoe UI"/>
          <w:b/>
          <w:bCs/>
          <w:i w:val="false"/>
          <w:iCs w:val="false"/>
          <w:color w:val="6D28D9"/>
          <w:sz w:val="32"/>
          <w:szCs w:val="32"/>
          <w:rtl/>
        </w:rPr>
        <w:t xml:space="preserve">11. </w:t>
      </w:r>
      <w:r>
        <w:rPr>
          <w:rFonts w:ascii="Segoe UI" w:cs="Cairo" w:eastAsia="Segoe UI" w:hAnsi="Segoe UI"/>
          <w:b/>
          <w:bCs/>
          <w:i w:val="false"/>
          <w:iCs w:val="false"/>
          <w:color w:val="0B1026"/>
          <w:sz w:val="32"/>
          <w:szCs w:val="32"/>
          <w:rtl/>
        </w:rPr>
        <w:t xml:space="preserve">مؤشرات الأداء والإيقاع التشغيلي</w:t>
      </w:r>
      <w:bookmarkEnd w:id="100033"/>
    </w:p>
    <w:p>
      <w:pPr>
        <w:bidi/>
        <w:spacing w:after="140" w:before="0" w:line="312"/>
        <w:jc w:val="start"/>
      </w:pPr>
      <w:r>
        <w:rPr>
          <w:rFonts w:ascii="Segoe UI" w:cs="Cairo" w:eastAsia="Segoe UI" w:hAnsi="Segoe UI"/>
          <w:b w:val="false"/>
          <w:i w:val="false"/>
          <w:iCs w:val="false"/>
          <w:color w:val="000000"/>
          <w:sz w:val="24"/>
          <w:szCs w:val="24"/>
          <w:rtl/>
        </w:rPr>
        <w:t xml:space="preserve">لوحة المؤشرات ثلاثية الطبقات تجعل حالة المرحلة قابلة للقراءة في ثلاث دقائق: طبقة تقنية تُقاس من CI والمستودع والجهاز المرجعي، وطبقة تجارية تُقاس من Play Console، وطبقة تشغيلية تُقاس من أدوات الفريق نفسها. وقد اقتُصر على مؤشرات لها مصدر بيانات حقيقي مضمون في هذا الربع — فلا مؤشر بلا مصدر، ولا هدف بلا مالك. وتُقرأ اللوحة في الطقس الأسبوعي كل أحد، ويُصدر عنها تقرير أسبوعي وفق قالب الملحق (أ)، وفي نهاية المرحلة تُجمّد الأرقام في تقرير KPIs البوابي وفق المعيار الدائم السادس.</w:t>
      </w:r>
    </w:p>
    <w:p>
      <w:pPr>
        <w:keepNext/>
        <w:bidi/>
        <w:spacing w:after="90" w:before="160" w:line="300"/>
        <w:jc w:val="start"/>
      </w:pPr>
      <w:r>
        <w:rPr>
          <w:rFonts w:ascii="Segoe UI" w:cs="Cairo" w:eastAsia="Segoe UI" w:hAnsi="Segoe UI"/>
          <w:b/>
          <w:bCs/>
          <w:i w:val="false"/>
          <w:iCs w:val="false"/>
          <w:color w:val="5A6080"/>
          <w:sz w:val="21"/>
          <w:szCs w:val="21"/>
          <w:rtl/>
        </w:rPr>
        <w:t xml:space="preserve">جدول 15: الطبقة التقنية — مصدرها CI والمستودع والجهاز المرجعي</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2988"/>
        <w:gridCol w:w="1933"/>
        <w:gridCol w:w="2461"/>
        <w:gridCol w:w="1406"/>
      </w:tblGrid>
      <w:tr>
        <w:trPr>
          <w:cantSplit/>
          <w:tblHeader/>
        </w:trPr>
        <w:tc>
          <w:tcPr>
            <w:tcW w:type="pct" w:w="17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المؤشر</w:t>
            </w:r>
          </w:p>
        </w:tc>
        <w:tc>
          <w:tcPr>
            <w:tcW w:type="pct" w:w="11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الأساس الحالي</w:t>
            </w:r>
          </w:p>
        </w:tc>
        <w:tc>
          <w:tcPr>
            <w:tcW w:type="pct" w:w="14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هدف نهاية المرحلة</w:t>
            </w:r>
          </w:p>
        </w:tc>
        <w:tc>
          <w:tcPr>
            <w:tcW w:type="pct" w:w="8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المالك</w:t>
            </w:r>
          </w:p>
        </w:tc>
      </w:tr>
      <w:tr>
        <w:trPr>
          <w:cantSplit/>
        </w:trPr>
        <w:tc>
          <w:tcPr>
            <w:tcW w:type="pct" w:w="17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اختبارات وحدة خضراء</w:t>
            </w:r>
          </w:p>
        </w:tc>
        <w:tc>
          <w:tcPr>
            <w:tcW w:type="pct" w:w="11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1444</w:t>
            </w:r>
          </w:p>
        </w:tc>
        <w:tc>
          <w:tcPr>
            <w:tcW w:type="pct" w:w="14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000000"/>
                <w:sz w:val="21"/>
                <w:szCs w:val="21"/>
                <w:rtl/>
              </w:rPr>
              <w:t xml:space="preserve">≥ 1600</w:t>
            </w:r>
          </w:p>
        </w:tc>
        <w:tc>
          <w:tcPr>
            <w:tcW w:type="pct" w:w="8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QA-1</w:t>
            </w:r>
          </w:p>
        </w:tc>
      </w:tr>
      <w:tr>
        <w:trPr>
          <w:cantSplit/>
        </w:trPr>
        <w:tc>
          <w:tcPr>
            <w:tcW w:type="pct" w:w="17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تطابق السلاسل عربي/إنجليزي</w:t>
            </w:r>
          </w:p>
        </w:tc>
        <w:tc>
          <w:tcPr>
            <w:tcW w:type="pct" w:w="11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2235 = 2235</w:t>
            </w:r>
          </w:p>
        </w:tc>
        <w:tc>
          <w:tcPr>
            <w:tcW w:type="pct" w:w="14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مطابقة دائمة (وأعلى)</w:t>
            </w:r>
          </w:p>
        </w:tc>
        <w:tc>
          <w:tcPr>
            <w:tcW w:type="pct" w:w="8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CI</w:t>
            </w:r>
          </w:p>
        </w:tc>
      </w:tr>
      <w:tr>
        <w:trPr>
          <w:cantSplit/>
        </w:trPr>
        <w:tc>
          <w:tcPr>
            <w:tcW w:type="pct" w:w="17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CI الأخضر على مصفوفة JDK 17/21</w:t>
            </w:r>
          </w:p>
        </w:tc>
        <w:tc>
          <w:tcPr>
            <w:tcW w:type="pct" w:w="11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أخضر</w:t>
            </w:r>
          </w:p>
        </w:tc>
        <w:tc>
          <w:tcPr>
            <w:tcW w:type="pct" w:w="14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أخضر بلا استثناءات</w:t>
            </w:r>
          </w:p>
        </w:tc>
        <w:tc>
          <w:tcPr>
            <w:tcW w:type="pct" w:w="8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DEV-1</w:t>
            </w:r>
          </w:p>
        </w:tc>
      </w:tr>
      <w:tr>
        <w:trPr>
          <w:cantSplit/>
        </w:trPr>
        <w:tc>
          <w:tcPr>
            <w:tcW w:type="pct" w:w="17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Crash-free (من Vitals بعد النشر)</w:t>
            </w:r>
          </w:p>
        </w:tc>
        <w:tc>
          <w:tcPr>
            <w:tcW w:type="pct" w:w="11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w:t>
            </w:r>
          </w:p>
        </w:tc>
        <w:tc>
          <w:tcPr>
            <w:tcW w:type="pct" w:w="14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 99.8%</w:t>
            </w:r>
          </w:p>
        </w:tc>
        <w:tc>
          <w:tcPr>
            <w:tcW w:type="pct" w:w="8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QA-1</w:t>
            </w:r>
          </w:p>
        </w:tc>
      </w:tr>
      <w:tr>
        <w:trPr>
          <w:cantSplit/>
        </w:trPr>
        <w:tc>
          <w:tcPr>
            <w:tcW w:type="pct" w:w="17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ANR ومؤشر Bad behavior</w:t>
            </w:r>
          </w:p>
        </w:tc>
        <w:tc>
          <w:tcPr>
            <w:tcW w:type="pct" w:w="11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w:t>
            </w:r>
          </w:p>
        </w:tc>
        <w:tc>
          <w:tcPr>
            <w:tcW w:type="pct" w:w="14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صفر Bad behavior</w:t>
            </w:r>
          </w:p>
        </w:tc>
        <w:tc>
          <w:tcPr>
            <w:tcW w:type="pct" w:w="8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DEV-1</w:t>
            </w:r>
          </w:p>
        </w:tc>
      </w:tr>
      <w:tr>
        <w:trPr>
          <w:cantSplit/>
        </w:trPr>
        <w:tc>
          <w:tcPr>
            <w:tcW w:type="pct" w:w="17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زمن الإقلاع الدافئ (جهاز مرجعي)</w:t>
            </w:r>
          </w:p>
        </w:tc>
        <w:tc>
          <w:tcPr>
            <w:tcW w:type="pct" w:w="11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baseline و3–4</w:t>
            </w:r>
          </w:p>
        </w:tc>
        <w:tc>
          <w:tcPr>
            <w:tcW w:type="pct" w:w="14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 baseline أو أفضل</w:t>
            </w:r>
          </w:p>
        </w:tc>
        <w:tc>
          <w:tcPr>
            <w:tcW w:type="pct" w:w="8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QA-1</w:t>
            </w:r>
          </w:p>
        </w:tc>
      </w:tr>
    </w:tbl>
    <w:p>
      <w:pPr>
        <w:keepNext/>
        <w:bidi/>
        <w:spacing w:after="90" w:before="160" w:line="300"/>
        <w:jc w:val="start"/>
      </w:pPr>
      <w:r>
        <w:rPr>
          <w:rFonts w:ascii="Segoe UI" w:cs="Cairo" w:eastAsia="Segoe UI" w:hAnsi="Segoe UI"/>
          <w:b/>
          <w:bCs/>
          <w:i w:val="false"/>
          <w:iCs w:val="false"/>
          <w:color w:val="5A6080"/>
          <w:sz w:val="21"/>
          <w:szCs w:val="21"/>
          <w:rtl/>
        </w:rPr>
        <w:t xml:space="preserve">جدول 16: الطبقة التجارية — مصدرها Play Console (أهداف 60 يوماً من النشر المعتمدة)</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4042"/>
        <w:gridCol w:w="2812"/>
        <w:gridCol w:w="1933"/>
      </w:tblGrid>
      <w:tr>
        <w:trPr>
          <w:cantSplit/>
          <w:tblHeader/>
        </w:trPr>
        <w:tc>
          <w:tcPr>
            <w:tcW w:type="pct" w:w="23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المؤشر</w:t>
            </w:r>
          </w:p>
        </w:tc>
        <w:tc>
          <w:tcPr>
            <w:tcW w:type="pct" w:w="16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الهدف المعتمد</w:t>
            </w:r>
          </w:p>
        </w:tc>
        <w:tc>
          <w:tcPr>
            <w:tcW w:type="pct" w:w="11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المالك</w:t>
            </w:r>
          </w:p>
        </w:tc>
      </w:tr>
      <w:tr>
        <w:trPr>
          <w:cantSplit/>
        </w:trPr>
        <w:tc>
          <w:tcPr>
            <w:tcW w:type="pct" w:w="23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تقييم المتجر</w:t>
            </w:r>
          </w:p>
        </w:tc>
        <w:tc>
          <w:tcPr>
            <w:tcW w:type="pct" w:w="16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000000"/>
                <w:sz w:val="21"/>
                <w:szCs w:val="21"/>
                <w:rtl/>
              </w:rPr>
              <w:t xml:space="preserve">≥ 4.5 نجوم</w:t>
            </w:r>
          </w:p>
        </w:tc>
        <w:tc>
          <w:tcPr>
            <w:tcW w:type="pct" w:w="11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GRO-1</w:t>
            </w:r>
          </w:p>
        </w:tc>
      </w:tr>
      <w:tr>
        <w:trPr>
          <w:cantSplit/>
        </w:trPr>
        <w:tc>
          <w:tcPr>
            <w:tcW w:type="pct" w:w="23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الأجهزة النشطة</w:t>
            </w:r>
          </w:p>
        </w:tc>
        <w:tc>
          <w:tcPr>
            <w:tcW w:type="pct" w:w="16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 500</w:t>
            </w:r>
          </w:p>
        </w:tc>
        <w:tc>
          <w:tcPr>
            <w:tcW w:type="pct" w:w="11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GRO-1</w:t>
            </w:r>
          </w:p>
        </w:tc>
      </w:tr>
      <w:tr>
        <w:trPr>
          <w:cantSplit/>
        </w:trPr>
        <w:tc>
          <w:tcPr>
            <w:tcW w:type="pct" w:w="23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مختبرو القناة المغلقة</w:t>
            </w:r>
          </w:p>
        </w:tc>
        <w:tc>
          <w:tcPr>
            <w:tcW w:type="pct" w:w="16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50 (نشط ≥ 30)</w:t>
            </w:r>
          </w:p>
        </w:tc>
        <w:tc>
          <w:tcPr>
            <w:tcW w:type="pct" w:w="11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GRO-1</w:t>
            </w:r>
          </w:p>
        </w:tc>
      </w:tr>
      <w:tr>
        <w:trPr>
          <w:cantSplit/>
        </w:trPr>
        <w:tc>
          <w:tcPr>
            <w:tcW w:type="pct" w:w="23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تحويل Pro</w:t>
            </w:r>
          </w:p>
        </w:tc>
        <w:tc>
          <w:tcPr>
            <w:tcW w:type="pct" w:w="16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 2% (هدف مستقر ≥ 3%)</w:t>
            </w:r>
          </w:p>
        </w:tc>
        <w:tc>
          <w:tcPr>
            <w:tcW w:type="pct" w:w="11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CTO</w:t>
            </w:r>
          </w:p>
        </w:tc>
      </w:tr>
      <w:tr>
        <w:trPr>
          <w:cantSplit/>
        </w:trPr>
        <w:tc>
          <w:tcPr>
            <w:tcW w:type="pct" w:w="23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مراجعات بلا رد</w:t>
            </w:r>
          </w:p>
        </w:tc>
        <w:tc>
          <w:tcPr>
            <w:tcW w:type="pct" w:w="16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000000"/>
                <w:sz w:val="21"/>
                <w:szCs w:val="21"/>
                <w:rtl/>
              </w:rPr>
              <w:t xml:space="preserve">صفر (رد ≤ 48 ساعة)</w:t>
            </w:r>
          </w:p>
        </w:tc>
        <w:tc>
          <w:tcPr>
            <w:tcW w:type="pct" w:w="11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GRO-1</w:t>
            </w:r>
          </w:p>
        </w:tc>
      </w:tr>
      <w:tr>
        <w:trPr>
          <w:cantSplit/>
        </w:trPr>
        <w:tc>
          <w:tcPr>
            <w:tcW w:type="pct" w:w="23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نية الدفع لدى المختبرين</w:t>
            </w:r>
          </w:p>
        </w:tc>
        <w:tc>
          <w:tcPr>
            <w:tcW w:type="pct" w:w="16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 80% «سأدفع/ربما»</w:t>
            </w:r>
          </w:p>
        </w:tc>
        <w:tc>
          <w:tcPr>
            <w:tcW w:type="pct" w:w="11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CTO</w:t>
            </w:r>
          </w:p>
        </w:tc>
      </w:tr>
    </w:tbl>
    <w:p>
      <w:pPr>
        <w:keepNext/>
        <w:bidi/>
        <w:spacing w:after="90" w:before="160" w:line="300"/>
        <w:jc w:val="start"/>
      </w:pPr>
      <w:r>
        <w:rPr>
          <w:rFonts w:ascii="Segoe UI" w:cs="Cairo" w:eastAsia="Segoe UI" w:hAnsi="Segoe UI"/>
          <w:b/>
          <w:bCs/>
          <w:i w:val="false"/>
          <w:iCs w:val="false"/>
          <w:color w:val="5A6080"/>
          <w:sz w:val="21"/>
          <w:szCs w:val="21"/>
          <w:rtl/>
        </w:rPr>
        <w:t xml:space="preserve">جدول 17: الطبقة التشغيلية — مصدرها أدوات الفريق</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4042"/>
        <w:gridCol w:w="2812"/>
        <w:gridCol w:w="1933"/>
      </w:tblGrid>
      <w:tr>
        <w:trPr>
          <w:cantSplit/>
          <w:tblHeader/>
        </w:trPr>
        <w:tc>
          <w:tcPr>
            <w:tcW w:type="pct" w:w="23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المؤشر</w:t>
            </w:r>
          </w:p>
        </w:tc>
        <w:tc>
          <w:tcPr>
            <w:tcW w:type="pct" w:w="16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الهدف</w:t>
            </w:r>
          </w:p>
        </w:tc>
        <w:tc>
          <w:tcPr>
            <w:tcW w:type="pct" w:w="11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المالك</w:t>
            </w:r>
          </w:p>
        </w:tc>
      </w:tr>
      <w:tr>
        <w:trPr>
          <w:cantSplit/>
        </w:trPr>
        <w:tc>
          <w:tcPr>
            <w:tcW w:type="pct" w:w="23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زمن استجابة خلل P0</w:t>
            </w:r>
          </w:p>
        </w:tc>
        <w:tc>
          <w:tcPr>
            <w:tcW w:type="pct" w:w="16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&lt; 24 ساعة (إصلاح أو ترويض)</w:t>
            </w:r>
          </w:p>
        </w:tc>
        <w:tc>
          <w:tcPr>
            <w:tcW w:type="pct" w:w="11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DEV-1</w:t>
            </w:r>
          </w:p>
        </w:tc>
      </w:tr>
      <w:tr>
        <w:trPr>
          <w:cantSplit/>
        </w:trPr>
        <w:tc>
          <w:tcPr>
            <w:tcW w:type="pct" w:w="23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التقارير الأسبوعية المنشورة</w:t>
            </w:r>
          </w:p>
        </w:tc>
        <w:tc>
          <w:tcPr>
            <w:tcW w:type="pct" w:w="16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12 من 12 (كل أحد)</w:t>
            </w:r>
          </w:p>
        </w:tc>
        <w:tc>
          <w:tcPr>
            <w:tcW w:type="pct" w:w="11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CTO</w:t>
            </w:r>
          </w:p>
        </w:tc>
      </w:tr>
      <w:tr>
        <w:trPr>
          <w:cantSplit/>
        </w:trPr>
        <w:tc>
          <w:tcPr>
            <w:tcW w:type="pct" w:w="23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دورات ملاحظات المختبرين</w:t>
            </w:r>
          </w:p>
        </w:tc>
        <w:tc>
          <w:tcPr>
            <w:tcW w:type="pct" w:w="16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أسبوعية متواصلة (و5 حتى و12)</w:t>
            </w:r>
          </w:p>
        </w:tc>
        <w:tc>
          <w:tcPr>
            <w:tcW w:type="pct" w:w="11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QA-1</w:t>
            </w:r>
          </w:p>
        </w:tc>
      </w:tr>
      <w:tr>
        <w:trPr>
          <w:cantSplit/>
        </w:trPr>
        <w:tc>
          <w:tcPr>
            <w:tcW w:type="pct" w:w="23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اكتمال بوابات M1–M6 في موعدها</w:t>
            </w:r>
          </w:p>
        </w:tc>
        <w:tc>
          <w:tcPr>
            <w:tcW w:type="pct" w:w="16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6 من 6</w:t>
            </w:r>
          </w:p>
        </w:tc>
        <w:tc>
          <w:tcPr>
            <w:tcW w:type="pct" w:w="11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21"/>
                <w:szCs w:val="21"/>
                <w:rtl/>
              </w:rPr>
              <w:t xml:space="preserve">CTO</w:t>
            </w:r>
          </w:p>
        </w:tc>
      </w:tr>
    </w:tbl>
    <w:p>
      <w:pPr>
        <w:pStyle w:val="Heading2"/>
        <w:keepNext/>
        <w:bidi/>
        <w:spacing w:after="130" w:before="280" w:line="340" w:lineRule="atLeast"/>
        <w:jc w:val="start"/>
      </w:pPr>
      <w:bookmarkStart w:id="100034" w:name="_Toc100034"/>
      <w:r>
        <w:rPr>
          <w:rFonts w:ascii="Segoe UI" w:cs="Cairo" w:eastAsia="Segoe UI" w:hAnsi="Segoe UI"/>
          <w:b/>
          <w:bCs/>
          <w:i w:val="false"/>
          <w:iCs w:val="false"/>
          <w:color w:val="6D28D9"/>
          <w:sz w:val="28"/>
          <w:szCs w:val="28"/>
          <w:rtl/>
        </w:rPr>
        <w:t xml:space="preserve">11.1 الإيقاع التشغيلي اليومي والأسبوعي</w:t>
      </w:r>
      <w:bookmarkEnd w:id="100034"/>
    </w:p>
    <w:p>
      <w:pPr>
        <w:bidi/>
        <w:spacing w:after="140" w:before="0" w:line="312"/>
        <w:jc w:val="start"/>
      </w:pPr>
      <w:r>
        <w:rPr>
          <w:rFonts w:ascii="Segoe UI" w:cs="Cairo" w:eastAsia="Segoe UI" w:hAnsi="Segoe UI"/>
          <w:b w:val="false"/>
          <w:i w:val="false"/>
          <w:iCs w:val="false"/>
          <w:color w:val="000000"/>
          <w:sz w:val="24"/>
          <w:szCs w:val="24"/>
          <w:rtl/>
        </w:rPr>
        <w:t xml:space="preserve">تسير العمليات على ثلاث سرعات ثابتة. يومياً: فحص المراجعات الجديدة والرد خلال 48 ساعة كحد أقصى (وفي الشهر الأول مراجعة صباحية ومسائية)، ومتابعة تنبيهات P0 فور ظهورها، وحضور المراجعة اليومية القصيرة. أسبوعياً: يوم الأحد يُقرأ تقرير الأسبوع من اللوحة الثلاثية ويُقفل بأربع قرارات موثقة (ما نزيد، ما نوقف، ما نؤجل، ما نرفع لمخاطر)، ويُشغَّل ملف Play Console وفق تسلسل دفتر الإطلاق المعتمد: المنتج ثم القنوات الثلاث ثم نماذج الامتثال ثم الأصول ثم القناة المغلقة بعتباتها ثم الترقية التدريجية — بلا ابتكار عفوي خارج الدفتر. شهرياً: نظرة أمان وامتثال كاملة (أذونات، سياسات، مفتاح التوقيع) ومراجعة ميزانية معايرة بالفواتير الفعلية. وهذا الإيقاع هو نفسه الذي ينقل الفريق بأمان من «موجة تطوير» إلى «منتج حي يُدار»، وهو أهم أصل غير مادي تخرج به المرحلة.</w:t>
      </w:r>
    </w:p>
    <w:p>
      <w:pPr>
        <w:pStyle w:val="Heading1"/>
        <w:keepNext/>
        <w:pBdr>
          <w:bottom w:val="single" w:color="8B5CF6" w:sz="6" w:space="6"/>
        </w:pBdr>
        <w:bidi/>
        <w:spacing w:after="180" w:before="400" w:line="380" w:lineRule="atLeast"/>
        <w:jc w:val="start"/>
      </w:pPr>
      <w:bookmarkStart w:id="100035" w:name="_Toc100035"/>
      <w:r>
        <w:rPr>
          <w:rFonts w:ascii="Segoe UI" w:cs="Cairo" w:eastAsia="Segoe UI" w:hAnsi="Segoe UI"/>
          <w:b/>
          <w:bCs/>
          <w:i w:val="false"/>
          <w:iCs w:val="false"/>
          <w:color w:val="6D28D9"/>
          <w:sz w:val="32"/>
          <w:szCs w:val="32"/>
          <w:rtl/>
        </w:rPr>
        <w:t xml:space="preserve">12. </w:t>
      </w:r>
      <w:r>
        <w:rPr>
          <w:rFonts w:ascii="Segoe UI" w:cs="Cairo" w:eastAsia="Segoe UI" w:hAnsi="Segoe UI"/>
          <w:b/>
          <w:bCs/>
          <w:i w:val="false"/>
          <w:iCs w:val="false"/>
          <w:color w:val="0B1026"/>
          <w:sz w:val="32"/>
          <w:szCs w:val="32"/>
          <w:rtl/>
        </w:rPr>
        <w:t xml:space="preserve">معايير القبول النهائية وبوابة الانتقال إلى الموجة 2</w:t>
      </w:r>
      <w:bookmarkEnd w:id="100035"/>
    </w:p>
    <w:p>
      <w:pPr>
        <w:bidi/>
        <w:spacing w:after="140" w:before="0" w:line="312"/>
        <w:jc w:val="start"/>
      </w:pPr>
      <w:r>
        <w:rPr>
          <w:rFonts w:ascii="Segoe UI" w:cs="Cairo" w:eastAsia="Segoe UI" w:hAnsi="Segoe UI"/>
          <w:b w:val="false"/>
          <w:i w:val="false"/>
          <w:iCs w:val="false"/>
          <w:color w:val="000000"/>
          <w:sz w:val="24"/>
          <w:szCs w:val="24"/>
          <w:rtl/>
        </w:rPr>
        <w:t xml:space="preserve">تُقفل المرحلة ببوابة خروج واحدة صارمة: اجتماع بوابة M6 في الأسبوع الثاني عشر يراجع المعايير الثمانية عشر التالية وحدة وحدة، ويصدر محضراً يصنف كل معيار «مستوفى / مستوفى باستثناء موثق / غير مستوفى». وقاعدة الحكم: الانتقال للموجة الثانية يُعلن فقط إذا استوفى معايير الفقرة الحاسمة كلها (التقنية 1–6 والتجارية 1–3)، أما الاستثناءات في فئتي التشغيل والتمهيد فتُقبل بتصحيح مؤرخ لا يتجاوز أسبوعين داخل الشهر الأول للموجة الثانية. وبهذا لا يعني «انتهاء المرحلة» توقف العمل، بل انتقال الانضباط نفسه إلى موجة الامتثال والتكامل.</w:t>
      </w:r>
    </w:p>
    <w:p>
      <w:pPr>
        <w:keepNext/>
        <w:bidi/>
        <w:spacing w:after="90" w:before="160" w:line="300"/>
        <w:jc w:val="start"/>
      </w:pPr>
      <w:r>
        <w:rPr>
          <w:rFonts w:ascii="Segoe UI" w:cs="Cairo" w:eastAsia="Segoe UI" w:hAnsi="Segoe UI"/>
          <w:b/>
          <w:bCs/>
          <w:i w:val="false"/>
          <w:iCs w:val="false"/>
          <w:color w:val="5A6080"/>
          <w:sz w:val="21"/>
          <w:szCs w:val="21"/>
          <w:rtl/>
        </w:rPr>
        <w:t xml:space="preserve">جدول 18: معايير خروج المرحلة الثمانية عشر</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615"/>
        <w:gridCol w:w="4394"/>
        <w:gridCol w:w="3779"/>
      </w:tblGrid>
      <w:tr>
        <w:trPr>
          <w:cantSplit/>
          <w:tblHeader/>
        </w:trPr>
        <w:tc>
          <w:tcPr>
            <w:tcW w:type="pct" w:w="3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w:t>
            </w:r>
          </w:p>
        </w:tc>
        <w:tc>
          <w:tcPr>
            <w:tcW w:type="pct" w:w="25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المعيار</w:t>
            </w:r>
          </w:p>
        </w:tc>
        <w:tc>
          <w:tcPr>
            <w:tcW w:type="pct" w:w="21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الدليل القابل للفحص</w:t>
            </w:r>
          </w:p>
        </w:tc>
      </w:tr>
      <w:tr>
        <w:trPr>
          <w:cantSplit/>
        </w:trPr>
        <w:tc>
          <w:tcPr>
            <w:tcW w:type="pct" w:w="350"/>
            <w:shd w:fill="EDE9FE"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6D28D9"/>
                <w:sz w:val="19"/>
                <w:szCs w:val="19"/>
                <w:rtl/>
              </w:rPr>
              <w:t xml:space="preserve">تقنية</w:t>
            </w:r>
          </w:p>
        </w:tc>
        <w:tc>
          <w:tcPr>
            <w:tcW w:type="pct" w:w="2500"/>
            <w:shd w:fill="EDE9FE"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 الفقرة الحاسمة —</w:t>
            </w:r>
          </w:p>
        </w:tc>
        <w:tc>
          <w:tcPr>
            <w:tcW w:type="pct" w:w="2150"/>
            <w:shd w:fill="EDE9FE"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t>
            </w:r>
          </w:p>
        </w:tc>
      </w:tr>
      <w:tr>
        <w:trPr>
          <w:cantSplit/>
        </w:trPr>
        <w:tc>
          <w:tcPr>
            <w:tcW w:type="pct" w:w="3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1</w:t>
            </w:r>
          </w:p>
        </w:tc>
        <w:tc>
          <w:tcPr>
            <w:tcW w:type="pct" w:w="2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النسخة الإنتاجية عامة 100% على Google Play</w:t>
            </w:r>
          </w:p>
        </w:tc>
        <w:tc>
          <w:tcPr>
            <w:tcW w:type="pct" w:w="21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صفحة المتجر عامة + لوحة Play تظهر التوزيع الكامل</w:t>
            </w:r>
          </w:p>
        </w:tc>
      </w:tr>
      <w:tr>
        <w:trPr>
          <w:cantSplit/>
        </w:trPr>
        <w:tc>
          <w:tcPr>
            <w:tcW w:type="pct" w:w="3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2</w:t>
            </w:r>
          </w:p>
        </w:tc>
        <w:tc>
          <w:tcPr>
            <w:tcW w:type="pct" w:w="2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تثبيت تراكبي فوق v1.0 يحفظ كل البيانات</w:t>
            </w:r>
          </w:p>
        </w:tc>
        <w:tc>
          <w:tcPr>
            <w:tcW w:type="pct" w:w="21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اختبار ترقية موثق على جهاز حقيقي (قناة Internal ثم إنتاج)</w:t>
            </w:r>
          </w:p>
        </w:tc>
      </w:tr>
      <w:tr>
        <w:trPr>
          <w:cantSplit/>
        </w:trPr>
        <w:tc>
          <w:tcPr>
            <w:tcW w:type="pct" w:w="3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3</w:t>
            </w:r>
          </w:p>
        </w:tc>
        <w:tc>
          <w:tcPr>
            <w:tcW w:type="pct" w:w="2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CI أخضر: مصفوفة JDK 17/21 + اختبارات + حواجز + lintRelease</w:t>
            </w:r>
          </w:p>
        </w:tc>
        <w:tc>
          <w:tcPr>
            <w:tcW w:type="pct" w:w="21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سجل GitHub Actions للوسم الأخير</w:t>
            </w:r>
          </w:p>
        </w:tc>
      </w:tr>
      <w:tr>
        <w:trPr>
          <w:cantSplit/>
        </w:trPr>
        <w:tc>
          <w:tcPr>
            <w:tcW w:type="pct" w:w="3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4</w:t>
            </w:r>
          </w:p>
        </w:tc>
        <w:tc>
          <w:tcPr>
            <w:tcW w:type="pct" w:w="2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Crash-free ≥ 99.8% وANR دون عتبة Bad behavior</w:t>
            </w:r>
          </w:p>
        </w:tc>
        <w:tc>
          <w:tcPr>
            <w:tcW w:type="pct" w:w="21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لوحة Vitals لآخر 14 يوماً قبل البوابة</w:t>
            </w:r>
          </w:p>
        </w:tc>
      </w:tr>
      <w:tr>
        <w:trPr>
          <w:cantSplit/>
        </w:trPr>
        <w:tc>
          <w:tcPr>
            <w:tcW w:type="pct" w:w="3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5</w:t>
            </w:r>
          </w:p>
        </w:tc>
        <w:tc>
          <w:tcPr>
            <w:tcW w:type="pct" w:w="2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 1600 اختبار وحدة أخضر</w:t>
            </w:r>
          </w:p>
        </w:tc>
        <w:tc>
          <w:tcPr>
            <w:tcW w:type="pct" w:w="21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شجرة الاختبارات + سجل CI</w:t>
            </w:r>
          </w:p>
        </w:tc>
      </w:tr>
      <w:tr>
        <w:trPr>
          <w:cantSplit/>
        </w:trPr>
        <w:tc>
          <w:tcPr>
            <w:tcW w:type="pct" w:w="3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6</w:t>
            </w:r>
          </w:p>
        </w:tc>
        <w:tc>
          <w:tcPr>
            <w:tcW w:type="pct" w:w="2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سلاسل 2235=2235 (وأعلى) وفق فاحص CI</w:t>
            </w:r>
          </w:p>
        </w:tc>
        <w:tc>
          <w:tcPr>
            <w:tcW w:type="pct" w:w="21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سجل الفاحص على الـPR الأخير</w:t>
            </w:r>
          </w:p>
        </w:tc>
      </w:tr>
      <w:tr>
        <w:trPr>
          <w:cantSplit/>
        </w:trPr>
        <w:tc>
          <w:tcPr>
            <w:tcW w:type="pct" w:w="350"/>
            <w:shd w:fill="EDE9FE"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6D28D9"/>
                <w:sz w:val="19"/>
                <w:szCs w:val="19"/>
                <w:rtl/>
              </w:rPr>
              <w:t xml:space="preserve">تجارية</w:t>
            </w:r>
          </w:p>
        </w:tc>
        <w:tc>
          <w:tcPr>
            <w:tcW w:type="pct" w:w="2500"/>
            <w:shd w:fill="EDE9FE" w:val="clear"/>
            <w:tcMar>
              <w:top w:type="dxa" w:w="70"/>
              <w:left w:type="dxa" w:w="100"/>
              <w:bottom w:type="dxa" w:w="70"/>
              <w:right w:type="dxa" w:w="100"/>
            </w:tcMar>
            <w:vAlign w:val="center"/>
          </w:tcPr>
          <w:p>
            <w:pPr>
              <w:bidi/>
              <w:spacing w:line="276"/>
              <w:jc w:val="start"/>
            </w:pPr>
            <w:r>
              <w:rPr>
                <w:rFonts w:ascii="Segoe UI" w:cs="Cairo" w:eastAsia="Segoe UI" w:hAnsi="Segoe UI"/>
                <w:b/>
                <w:bCs/>
                <w:i w:val="false"/>
                <w:iCs w:val="false"/>
                <w:color w:val="000000"/>
                <w:sz w:val="19"/>
                <w:szCs w:val="19"/>
                <w:rtl/>
              </w:rPr>
              <w:t xml:space="preserve">— الفقرة الحاسمة —</w:t>
            </w:r>
          </w:p>
        </w:tc>
        <w:tc>
          <w:tcPr>
            <w:tcW w:type="pct" w:w="2150"/>
            <w:shd w:fill="EDE9FE"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t>
            </w:r>
          </w:p>
        </w:tc>
      </w:tr>
      <w:tr>
        <w:trPr>
          <w:cantSplit/>
        </w:trPr>
        <w:tc>
          <w:tcPr>
            <w:tcW w:type="pct" w:w="3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7</w:t>
            </w:r>
          </w:p>
        </w:tc>
        <w:tc>
          <w:tcPr>
            <w:tcW w:type="pct" w:w="2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تقييم المتجر ≥ 4.5 خلال أول 60 يوماً من النشر</w:t>
            </w:r>
          </w:p>
        </w:tc>
        <w:tc>
          <w:tcPr>
            <w:tcW w:type="pct" w:w="21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لوحة Play Console</w:t>
            </w:r>
          </w:p>
        </w:tc>
      </w:tr>
      <w:tr>
        <w:trPr>
          <w:cantSplit/>
        </w:trPr>
        <w:tc>
          <w:tcPr>
            <w:tcW w:type="pct" w:w="3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8</w:t>
            </w:r>
          </w:p>
        </w:tc>
        <w:tc>
          <w:tcPr>
            <w:tcW w:type="pct" w:w="2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مختبرون حقيقيون: 50 مُدرجاً و≥ 30 نشطاً قبل الإنتاج</w:t>
            </w:r>
          </w:p>
        </w:tc>
        <w:tc>
          <w:tcPr>
            <w:tcW w:type="pct" w:w="21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قائمة المجموعة + بيانات نشاط Play</w:t>
            </w:r>
          </w:p>
        </w:tc>
      </w:tr>
      <w:tr>
        <w:trPr>
          <w:cantSplit/>
        </w:trPr>
        <w:tc>
          <w:tcPr>
            <w:tcW w:type="pct" w:w="3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9</w:t>
            </w:r>
          </w:p>
        </w:tc>
        <w:tc>
          <w:tcPr>
            <w:tcW w:type="pct" w:w="2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أجهزة نشطة ≥ 500 وتحويل Pro ≥ 2%</w:t>
            </w:r>
          </w:p>
        </w:tc>
        <w:tc>
          <w:tcPr>
            <w:tcW w:type="pct" w:w="21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لوحة Play Console (إحصاءات المستخدمين والإيراد)</w:t>
            </w:r>
          </w:p>
        </w:tc>
      </w:tr>
      <w:tr>
        <w:trPr>
          <w:cantSplit/>
        </w:trPr>
        <w:tc>
          <w:tcPr>
            <w:tcW w:type="pct" w:w="3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000000"/>
                <w:sz w:val="19"/>
                <w:szCs w:val="19"/>
                <w:rtl/>
              </w:rPr>
              <w:t xml:space="preserve">تشغيلية</w:t>
            </w:r>
          </w:p>
        </w:tc>
        <w:tc>
          <w:tcPr>
            <w:tcW w:type="pct" w:w="2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t>
            </w:r>
          </w:p>
        </w:tc>
        <w:tc>
          <w:tcPr>
            <w:tcW w:type="pct" w:w="21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t>
            </w:r>
          </w:p>
        </w:tc>
      </w:tr>
      <w:tr>
        <w:trPr>
          <w:cantSplit/>
        </w:trPr>
        <w:tc>
          <w:tcPr>
            <w:tcW w:type="pct" w:w="3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10</w:t>
            </w:r>
          </w:p>
        </w:tc>
        <w:tc>
          <w:tcPr>
            <w:tcW w:type="pct" w:w="2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صفر مراجعة بلا رد خلال آخر 30 يوماً</w:t>
            </w:r>
          </w:p>
        </w:tc>
        <w:tc>
          <w:tcPr>
            <w:tcW w:type="pct" w:w="21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سجل الردود في Play Console</w:t>
            </w:r>
          </w:p>
        </w:tc>
      </w:tr>
      <w:tr>
        <w:trPr>
          <w:cantSplit/>
        </w:trPr>
        <w:tc>
          <w:tcPr>
            <w:tcW w:type="pct" w:w="3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11</w:t>
            </w:r>
          </w:p>
        </w:tc>
        <w:tc>
          <w:tcPr>
            <w:tcW w:type="pct" w:w="2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قائمة المتجر كاملة ثنائية اللغة بأصول v2 الحقيقية</w:t>
            </w:r>
          </w:p>
        </w:tc>
        <w:tc>
          <w:tcPr>
            <w:tcW w:type="pct" w:w="21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لقطات هاتف 8 + لوحي 2 + أيقونة + أوصاف ASO</w:t>
            </w:r>
          </w:p>
        </w:tc>
      </w:tr>
      <w:tr>
        <w:trPr>
          <w:cantSplit/>
        </w:trPr>
        <w:tc>
          <w:tcPr>
            <w:tcW w:type="pct" w:w="3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12</w:t>
            </w:r>
          </w:p>
        </w:tc>
        <w:tc>
          <w:tcPr>
            <w:tcW w:type="pct" w:w="2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نماذج الامتثال الثلاثة مكتملة بلا ملاحظات معلقة</w:t>
            </w:r>
          </w:p>
        </w:tc>
        <w:tc>
          <w:tcPr>
            <w:tcW w:type="pct" w:w="21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شاشة App content في Play Console</w:t>
            </w:r>
          </w:p>
        </w:tc>
      </w:tr>
      <w:tr>
        <w:trPr>
          <w:cantSplit/>
        </w:trPr>
        <w:tc>
          <w:tcPr>
            <w:tcW w:type="pct" w:w="3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13</w:t>
            </w:r>
          </w:p>
        </w:tc>
        <w:tc>
          <w:tcPr>
            <w:tcW w:type="pct" w:w="2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تقارير أسبوعية 12 من 12 ولوحة KPIs بوابية</w:t>
            </w:r>
          </w:p>
        </w:tc>
        <w:tc>
          <w:tcPr>
            <w:tcW w:type="pct" w:w="21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مجلد التقارير في المستودع</w:t>
            </w:r>
          </w:p>
        </w:tc>
      </w:tr>
      <w:tr>
        <w:trPr>
          <w:cantSplit/>
        </w:trPr>
        <w:tc>
          <w:tcPr>
            <w:tcW w:type="pct" w:w="3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000000"/>
                <w:sz w:val="19"/>
                <w:szCs w:val="19"/>
                <w:rtl/>
              </w:rPr>
              <w:t xml:space="preserve">تمهيد الموجة 2</w:t>
            </w:r>
          </w:p>
        </w:tc>
        <w:tc>
          <w:tcPr>
            <w:tcW w:type="pct" w:w="2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t>
            </w:r>
          </w:p>
        </w:tc>
        <w:tc>
          <w:tcPr>
            <w:tcW w:type="pct" w:w="21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w:t>
            </w:r>
          </w:p>
        </w:tc>
      </w:tr>
      <w:tr>
        <w:trPr>
          <w:cantSplit/>
        </w:trPr>
        <w:tc>
          <w:tcPr>
            <w:tcW w:type="pct" w:w="3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14</w:t>
            </w:r>
          </w:p>
        </w:tc>
        <w:tc>
          <w:tcPr>
            <w:tcW w:type="pct" w:w="2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تحليل فجوات ZATCA-2 معتمد بأقدام تقديرية</w:t>
            </w:r>
          </w:p>
        </w:tc>
        <w:tc>
          <w:tcPr>
            <w:tcW w:type="pct" w:w="21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وثيقة الفجوات + محضر اعتماد</w:t>
            </w:r>
          </w:p>
        </w:tc>
      </w:tr>
      <w:tr>
        <w:trPr>
          <w:cantSplit/>
        </w:trPr>
        <w:tc>
          <w:tcPr>
            <w:tcW w:type="pct" w:w="3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15</w:t>
            </w:r>
          </w:p>
        </w:tc>
        <w:tc>
          <w:tcPr>
            <w:tcW w:type="pct" w:w="2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حساب منصة فاتورة sandbox فعال مع CSR/CSID تجريبي</w:t>
            </w:r>
          </w:p>
        </w:tc>
        <w:tc>
          <w:tcPr>
            <w:tcW w:type="pct" w:w="21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بيئة sandbox قابلة للدخول + فاتورة تجريبية مقبولة</w:t>
            </w:r>
          </w:p>
        </w:tc>
      </w:tr>
      <w:tr>
        <w:trPr>
          <w:cantSplit/>
        </w:trPr>
        <w:tc>
          <w:tcPr>
            <w:tcW w:type="pct" w:w="3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16</w:t>
            </w:r>
          </w:p>
        </w:tc>
        <w:tc>
          <w:tcPr>
            <w:tcW w:type="pct" w:w="2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قرار معماري موثق للذكاء المحلي مع PoC بأرقام</w:t>
            </w:r>
          </w:p>
        </w:tc>
        <w:tc>
          <w:tcPr>
            <w:tcW w:type="pct" w:w="21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مذكرة القرار + ملف PoC</w:t>
            </w:r>
          </w:p>
        </w:tc>
      </w:tr>
      <w:tr>
        <w:trPr>
          <w:cantSplit/>
        </w:trPr>
        <w:tc>
          <w:tcPr>
            <w:tcW w:type="pct" w:w="3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17</w:t>
            </w:r>
          </w:p>
        </w:tc>
        <w:tc>
          <w:tcPr>
            <w:tcW w:type="pct" w:w="2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RBAC وخطة ترحيل v12→v13 معتمدتان</w:t>
            </w:r>
          </w:p>
        </w:tc>
        <w:tc>
          <w:tcPr>
            <w:tcW w:type="pct" w:w="21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الوثيقتان في docs/ مع محضر المراجعة</w:t>
            </w:r>
          </w:p>
        </w:tc>
      </w:tr>
      <w:tr>
        <w:trPr>
          <w:cantSplit/>
        </w:trPr>
        <w:tc>
          <w:tcPr>
            <w:tcW w:type="pct" w:w="3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18</w:t>
            </w:r>
          </w:p>
        </w:tc>
        <w:tc>
          <w:tcPr>
            <w:tcW w:type="pct" w:w="2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تقرير KPIs بوابي ومحضر دروس مستفادة منشوران</w:t>
            </w:r>
          </w:p>
        </w:tc>
        <w:tc>
          <w:tcPr>
            <w:tcW w:type="pct" w:w="21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تقرير الربع + محضر M6</w:t>
            </w:r>
          </w:p>
        </w:tc>
      </w:tr>
    </w:tbl>
    <w:p>
      <w:pPr>
        <w:pStyle w:val="Heading2"/>
        <w:keepNext/>
        <w:bidi/>
        <w:spacing w:after="130" w:before="280" w:line="340" w:lineRule="atLeast"/>
        <w:jc w:val="start"/>
      </w:pPr>
      <w:bookmarkStart w:id="100036" w:name="_Toc100036"/>
      <w:r>
        <w:rPr>
          <w:rFonts w:ascii="Segoe UI" w:cs="Cairo" w:eastAsia="Segoe UI" w:hAnsi="Segoe UI"/>
          <w:b/>
          <w:bCs/>
          <w:i w:val="false"/>
          <w:iCs w:val="false"/>
          <w:color w:val="6D28D9"/>
          <w:sz w:val="28"/>
          <w:szCs w:val="28"/>
          <w:rtl/>
        </w:rPr>
        <w:t xml:space="preserve">12.1 بروتوكول التسليم لفريق الموجة الثانية</w:t>
      </w:r>
      <w:bookmarkEnd w:id="100036"/>
    </w:p>
    <w:p>
      <w:pPr>
        <w:bidi/>
        <w:spacing w:after="140" w:before="0" w:line="312"/>
        <w:jc w:val="start"/>
      </w:pPr>
      <w:r>
        <w:rPr>
          <w:rFonts w:ascii="Segoe UI" w:cs="Cairo" w:eastAsia="Segoe UI" w:hAnsi="Segoe UI"/>
          <w:b w:val="false"/>
          <w:i w:val="false"/>
          <w:iCs w:val="false"/>
          <w:color w:val="000000"/>
          <w:sz w:val="24"/>
          <w:szCs w:val="24"/>
          <w:rtl/>
        </w:rPr>
        <w:t xml:space="preserve">يُسلَّم انتقال المراحل بحزمة موحدة: أولاً الحالة المرجعية (وسم إصدار نهائي v2.2 على main مع CI أخضر وتوقيع موثق)، وثانياً حزمة المعرفة (تقارير الأسبوع الاثني عشر، ومحضر البوابة، وسجل المخاطر المحدث، ومذكرة التسعير)، وثالثاً بذور التنفيذ الجاهزة (خطة ZATCA-2 التفصيلية من WBS-29، وقرار الذكاء المعماري، وخطة v13) بحيث يبدأ أصحاب الموجة الثانية من أول بند قابل للتنفيذ لا من الصفر. ويُختتم الاجتماع بجلسة دروس مستفادة موثقة بسؤالين فقط: ماذا سنكرر؟ وماذا سنغيّر؟ — وينتقل رد هذين السؤالين إلى رأس خارطة الموجة الثانية، استمراراً لآلة الإنتاج نفسها التي أوصت بها الخارطة: موجات، ومعايير دائمة، وتقارير موثقة عند كل بوابة.</w:t>
      </w:r>
    </w:p>
    <w:p>
      <w:pPr>
        <w:pStyle w:val="Heading1"/>
        <w:keepNext/>
        <w:pBdr>
          <w:bottom w:val="single" w:color="8B5CF6" w:sz="6" w:space="6"/>
        </w:pBdr>
        <w:bidi/>
        <w:spacing w:after="180" w:before="400" w:line="380" w:lineRule="atLeast"/>
        <w:jc w:val="start"/>
      </w:pPr>
      <w:bookmarkStart w:id="100037" w:name="_Toc100037"/>
      <w:r>
        <w:rPr>
          <w:rFonts w:ascii="Segoe UI" w:cs="Cairo" w:eastAsia="Segoe UI" w:hAnsi="Segoe UI"/>
          <w:b/>
          <w:bCs/>
          <w:i w:val="false"/>
          <w:iCs w:val="false"/>
          <w:color w:val="6D28D9"/>
          <w:sz w:val="32"/>
          <w:szCs w:val="32"/>
          <w:rtl/>
        </w:rPr>
        <w:t xml:space="preserve">13. </w:t>
      </w:r>
      <w:r>
        <w:rPr>
          <w:rFonts w:ascii="Segoe UI" w:cs="Cairo" w:eastAsia="Segoe UI" w:hAnsi="Segoe UI"/>
          <w:b/>
          <w:bCs/>
          <w:i w:val="false"/>
          <w:iCs w:val="false"/>
          <w:color w:val="0B1026"/>
          <w:sz w:val="32"/>
          <w:szCs w:val="32"/>
          <w:rtl/>
        </w:rPr>
        <w:t xml:space="preserve">الملاحق</w:t>
      </w:r>
      <w:bookmarkEnd w:id="100037"/>
    </w:p>
    <w:p>
      <w:pPr>
        <w:pStyle w:val="Heading2"/>
        <w:keepNext/>
        <w:bidi/>
        <w:spacing w:after="130" w:before="280" w:line="340" w:lineRule="atLeast"/>
        <w:jc w:val="start"/>
      </w:pPr>
      <w:bookmarkStart w:id="100038" w:name="_Toc100038"/>
      <w:r>
        <w:rPr>
          <w:rFonts w:ascii="Segoe UI" w:cs="Cairo" w:eastAsia="Segoe UI" w:hAnsi="Segoe UI"/>
          <w:b/>
          <w:bCs/>
          <w:i w:val="false"/>
          <w:iCs w:val="false"/>
          <w:color w:val="6D28D9"/>
          <w:sz w:val="28"/>
          <w:szCs w:val="28"/>
          <w:rtl/>
        </w:rPr>
        <w:t xml:space="preserve">الملحق (أ) — قالب التقرير الأسبوعي للمرحلة</w:t>
      </w:r>
      <w:bookmarkEnd w:id="100038"/>
    </w:p>
    <w:p>
      <w:pPr>
        <w:bidi/>
        <w:spacing w:after="140" w:before="0" w:line="312"/>
        <w:jc w:val="start"/>
      </w:pPr>
      <w:r>
        <w:rPr>
          <w:rFonts w:ascii="Segoe UI" w:cs="Cairo" w:eastAsia="Segoe UI" w:hAnsi="Segoe UI"/>
          <w:b w:val="false"/>
          <w:i w:val="false"/>
          <w:iCs w:val="false"/>
          <w:color w:val="000000"/>
          <w:sz w:val="24"/>
          <w:szCs w:val="24"/>
          <w:rtl/>
        </w:rPr>
        <w:t xml:space="preserve">يُعبأ هذا القالب كل أحد ويُحفظ في مجلد التقارير بالمستودع باسم موحد (reports/W1/week-XX.md) بحيث تبقى ذاكرة المرحلة قابلة للتدقيق لاحقاً، ويُغذى مباشرة من لوحة المؤشرات الثلاثية في الفصل الحادي عشر دون جمع يدوي إضافي:</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2636"/>
        <w:gridCol w:w="6152"/>
      </w:tblGrid>
      <w:tr>
        <w:trPr>
          <w:cantSplit/>
          <w:tblHeader/>
        </w:trPr>
        <w:tc>
          <w:tcPr>
            <w:tcW w:type="pct" w:w="15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القسم</w:t>
            </w:r>
          </w:p>
        </w:tc>
        <w:tc>
          <w:tcPr>
            <w:tcW w:type="pct" w:w="35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21"/>
                <w:szCs w:val="21"/>
                <w:rtl/>
              </w:rPr>
              <w:t xml:space="preserve">المحتوى المطلوب</w:t>
            </w:r>
          </w:p>
        </w:tc>
      </w:tr>
      <w:tr>
        <w:trPr>
          <w:cantSplit/>
        </w:trPr>
        <w:tc>
          <w:tcPr>
            <w:tcW w:type="pct" w:w="1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رأس التقرير</w:t>
            </w:r>
          </w:p>
        </w:tc>
        <w:tc>
          <w:tcPr>
            <w:tcW w:type="pct" w:w="3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رقم الأسبوع + التاريخ + المُعد + حالة المسار الحرج (أخضر/كهرماني/أحمر)</w:t>
            </w:r>
          </w:p>
        </w:tc>
      </w:tr>
      <w:tr>
        <w:trPr>
          <w:cantSplit/>
        </w:trPr>
        <w:tc>
          <w:tcPr>
            <w:tcW w:type="pct" w:w="1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ملخص ثلاث دقائق</w:t>
            </w:r>
          </w:p>
        </w:tc>
        <w:tc>
          <w:tcPr>
            <w:tcW w:type="pct" w:w="3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أهم ثلاث حقائق للأسبوع وأي قرار نُفذ من قرارات الأحد السابق</w:t>
            </w:r>
          </w:p>
        </w:tc>
      </w:tr>
      <w:tr>
        <w:trPr>
          <w:cantSplit/>
        </w:trPr>
        <w:tc>
          <w:tcPr>
            <w:tcW w:type="pct" w:w="1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لوحة المؤشرات</w:t>
            </w:r>
          </w:p>
        </w:tc>
        <w:tc>
          <w:tcPr>
            <w:tcW w:type="pct" w:w="3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قيم الطبقات الثلاث مقابل الأهداف + اتجاه كل مؤشر (صاعد/ثابت/هابط)</w:t>
            </w:r>
          </w:p>
        </w:tc>
      </w:tr>
      <w:tr>
        <w:trPr>
          <w:cantSplit/>
        </w:trPr>
        <w:tc>
          <w:tcPr>
            <w:tcW w:type="pct" w:w="1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المعالم والبوابات</w:t>
            </w:r>
          </w:p>
        </w:tc>
        <w:tc>
          <w:tcPr>
            <w:tcW w:type="pct" w:w="3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حالة M1–M6 + أي معيار خروج مهدد بأثر تاريخي</w:t>
            </w:r>
          </w:p>
        </w:tc>
      </w:tr>
      <w:tr>
        <w:trPr>
          <w:cantSplit/>
        </w:trPr>
        <w:tc>
          <w:tcPr>
            <w:tcW w:type="pct" w:w="1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المختبرون والمراجعات</w:t>
            </w:r>
          </w:p>
        </w:tc>
        <w:tc>
          <w:tcPr>
            <w:tcW w:type="pct" w:w="3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عدد النشطين + أبرز الملاحظات + المراجعات والردود (≤ 48 ساعة)</w:t>
            </w:r>
          </w:p>
        </w:tc>
      </w:tr>
      <w:tr>
        <w:trPr>
          <w:cantSplit/>
        </w:trPr>
        <w:tc>
          <w:tcPr>
            <w:tcW w:type="pct" w:w="1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المخاطر</w:t>
            </w:r>
          </w:p>
        </w:tc>
        <w:tc>
          <w:tcPr>
            <w:tcW w:type="pct" w:w="350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أي تغيير في احتمالية/أثر المخاطر العشرة + مخاطر جديدة</w:t>
            </w:r>
          </w:p>
        </w:tc>
      </w:tr>
      <w:tr>
        <w:trPr>
          <w:cantSplit/>
        </w:trPr>
        <w:tc>
          <w:tcPr>
            <w:tcW w:type="pct" w:w="1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قرارات الأحد القادم</w:t>
            </w:r>
          </w:p>
        </w:tc>
        <w:tc>
          <w:tcPr>
            <w:tcW w:type="pct" w:w="350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21"/>
                <w:szCs w:val="21"/>
                <w:rtl/>
              </w:rPr>
              <w:t xml:space="preserve">ما نزيد / ما نوقف / ما نؤجل / ما نرفع — بمالك لكل قرار</w:t>
            </w:r>
          </w:p>
        </w:tc>
      </w:tr>
    </w:tbl>
    <w:p>
      <w:pPr>
        <w:pStyle w:val="Heading2"/>
        <w:keepNext/>
        <w:bidi/>
        <w:spacing w:after="130" w:before="280" w:line="340" w:lineRule="atLeast"/>
        <w:jc w:val="start"/>
      </w:pPr>
      <w:bookmarkStart w:id="100039" w:name="_Toc100039"/>
      <w:r>
        <w:rPr>
          <w:rFonts w:ascii="Segoe UI" w:cs="Cairo" w:eastAsia="Segoe UI" w:hAnsi="Segoe UI"/>
          <w:b/>
          <w:bCs/>
          <w:i w:val="false"/>
          <w:iCs w:val="false"/>
          <w:color w:val="6D28D9"/>
          <w:sz w:val="28"/>
          <w:szCs w:val="28"/>
          <w:rtl/>
        </w:rPr>
        <w:t xml:space="preserve">الملحق (ب) — قائمة فحص الإطلاق المركزة</w:t>
      </w:r>
      <w:bookmarkEnd w:id="100039"/>
    </w:p>
    <w:p>
      <w:pPr>
        <w:bidi/>
        <w:spacing w:after="140" w:before="0" w:line="312"/>
        <w:jc w:val="start"/>
      </w:pPr>
      <w:r>
        <w:rPr>
          <w:rFonts w:ascii="Segoe UI" w:cs="Cairo" w:eastAsia="Segoe UI" w:hAnsi="Segoe UI"/>
          <w:b w:val="false"/>
          <w:i w:val="false"/>
          <w:iCs w:val="false"/>
          <w:color w:val="000000"/>
          <w:sz w:val="24"/>
          <w:szCs w:val="24"/>
          <w:rtl/>
        </w:rPr>
        <w:t xml:space="preserve">قائمة فحص مركزة من دفتر الإطلاق المعتمد (LAUNCH_RUNBOOK_W1) للاستخدام اليومي أثناء أسابيع الإعداد الأولى، مرتبة بترتيب التنفيذ الحاكم ولا يصح قفزها:</w:t>
      </w:r>
    </w:p>
    <w:tbl>
      <w:tblPr>
        <w:bidiVisual/>
        <w:tblW w:type="pct" w:w="5000"/>
        <w:tblBorders>
          <w:top w:val="single" w:color="6D28D9" w:sz="4"/>
          <w:left w:val="none" w:color="FFFFFF" w:sz="0"/>
          <w:bottom w:val="single" w:color="6D28D9" w:sz="4"/>
          <w:right w:val="none" w:color="FFFFFF" w:sz="0"/>
          <w:insideH w:val="single" w:color="DDD6F3" w:sz="1"/>
          <w:insideV w:val="single" w:color="DDD6F3" w:sz="1"/>
        </w:tblBorders>
        <w:tblLayout w:type="fixed"/>
      </w:tblPr>
      <w:tblGrid>
        <w:gridCol w:w="615"/>
        <w:gridCol w:w="6415"/>
        <w:gridCol w:w="1758"/>
      </w:tblGrid>
      <w:tr>
        <w:trPr>
          <w:cantSplit/>
          <w:tblHeader/>
        </w:trPr>
        <w:tc>
          <w:tcPr>
            <w:tcW w:type="pct" w:w="3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w:t>
            </w:r>
          </w:p>
        </w:tc>
        <w:tc>
          <w:tcPr>
            <w:tcW w:type="pct" w:w="365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بند الفحص</w:t>
            </w:r>
          </w:p>
        </w:tc>
        <w:tc>
          <w:tcPr>
            <w:tcW w:type="pct" w:w="1000"/>
            <w:shd w:fill="6D28D9" w:val="clear"/>
            <w:tcMar>
              <w:top w:type="dxa" w:w="70"/>
              <w:left w:type="dxa" w:w="100"/>
              <w:bottom w:type="dxa" w:w="70"/>
              <w:right w:type="dxa" w:w="100"/>
            </w:tcMar>
            <w:vAlign w:val="center"/>
          </w:tcPr>
          <w:p>
            <w:pPr>
              <w:bidi/>
              <w:spacing w:line="276"/>
              <w:jc w:val="center"/>
            </w:pPr>
            <w:r>
              <w:rPr>
                <w:rFonts w:ascii="Segoe UI" w:cs="Cairo" w:eastAsia="Segoe UI" w:hAnsi="Segoe UI"/>
                <w:b/>
                <w:bCs/>
                <w:i w:val="false"/>
                <w:iCs w:val="false"/>
                <w:color w:val="FFFFFF"/>
                <w:sz w:val="19"/>
                <w:szCs w:val="19"/>
                <w:rtl/>
              </w:rPr>
              <w:t xml:space="preserve">الحارس</w:t>
            </w:r>
          </w:p>
        </w:tc>
      </w:tr>
      <w:tr>
        <w:trPr>
          <w:cantSplit/>
        </w:trPr>
        <w:tc>
          <w:tcPr>
            <w:tcW w:type="pct" w:w="3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1</w:t>
            </w:r>
          </w:p>
        </w:tc>
        <w:tc>
          <w:tcPr>
            <w:tcW w:type="pct" w:w="3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منتج superbiz_pro مفعل بمعرف حرفي مطابق للكود ProEntitlement.SKU_PRO ونوع شراء لمرة واحدة</w:t>
            </w:r>
          </w:p>
        </w:tc>
        <w:tc>
          <w:tcPr>
            <w:tcW w:type="pct" w:w="10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CTO</w:t>
            </w:r>
          </w:p>
        </w:tc>
      </w:tr>
      <w:tr>
        <w:trPr>
          <w:cantSplit/>
        </w:trPr>
        <w:tc>
          <w:tcPr>
            <w:tcW w:type="pct" w:w="3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2</w:t>
            </w:r>
          </w:p>
        </w:tc>
        <w:tc>
          <w:tcPr>
            <w:tcW w:type="pct" w:w="36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سعر 49 ر.س معتمد (التطبيق يعرض سعر Play المنسق تلقائياً)</w:t>
            </w:r>
          </w:p>
        </w:tc>
        <w:tc>
          <w:tcPr>
            <w:tcW w:type="pct" w:w="10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CTO</w:t>
            </w:r>
          </w:p>
        </w:tc>
      </w:tr>
      <w:tr>
        <w:trPr>
          <w:cantSplit/>
        </w:trPr>
        <w:tc>
          <w:tcPr>
            <w:tcW w:type="pct" w:w="3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3</w:t>
            </w:r>
          </w:p>
        </w:tc>
        <w:tc>
          <w:tcPr>
            <w:tcW w:type="pct" w:w="3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AAB vc2 مرفوع على Internal ويُقبل بلا تحذيرات</w:t>
            </w:r>
          </w:p>
        </w:tc>
        <w:tc>
          <w:tcPr>
            <w:tcW w:type="pct" w:w="10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DEV-1</w:t>
            </w:r>
          </w:p>
        </w:tc>
      </w:tr>
      <w:tr>
        <w:trPr>
          <w:cantSplit/>
        </w:trPr>
        <w:tc>
          <w:tcPr>
            <w:tcW w:type="pct" w:w="3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4</w:t>
            </w:r>
          </w:p>
        </w:tc>
        <w:tc>
          <w:tcPr>
            <w:tcW w:type="pct" w:w="36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اختبار شراء/استرجاع/ترقية تراكبية مؤكد على جهاز حقيقي</w:t>
            </w:r>
          </w:p>
        </w:tc>
        <w:tc>
          <w:tcPr>
            <w:tcW w:type="pct" w:w="10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QA-1</w:t>
            </w:r>
          </w:p>
        </w:tc>
      </w:tr>
      <w:tr>
        <w:trPr>
          <w:cantSplit/>
        </w:trPr>
        <w:tc>
          <w:tcPr>
            <w:tcW w:type="pct" w:w="3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5</w:t>
            </w:r>
          </w:p>
        </w:tc>
        <w:tc>
          <w:tcPr>
            <w:tcW w:type="pct" w:w="3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سياسة الخصوصية منشورة برابط عام (محتوى docs/PRIVACY_POLICY.md)</w:t>
            </w:r>
          </w:p>
        </w:tc>
        <w:tc>
          <w:tcPr>
            <w:tcW w:type="pct" w:w="10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GRO-1</w:t>
            </w:r>
          </w:p>
        </w:tc>
      </w:tr>
      <w:tr>
        <w:trPr>
          <w:cantSplit/>
        </w:trPr>
        <w:tc>
          <w:tcPr>
            <w:tcW w:type="pct" w:w="3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6</w:t>
            </w:r>
          </w:p>
        </w:tc>
        <w:tc>
          <w:tcPr>
            <w:tcW w:type="pct" w:w="36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Data Safety معبأة حرفياً من docs/PLAY_DATA_SAFETY.md</w:t>
            </w:r>
          </w:p>
        </w:tc>
        <w:tc>
          <w:tcPr>
            <w:tcW w:type="pct" w:w="10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GRO-1</w:t>
            </w:r>
          </w:p>
        </w:tc>
      </w:tr>
      <w:tr>
        <w:trPr>
          <w:cantSplit/>
        </w:trPr>
        <w:tc>
          <w:tcPr>
            <w:tcW w:type="pct" w:w="3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7</w:t>
            </w:r>
          </w:p>
        </w:tc>
        <w:tc>
          <w:tcPr>
            <w:tcW w:type="pct" w:w="3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تصنيف IARC مكتمل + وسم لا إعلانات</w:t>
            </w:r>
          </w:p>
        </w:tc>
        <w:tc>
          <w:tcPr>
            <w:tcW w:type="pct" w:w="10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GRO-1</w:t>
            </w:r>
          </w:p>
        </w:tc>
      </w:tr>
      <w:tr>
        <w:trPr>
          <w:cantSplit/>
        </w:trPr>
        <w:tc>
          <w:tcPr>
            <w:tcW w:type="pct" w:w="3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8</w:t>
            </w:r>
          </w:p>
        </w:tc>
        <w:tc>
          <w:tcPr>
            <w:tcW w:type="pct" w:w="36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لقطات v2: 8 هاتف + 2 لوحي (تشمل Pro وإنجليزية) بأبعاد 1080×1920+</w:t>
            </w:r>
          </w:p>
        </w:tc>
        <w:tc>
          <w:tcPr>
            <w:tcW w:type="pct" w:w="10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GRO-1</w:t>
            </w:r>
          </w:p>
        </w:tc>
      </w:tr>
      <w:tr>
        <w:trPr>
          <w:cantSplit/>
        </w:trPr>
        <w:tc>
          <w:tcPr>
            <w:tcW w:type="pct" w:w="3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9</w:t>
            </w:r>
          </w:p>
        </w:tc>
        <w:tc>
          <w:tcPr>
            <w:tcW w:type="pct" w:w="3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قائمة ASO كاملة ثنائية اللغة وفق STORE_LISTING_ASO</w:t>
            </w:r>
          </w:p>
        </w:tc>
        <w:tc>
          <w:tcPr>
            <w:tcW w:type="pct" w:w="10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GRO-1</w:t>
            </w:r>
          </w:p>
        </w:tc>
      </w:tr>
      <w:tr>
        <w:trPr>
          <w:cantSplit/>
        </w:trPr>
        <w:tc>
          <w:tcPr>
            <w:tcW w:type="pct" w:w="3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10</w:t>
            </w:r>
          </w:p>
        </w:tc>
        <w:tc>
          <w:tcPr>
            <w:tcW w:type="pct" w:w="36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Google Group «superbiz-testers» + نموذج الملاحظات الثلاثي جاهزان</w:t>
            </w:r>
          </w:p>
        </w:tc>
        <w:tc>
          <w:tcPr>
            <w:tcW w:type="pct" w:w="10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GRO-1</w:t>
            </w:r>
          </w:p>
        </w:tc>
      </w:tr>
      <w:tr>
        <w:trPr>
          <w:cantSplit/>
        </w:trPr>
        <w:tc>
          <w:tcPr>
            <w:tcW w:type="pct" w:w="3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11</w:t>
            </w:r>
          </w:p>
        </w:tc>
        <w:tc>
          <w:tcPr>
            <w:tcW w:type="pct" w:w="3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50 دعوة صادرة لمختبرين حقيقيين + كود ترويجي لأول 10</w:t>
            </w:r>
          </w:p>
        </w:tc>
        <w:tc>
          <w:tcPr>
            <w:tcW w:type="pct" w:w="10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CTO</w:t>
            </w:r>
          </w:p>
        </w:tc>
      </w:tr>
      <w:tr>
        <w:trPr>
          <w:cantSplit/>
        </w:trPr>
        <w:tc>
          <w:tcPr>
            <w:tcW w:type="pct" w:w="3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12</w:t>
            </w:r>
          </w:p>
        </w:tc>
        <w:tc>
          <w:tcPr>
            <w:tcW w:type="pct" w:w="36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عتبات الترقية: ≥ 30 نشطاً + صفر P0 + ≥ 80% نية دفع</w:t>
            </w:r>
          </w:p>
        </w:tc>
        <w:tc>
          <w:tcPr>
            <w:tcW w:type="pct" w:w="10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CTO</w:t>
            </w:r>
          </w:p>
        </w:tc>
      </w:tr>
      <w:tr>
        <w:trPr>
          <w:cantSplit/>
        </w:trPr>
        <w:tc>
          <w:tcPr>
            <w:tcW w:type="pct" w:w="3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13</w:t>
            </w:r>
          </w:p>
        </w:tc>
        <w:tc>
          <w:tcPr>
            <w:tcW w:type="pct" w:w="3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بوابة M3: تقديم Production بإطلاق 20% موثق</w:t>
            </w:r>
          </w:p>
        </w:tc>
        <w:tc>
          <w:tcPr>
            <w:tcW w:type="pct" w:w="10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CTO</w:t>
            </w:r>
          </w:p>
        </w:tc>
      </w:tr>
      <w:tr>
        <w:trPr>
          <w:cantSplit/>
        </w:trPr>
        <w:tc>
          <w:tcPr>
            <w:tcW w:type="pct" w:w="35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14</w:t>
            </w:r>
          </w:p>
        </w:tc>
        <w:tc>
          <w:tcPr>
            <w:tcW w:type="pct" w:w="3650"/>
            <w:shd w:fill="F5F3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الترقية إلى 100% بعد أسبوعين مغلقة نظيفين</w:t>
            </w:r>
          </w:p>
        </w:tc>
        <w:tc>
          <w:tcPr>
            <w:tcW w:type="pct" w:w="1000"/>
            <w:shd w:fill="F5F3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DEV-1</w:t>
            </w:r>
          </w:p>
        </w:tc>
      </w:tr>
      <w:tr>
        <w:trPr>
          <w:cantSplit/>
        </w:trPr>
        <w:tc>
          <w:tcPr>
            <w:tcW w:type="pct" w:w="35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15</w:t>
            </w:r>
          </w:p>
        </w:tc>
        <w:tc>
          <w:tcPr>
            <w:tcW w:type="pct" w:w="3650"/>
            <w:shd w:fill="FFFFFF" w:val="clear"/>
            <w:tcMar>
              <w:top w:type="dxa" w:w="70"/>
              <w:left w:type="dxa" w:w="100"/>
              <w:bottom w:type="dxa" w:w="70"/>
              <w:right w:type="dxa" w:w="100"/>
            </w:tcMar>
            <w:vAlign w:val="center"/>
          </w:tcPr>
          <w:p>
            <w:pPr>
              <w:bidi/>
              <w:spacing w:line="276"/>
              <w:jc w:val="start"/>
            </w:pPr>
            <w:r>
              <w:rPr>
                <w:rFonts w:ascii="Segoe UI" w:cs="Cairo" w:eastAsia="Segoe UI" w:hAnsi="Segoe UI"/>
                <w:b w:val="false"/>
                <w:i w:val="false"/>
                <w:iCs w:val="false"/>
                <w:color w:val="000000"/>
                <w:sz w:val="19"/>
                <w:szCs w:val="19"/>
                <w:rtl/>
              </w:rPr>
              <w:t xml:space="preserve">مراقبة Vitals أسبوعية + مراجعات يومية في الشهر الأول</w:t>
            </w:r>
          </w:p>
        </w:tc>
        <w:tc>
          <w:tcPr>
            <w:tcW w:type="pct" w:w="1000"/>
            <w:shd w:fill="FFFFFF" w:val="clear"/>
            <w:tcMar>
              <w:top w:type="dxa" w:w="70"/>
              <w:left w:type="dxa" w:w="100"/>
              <w:bottom w:type="dxa" w:w="70"/>
              <w:right w:type="dxa" w:w="100"/>
            </w:tcMar>
            <w:vAlign w:val="center"/>
          </w:tcPr>
          <w:p>
            <w:pPr>
              <w:bidi/>
              <w:spacing w:line="276"/>
              <w:jc w:val="center"/>
            </w:pPr>
            <w:r>
              <w:rPr>
                <w:rFonts w:ascii="Segoe UI" w:cs="Cairo" w:eastAsia="Segoe UI" w:hAnsi="Segoe UI"/>
                <w:b w:val="false"/>
                <w:i w:val="false"/>
                <w:iCs w:val="false"/>
                <w:color w:val="000000"/>
                <w:sz w:val="19"/>
                <w:szCs w:val="19"/>
                <w:rtl/>
              </w:rPr>
              <w:t xml:space="preserve">QA-1</w:t>
            </w:r>
          </w:p>
        </w:tc>
      </w:tr>
    </w:tbl>
    <w:p>
      <w:pPr>
        <w:pStyle w:val="Heading2"/>
        <w:keepNext/>
        <w:bidi/>
        <w:spacing w:after="130" w:before="280" w:line="340" w:lineRule="atLeast"/>
        <w:jc w:val="start"/>
      </w:pPr>
      <w:bookmarkStart w:id="100040" w:name="_Toc100040"/>
      <w:r>
        <w:rPr>
          <w:rFonts w:ascii="Segoe UI" w:cs="Cairo" w:eastAsia="Segoe UI" w:hAnsi="Segoe UI"/>
          <w:b/>
          <w:bCs/>
          <w:i w:val="false"/>
          <w:iCs w:val="false"/>
          <w:color w:val="6D28D9"/>
          <w:sz w:val="28"/>
          <w:szCs w:val="28"/>
          <w:rtl/>
        </w:rPr>
        <w:t xml:space="preserve">الملحق (ج) — المراجع الداخلية والخارجية</w:t>
      </w:r>
      <w:bookmarkEnd w:id="100040"/>
    </w:p>
    <w:p>
      <w:pPr>
        <w:bidi/>
        <w:spacing w:after="140" w:before="0" w:line="312"/>
        <w:jc w:val="start"/>
      </w:pPr>
      <w:r>
        <w:rPr>
          <w:rFonts w:ascii="Segoe UI" w:cs="Cairo" w:eastAsia="Segoe UI" w:hAnsi="Segoe UI"/>
          <w:b w:val="false"/>
          <w:i w:val="false"/>
          <w:iCs w:val="false"/>
          <w:color w:val="000000"/>
          <w:sz w:val="24"/>
          <w:szCs w:val="24"/>
          <w:rtl/>
        </w:rPr>
        <w:t xml:space="preserve">تعتمد هذه الخطة على الحزمة الوثائقية التالية داخل المستودع، وهي المصدر الحاكم عند أي تعارض نصي: ROADMAP.md (خريطة المشروع المحدثة بعد موجات الإصلاح والاحترافية)، وCHANGELOG.md (سجل الإصدارات التفصيلي)، وdocs/LAUNCH_RUNBOOK_W1.md (دفتر الإطلاق التشغيلي خطوة بخطوة)، وdocs/PRIVACY_POLICY.md وdocs/PLAY_DATA_SAFETY.md (الامتثال)، وdocs/STORE_LISTING_ASO.md (قائمة المتجر)، وdocs/ALGORITHMS.md (خوارزميات المحرك)، وعرض SuperBiz_Roadmap_2028.pptx (خارطة 2026–2028 بأعمدتها الأربعة وموجاتها الخمس)، إضافة إلى بذور هذه الوثيقة نفسها في docs/. أما المراجع الخارجية الحاكمة فهي: سياسات Google Play المعمول بها لتقييم الهدف المستهدف (API 36 منذ 31 أغسطس 2026) وعتبات Android Vitals لسلوك التطبيق السيئ، ومنصة فاتورة الزكاة والضريبة والجمارك ZATCA لمتطلبات الفاتورة الإلكترونية مرحلة-2، وتوثيق Google Play Billing Library للإصدار 7.1 المعتمد في الكود. وعند أي تحديث لهذه المصادر الخارجية تُراجع العتبات المقابلة في هذه الخطة في أول مراجعة أسبوعية تالية.</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Segoe UI" w:cs="Cairo" w:eastAsia="Segoe UI" w:hAnsi="Segoe UI"/>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Segoe UI" w:cs="Cairo" w:eastAsia="Segoe UI" w:hAnsi="Segoe UI"/>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6F3" w:sz="2" w:space="4"/>
      </w:pBdr>
      <w:bidi/>
      <w:spacing w:after="0" w:line="240"/>
      <w:jc w:val="start"/>
    </w:pPr>
    <w:r>
      <w:rPr>
        <w:rFonts w:ascii="Segoe UI" w:cs="Cairo" w:eastAsia="Segoe UI" w:hAnsi="Segoe UI"/>
        <w:b w:val="false"/>
        <w:i w:val="false"/>
        <w:iCs w:val="false"/>
        <w:color w:val="808080"/>
        <w:sz w:val="18"/>
        <w:szCs w:val="18"/>
        <w:rtl/>
      </w:rPr>
      <w:t xml:space="preserve">SuperBiz — الخطة التنفيذية الشاملة للمرحلة الأولى (W1)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Cairo" w:eastAsia="Segoe UI" w:hAnsi="Segoe UI"/>
        <w:color w:val="000000"/>
        <w:sz w:val="24"/>
        <w:szCs w:val="24"/>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outlineLvl w:val="0"/>
    </w:pPr>
    <w:rPr>
      <w:rFonts w:ascii="Segoe UI" w:cs="Cairo" w:eastAsia="Segoe UI" w:hAnsi="Segoe UI"/>
      <w:b/>
      <w:bCs/>
      <w:color w:val="0B1026"/>
      <w:sz w:val="32"/>
      <w:szCs w:val="32"/>
    </w:rPr>
  </w:style>
  <w:style w:type="paragraph" w:styleId="Heading2">
    <w:name w:val="Heading 2"/>
    <w:basedOn w:val="Normal"/>
    <w:next w:val="Normal"/>
    <w:qFormat/>
    <w:pPr>
      <w:spacing w:after="130" w:before="280"/>
      <w:outlineLvl w:val="1"/>
    </w:pPr>
    <w:rPr>
      <w:rFonts w:ascii="Segoe UI" w:cs="Cairo" w:eastAsia="Segoe UI" w:hAnsi="Segoe UI"/>
      <w:b/>
      <w:bCs/>
      <w:color w:val="6D28D9"/>
      <w:sz w:val="28"/>
      <w:szCs w:val="28"/>
    </w:rPr>
  </w:style>
  <w:style w:type="paragraph" w:styleId="Heading3">
    <w:name w:val="Heading 3"/>
    <w:basedOn w:val="Normal"/>
    <w:next w:val="Normal"/>
    <w:qFormat/>
    <w:pPr>
      <w:spacing w:after="110" w:before="220"/>
      <w:outlineLvl w:val="2"/>
    </w:pPr>
    <w:rPr>
      <w:rFonts w:ascii="Segoe UI" w:cs="Cairo" w:eastAsia="Segoe UI" w:hAnsi="Segoe UI"/>
      <w:b/>
      <w:bCs/>
      <w:color w:val="0B1026"/>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SuperBiz — الخطة التنفيذية الشاملة للمرحلة الأولى (W1)</dc:title>
  <dc:creator>SuperBiz Engineering — CTO Office</dc:creator>
  <dc:description>Expanded Wave 1 execution plan: commercial launch v2.x on Google Play, 12 weeks, Arabic RTL</dc:description>
  <cp:lastModifiedBy>Un-named</cp:lastModifiedBy>
  <cp:revision>1</cp:revision>
  <dcterms:created xsi:type="dcterms:W3CDTF">2026-10-03T11:41:28.228Z</dcterms:created>
  <dcterms:modified xsi:type="dcterms:W3CDTF">2026-10-03T11:41:28.228Z</dcterms:modified>
</cp:coreProperties>
</file>

<file path=docProps/custom.xml><?xml version="1.0" encoding="utf-8"?>
<Properties xmlns="http://schemas.openxmlformats.org/officeDocument/2006/custom-properties" xmlns:vt="http://schemas.openxmlformats.org/officeDocument/2006/docPropsVTypes"/>
</file>