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0221B"/>
          <w:sz w:val="36"/>
          <w:szCs w:val="36"/>
        </w:rPr>
        <w:t xml:space="preserve">TimesArrow: system architecture</w:t>
      </w:r>
    </w:p>
    <w:p>
      <w:pPr>
        <w:spacing w:after="80"/>
      </w:pPr>
      <w:r>
        <w:rPr>
          <w:rFonts w:ascii="Calibri" w:cs="Calibri" w:eastAsia="Calibri" w:hAnsi="Calibri"/>
          <w:color w:val="5A6B64"/>
          <w:sz w:val="16"/>
          <w:szCs w:val="16"/>
        </w:rPr>
        <w:t xml:space="preserve">WisBees Investment Advisory · 8 October 2026 · Status: running locally, not yet deployed</w:t>
      </w:r>
    </w:p>
    <w:p>
      <w:pPr>
        <w:spacing w:after="60"/>
      </w:pPr>
      <w:r>
        <w:rPr>
          <w:rFonts w:ascii="Calibri" w:cs="Calibri" w:eastAsia="Calibri" w:hAnsi="Calibri"/>
          <w:color w:val="10221B"/>
          <w:sz w:val="17"/>
          <w:szCs w:val="17"/>
        </w:rPr>
        <w:t xml:space="preserve">One Next.js app on Vercel serves the public site, the client sign-up flow and the CMS. Supabase (Mumbai) holds the data, the files and client logins. There is no separate backend service.</w:t>
      </w:r>
    </w:p>
    <w:p>
      <w:pPr>
        <w:spacing w:after="40" w:before="40"/>
      </w:pPr>
      <w:r>
        <w:drawing>
          <wp:inline distT="0" distB="0" distL="0" distR="0">
            <wp:extent cx="6638925" cy="1771650"/>
            <wp:effectExtent t="0" r="0" b="0" l="0"/>
            <wp:docPr id="1" name="architecture" descr="Visitors and staff reach one Next.js app on Vercel, which uses Supabase Postgres, Storage and Auth."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38925" cy="1771650"/>
                    </a:xfrm>
                    <a:prstGeom prst="rect">
                      <a:avLst/>
                    </a:prstGeom>
                  </pic:spPr>
                </pic:pic>
              </a:graphicData>
            </a:graphic>
          </wp:inline>
        </w:drawing>
      </w:r>
    </w:p>
    <w:p>
      <w:pPr>
        <w:spacing w:after="0"/>
      </w:pPr>
      <w:r>
        <w:rPr>
          <w:rFonts w:ascii="Calibri" w:cs="Calibri" w:eastAsia="Calibri" w:hAnsi="Calibri"/>
          <w:i/>
          <w:iCs/>
          <w:color w:val="5A6B64"/>
          <w:sz w:val="15"/>
          <w:szCs w:val="15"/>
        </w:rPr>
        <w:t xml:space="preserve">Dashed box: not set up yet.</w:t>
      </w:r>
    </w:p>
    <w:p>
      <w:pPr>
        <w:pBdr>
          <w:bottom w:val="single" w:color="0F6B4C" w:sz="6" w:space="1"/>
        </w:pBdr>
        <w:spacing w:after="50" w:before="130"/>
      </w:pPr>
      <w:r>
        <w:rPr>
          <w:rFonts w:ascii="Calibri" w:cs="Calibri" w:eastAsia="Calibri" w:hAnsi="Calibri"/>
          <w:b/>
          <w:bCs/>
          <w:color w:val="0F6B4C"/>
          <w:sz w:val="19"/>
          <w:szCs w:val="19"/>
        </w:rPr>
        <w:t xml:space="preserve">Components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50"/>
        <w:gridCol w:w="8716"/>
      </w:tblGrid>
      <w:tr>
        <w:tc>
          <w:tcPr>
            <w:tcW w:type="dxa" w:w="1750"/>
            <w:tcBorders>
              <w:top w:val="single" w:color="CBD6D0" w:sz="4"/>
              <w:left w:val="single" w:color="CBD6D0" w:sz="4"/>
              <w:bottom w:val="single" w:color="CBD6D0" w:sz="4"/>
              <w:right w:val="single" w:color="CBD6D0" w:sz="4"/>
            </w:tcBorders>
            <w:shd w:fill="F1F6F2" w:color="auto" w:val="clear"/>
            <w:tcMar>
              <w:top w:type="dxa" w:w="40"/>
              <w:left w:type="dxa" w:w="90"/>
              <w:bottom w:type="dxa" w:w="40"/>
              <w:right w:type="dxa" w:w="90"/>
            </w:tcMar>
          </w:tcPr>
          <w:p>
            <w:pPr>
              <w:spacing w:after="0"/>
            </w:pPr>
            <w:r>
              <w:rPr>
                <w:rFonts w:ascii="Calibri" w:cs="Calibri" w:eastAsia="Calibri" w:hAnsi="Calibri"/>
                <w:b/>
                <w:bCs/>
                <w:color w:val="10221B"/>
                <w:sz w:val="17"/>
                <w:szCs w:val="17"/>
              </w:rPr>
              <w:t xml:space="preserve">Web app</w:t>
            </w:r>
          </w:p>
        </w:tc>
        <w:tc>
          <w:tcPr>
            <w:tcW w:type="dxa" w:w="8716"/>
            <w:tcBorders>
              <w:top w:val="single" w:color="CBD6D0" w:sz="4"/>
              <w:left w:val="single" w:color="CBD6D0" w:sz="4"/>
              <w:bottom w:val="single" w:color="CBD6D0" w:sz="4"/>
              <w:right w:val="single" w:color="CBD6D0" w:sz="4"/>
            </w:tcBorders>
            <w:tcMar>
              <w:top w:type="dxa" w:w="40"/>
              <w:left w:type="dxa" w:w="90"/>
              <w:bottom w:type="dxa" w:w="40"/>
              <w:right w:type="dxa" w:w="90"/>
            </w:tcMar>
          </w:tcPr>
          <w:p>
            <w:pPr>
              <w:spacing w:after="0" w:line="230"/>
            </w:pPr>
            <w:r>
              <w:rPr>
                <w:rFonts w:ascii="Calibri" w:cs="Calibri" w:eastAsia="Calibri" w:hAnsi="Calibri"/>
                <w:color w:val="10221B"/>
                <w:sz w:val="17"/>
                <w:szCs w:val="17"/>
              </w:rPr>
              <w:t xml:space="preserve">Next.js 16 (App Router) + React 19 + TypeScript, one codebase on Vercel. Public site, client app and CMS ship together.</w:t>
            </w:r>
          </w:p>
        </w:tc>
      </w:tr>
      <w:tr>
        <w:tc>
          <w:tcPr>
            <w:tcW w:type="dxa" w:w="1750"/>
            <w:tcBorders>
              <w:top w:val="single" w:color="CBD6D0" w:sz="4"/>
              <w:left w:val="single" w:color="CBD6D0" w:sz="4"/>
              <w:bottom w:val="single" w:color="CBD6D0" w:sz="4"/>
              <w:right w:val="single" w:color="CBD6D0" w:sz="4"/>
            </w:tcBorders>
            <w:shd w:fill="F1F6F2" w:color="auto" w:val="clear"/>
            <w:tcMar>
              <w:top w:type="dxa" w:w="40"/>
              <w:left w:type="dxa" w:w="90"/>
              <w:bottom w:type="dxa" w:w="40"/>
              <w:right w:type="dxa" w:w="90"/>
            </w:tcMar>
          </w:tcPr>
          <w:p>
            <w:pPr>
              <w:spacing w:after="0"/>
            </w:pPr>
            <w:r>
              <w:rPr>
                <w:rFonts w:ascii="Calibri" w:cs="Calibri" w:eastAsia="Calibri" w:hAnsi="Calibri"/>
                <w:b/>
                <w:bCs/>
                <w:color w:val="10221B"/>
                <w:sz w:val="17"/>
                <w:szCs w:val="17"/>
              </w:rPr>
              <w:t xml:space="preserve">CMS</w:t>
            </w:r>
          </w:p>
        </w:tc>
        <w:tc>
          <w:tcPr>
            <w:tcW w:type="dxa" w:w="8716"/>
            <w:tcBorders>
              <w:top w:val="single" w:color="CBD6D0" w:sz="4"/>
              <w:left w:val="single" w:color="CBD6D0" w:sz="4"/>
              <w:bottom w:val="single" w:color="CBD6D0" w:sz="4"/>
              <w:right w:val="single" w:color="CBD6D0" w:sz="4"/>
            </w:tcBorders>
            <w:tcMar>
              <w:top w:type="dxa" w:w="40"/>
              <w:left w:type="dxa" w:w="90"/>
              <w:bottom w:type="dxa" w:w="40"/>
              <w:right w:type="dxa" w:w="90"/>
            </w:tcMar>
          </w:tcPr>
          <w:p>
            <w:pPr>
              <w:spacing w:after="0" w:line="230"/>
            </w:pPr>
            <w:r>
              <w:rPr>
                <w:rFonts w:ascii="Calibri" w:cs="Calibri" w:eastAsia="Calibri" w:hAnsi="Calibri"/>
                <w:color w:val="10221B"/>
                <w:sz w:val="17"/>
                <w:szCs w:val="17"/>
              </w:rPr>
              <w:t xml:space="preserve">Payload 3 embedded in the same app (/admin, /api). All site copy lives here. Drafts and version history on every item; only compliance/admin roles can publish. Staff log in with Payload users, separate from client accounts.</w:t>
            </w:r>
          </w:p>
        </w:tc>
      </w:tr>
      <w:tr>
        <w:tc>
          <w:tcPr>
            <w:tcW w:type="dxa" w:w="1750"/>
            <w:tcBorders>
              <w:top w:val="single" w:color="CBD6D0" w:sz="4"/>
              <w:left w:val="single" w:color="CBD6D0" w:sz="4"/>
              <w:bottom w:val="single" w:color="CBD6D0" w:sz="4"/>
              <w:right w:val="single" w:color="CBD6D0" w:sz="4"/>
            </w:tcBorders>
            <w:shd w:fill="F1F6F2" w:color="auto" w:val="clear"/>
            <w:tcMar>
              <w:top w:type="dxa" w:w="40"/>
              <w:left w:type="dxa" w:w="90"/>
              <w:bottom w:type="dxa" w:w="40"/>
              <w:right w:type="dxa" w:w="90"/>
            </w:tcMar>
          </w:tcPr>
          <w:p>
            <w:pPr>
              <w:spacing w:after="0"/>
            </w:pPr>
            <w:r>
              <w:rPr>
                <w:rFonts w:ascii="Calibri" w:cs="Calibri" w:eastAsia="Calibri" w:hAnsi="Calibri"/>
                <w:b/>
                <w:bCs/>
                <w:color w:val="10221B"/>
                <w:sz w:val="17"/>
                <w:szCs w:val="17"/>
              </w:rPr>
              <w:t xml:space="preserve">Database</w:t>
            </w:r>
          </w:p>
        </w:tc>
        <w:tc>
          <w:tcPr>
            <w:tcW w:type="dxa" w:w="8716"/>
            <w:tcBorders>
              <w:top w:val="single" w:color="CBD6D0" w:sz="4"/>
              <w:left w:val="single" w:color="CBD6D0" w:sz="4"/>
              <w:bottom w:val="single" w:color="CBD6D0" w:sz="4"/>
              <w:right w:val="single" w:color="CBD6D0" w:sz="4"/>
            </w:tcBorders>
            <w:tcMar>
              <w:top w:type="dxa" w:w="40"/>
              <w:left w:type="dxa" w:w="90"/>
              <w:bottom w:type="dxa" w:w="40"/>
              <w:right w:type="dxa" w:w="90"/>
            </w:tcMar>
          </w:tcPr>
          <w:p>
            <w:pPr>
              <w:spacing w:after="0" w:line="230"/>
            </w:pPr>
            <w:r>
              <w:rPr>
                <w:rFonts w:ascii="Calibri" w:cs="Calibri" w:eastAsia="Calibri" w:hAnsi="Calibri"/>
                <w:color w:val="10221B"/>
                <w:sz w:val="17"/>
                <w:szCs w:val="17"/>
              </w:rPr>
              <w:t xml:space="preserve">Supabase Postgres, Mumbai. Schema changes ship as Payload migrations, run in the Vercel build. Local dev uses a local Postgres, never Supabase.</w:t>
            </w:r>
          </w:p>
        </w:tc>
      </w:tr>
      <w:tr>
        <w:tc>
          <w:tcPr>
            <w:tcW w:type="dxa" w:w="1750"/>
            <w:tcBorders>
              <w:top w:val="single" w:color="CBD6D0" w:sz="4"/>
              <w:left w:val="single" w:color="CBD6D0" w:sz="4"/>
              <w:bottom w:val="single" w:color="CBD6D0" w:sz="4"/>
              <w:right w:val="single" w:color="CBD6D0" w:sz="4"/>
            </w:tcBorders>
            <w:shd w:fill="F1F6F2" w:color="auto" w:val="clear"/>
            <w:tcMar>
              <w:top w:type="dxa" w:w="40"/>
              <w:left w:type="dxa" w:w="90"/>
              <w:bottom w:type="dxa" w:w="40"/>
              <w:right w:type="dxa" w:w="90"/>
            </w:tcMar>
          </w:tcPr>
          <w:p>
            <w:pPr>
              <w:spacing w:after="0"/>
            </w:pPr>
            <w:r>
              <w:rPr>
                <w:rFonts w:ascii="Calibri" w:cs="Calibri" w:eastAsia="Calibri" w:hAnsi="Calibri"/>
                <w:b/>
                <w:bCs/>
                <w:color w:val="10221B"/>
                <w:sz w:val="17"/>
                <w:szCs w:val="17"/>
              </w:rPr>
              <w:t xml:space="preserve">Auth (clients)</w:t>
            </w:r>
          </w:p>
        </w:tc>
        <w:tc>
          <w:tcPr>
            <w:tcW w:type="dxa" w:w="8716"/>
            <w:tcBorders>
              <w:top w:val="single" w:color="CBD6D0" w:sz="4"/>
              <w:left w:val="single" w:color="CBD6D0" w:sz="4"/>
              <w:bottom w:val="single" w:color="CBD6D0" w:sz="4"/>
              <w:right w:val="single" w:color="CBD6D0" w:sz="4"/>
            </w:tcBorders>
            <w:tcMar>
              <w:top w:type="dxa" w:w="40"/>
              <w:left w:type="dxa" w:w="90"/>
              <w:bottom w:type="dxa" w:w="40"/>
              <w:right w:type="dxa" w:w="90"/>
            </w:tcMar>
          </w:tcPr>
          <w:p>
            <w:pPr>
              <w:spacing w:after="0" w:line="230"/>
            </w:pPr>
            <w:r>
              <w:rPr>
                <w:rFonts w:ascii="Calibri" w:cs="Calibri" w:eastAsia="Calibri" w:hAnsi="Calibri"/>
                <w:color w:val="10221B"/>
                <w:sz w:val="17"/>
                <w:szCs w:val="17"/>
              </w:rPr>
              <w:t xml:space="preserve">Supabase Auth: 6-digit email code or Google. Session lives in cookies, refreshed by proxy.ts and verified on the server with getClaims(), never trusted from the client.</w:t>
            </w:r>
          </w:p>
        </w:tc>
      </w:tr>
      <w:tr>
        <w:tc>
          <w:tcPr>
            <w:tcW w:type="dxa" w:w="1750"/>
            <w:tcBorders>
              <w:top w:val="single" w:color="CBD6D0" w:sz="4"/>
              <w:left w:val="single" w:color="CBD6D0" w:sz="4"/>
              <w:bottom w:val="single" w:color="CBD6D0" w:sz="4"/>
              <w:right w:val="single" w:color="CBD6D0" w:sz="4"/>
            </w:tcBorders>
            <w:shd w:fill="F1F6F2" w:color="auto" w:val="clear"/>
            <w:tcMar>
              <w:top w:type="dxa" w:w="40"/>
              <w:left w:type="dxa" w:w="90"/>
              <w:bottom w:type="dxa" w:w="40"/>
              <w:right w:type="dxa" w:w="90"/>
            </w:tcMar>
          </w:tcPr>
          <w:p>
            <w:pPr>
              <w:spacing w:after="0"/>
            </w:pPr>
            <w:r>
              <w:rPr>
                <w:rFonts w:ascii="Calibri" w:cs="Calibri" w:eastAsia="Calibri" w:hAnsi="Calibri"/>
                <w:b/>
                <w:bCs/>
                <w:color w:val="10221B"/>
                <w:sz w:val="17"/>
                <w:szCs w:val="17"/>
              </w:rPr>
              <w:t xml:space="preserve">Files</w:t>
            </w:r>
          </w:p>
        </w:tc>
        <w:tc>
          <w:tcPr>
            <w:tcW w:type="dxa" w:w="8716"/>
            <w:tcBorders>
              <w:top w:val="single" w:color="CBD6D0" w:sz="4"/>
              <w:left w:val="single" w:color="CBD6D0" w:sz="4"/>
              <w:bottom w:val="single" w:color="CBD6D0" w:sz="4"/>
              <w:right w:val="single" w:color="CBD6D0" w:sz="4"/>
            </w:tcBorders>
            <w:tcMar>
              <w:top w:type="dxa" w:w="40"/>
              <w:left w:type="dxa" w:w="90"/>
              <w:bottom w:type="dxa" w:w="40"/>
              <w:right w:type="dxa" w:w="90"/>
            </w:tcMar>
          </w:tcPr>
          <w:p>
            <w:pPr>
              <w:spacing w:after="0" w:line="230"/>
            </w:pPr>
            <w:r>
              <w:rPr>
                <w:rFonts w:ascii="Calibri" w:cs="Calibri" w:eastAsia="Calibri" w:hAnsi="Calibri"/>
                <w:color w:val="10221B"/>
                <w:sz w:val="17"/>
                <w:szCs w:val="17"/>
              </w:rPr>
              <w:t xml:space="preserve">Supabase Storage through its S3 API, for CMS media only.</w:t>
            </w:r>
          </w:p>
        </w:tc>
      </w:tr>
    </w:tbl>
    <w:p>
      <w:pPr>
        <w:pBdr>
          <w:bottom w:val="single" w:color="0F6B4C" w:sz="6" w:space="1"/>
        </w:pBdr>
        <w:spacing w:after="50" w:before="130"/>
      </w:pPr>
      <w:r>
        <w:rPr>
          <w:rFonts w:ascii="Calibri" w:cs="Calibri" w:eastAsia="Calibri" w:hAnsi="Calibri"/>
          <w:b/>
          <w:bCs/>
          <w:color w:val="0F6B4C"/>
          <w:sz w:val="19"/>
          <w:szCs w:val="19"/>
        </w:rPr>
        <w:t xml:space="preserve">Main flows</w:t>
      </w:r>
    </w:p>
    <w:p>
      <w:pPr>
        <w:pStyle w:val="ListParagraph"/>
        <w:numPr>
          <w:ilvl w:val="0"/>
          <w:numId w:val="2"/>
        </w:numPr>
        <w:spacing w:after="30" w:line="235"/>
      </w:pPr>
      <w:r>
        <w:rPr>
          <w:rFonts w:ascii="Calibri" w:cs="Calibri" w:eastAsia="Calibri" w:hAnsi="Calibri"/>
          <w:b/>
          <w:bCs/>
          <w:color w:val="10221B"/>
          <w:sz w:val="17"/>
          <w:szCs w:val="17"/>
        </w:rPr>
        <w:t xml:space="preserve">Public page. </w:t>
      </w:r>
      <w:r>
        <w:rPr>
          <w:rFonts w:ascii="Calibri" w:cs="Calibri" w:eastAsia="Calibri" w:hAnsi="Calibri"/>
          <w:color w:val="10221B"/>
          <w:sz w:val="17"/>
          <w:szCs w:val="17"/>
        </w:rPr>
        <w:t xml:space="preserve">Browser requests the site; the server reads published content from Postgres through Payload and renders it. Publishing in the CMS revalidates the pages.</w:t>
      </w:r>
    </w:p>
    <w:p>
      <w:pPr>
        <w:pStyle w:val="ListParagraph"/>
        <w:numPr>
          <w:ilvl w:val="0"/>
          <w:numId w:val="2"/>
        </w:numPr>
        <w:spacing w:after="30" w:line="235"/>
      </w:pPr>
      <w:r>
        <w:rPr>
          <w:rFonts w:ascii="Calibri" w:cs="Calibri" w:eastAsia="Calibri" w:hAnsi="Calibri"/>
          <w:b/>
          <w:bCs/>
          <w:color w:val="10221B"/>
          <w:sz w:val="17"/>
          <w:szCs w:val="17"/>
        </w:rPr>
        <w:t xml:space="preserve">Call booking. </w:t>
      </w:r>
      <w:r>
        <w:rPr>
          <w:rFonts w:ascii="Calibri" w:cs="Calibri" w:eastAsia="Calibri" w:hAnsi="Calibri"/>
          <w:color w:val="10221B"/>
          <w:sz w:val="17"/>
          <w:szCs w:val="17"/>
        </w:rPr>
        <w:t xml:space="preserve">The form calls a server action: validates, checks a honeypot and a limit of 5 requests per IP per hour, then writes the booking. Public REST create and read are closed.</w:t>
      </w:r>
    </w:p>
    <w:p>
      <w:pPr>
        <w:pStyle w:val="ListParagraph"/>
        <w:numPr>
          <w:ilvl w:val="0"/>
          <w:numId w:val="2"/>
        </w:numPr>
        <w:spacing w:after="30" w:line="235"/>
      </w:pPr>
      <w:r>
        <w:rPr>
          <w:rFonts w:ascii="Calibri" w:cs="Calibri" w:eastAsia="Calibri" w:hAnsi="Calibri"/>
          <w:b/>
          <w:bCs/>
          <w:color w:val="10221B"/>
          <w:sz w:val="17"/>
          <w:szCs w:val="17"/>
        </w:rPr>
        <w:t xml:space="preserve">Sign-up and onboarding. </w:t>
      </w:r>
      <w:r>
        <w:rPr>
          <w:rFonts w:ascii="Calibri" w:cs="Calibri" w:eastAsia="Calibri" w:hAnsi="Calibri"/>
          <w:color w:val="10221B"/>
          <w:sz w:val="17"/>
          <w:szCs w:val="17"/>
        </w:rPr>
        <w:t xml:space="preserve">Account (email code or Google), then an investor profile (PAN, date of birth, city, income, goal, horizon, risk), then an "in review" screen. A server action keyed on the verified user id writes the application; staff review it in /admin.</w:t>
      </w:r>
    </w:p>
    <w:p>
      <w:pPr>
        <w:pBdr>
          <w:bottom w:val="single" w:color="0F6B4C" w:sz="6" w:space="1"/>
        </w:pBdr>
        <w:spacing w:after="50" w:before="130"/>
      </w:pPr>
      <w:r>
        <w:rPr>
          <w:rFonts w:ascii="Calibri" w:cs="Calibri" w:eastAsia="Calibri" w:hAnsi="Calibri"/>
          <w:b/>
          <w:bCs/>
          <w:color w:val="0F6B4C"/>
          <w:sz w:val="19"/>
          <w:szCs w:val="19"/>
        </w:rPr>
        <w:t xml:space="preserve">Data and compliance</w:t>
      </w:r>
    </w:p>
    <w:p>
      <w:pPr>
        <w:pStyle w:val="ListParagraph"/>
        <w:numPr>
          <w:ilvl w:val="0"/>
          <w:numId w:val="2"/>
        </w:numPr>
        <w:spacing w:after="30" w:line="235"/>
      </w:pPr>
      <w:r>
        <w:rPr>
          <w:rFonts w:ascii="Calibri" w:cs="Calibri" w:eastAsia="Calibri" w:hAnsi="Calibri"/>
          <w:color w:val="10221B"/>
          <w:sz w:val="17"/>
          <w:szCs w:val="17"/>
        </w:rPr>
        <w:t xml:space="preserve">Personal data (name, email, phone, PAN, date of birth) sits in Postgres in India. Only admin and compliance roles can read it. Consent wording and time are stored with each record. No personal data in URLs or logs.</w:t>
      </w:r>
    </w:p>
    <w:p>
      <w:pPr>
        <w:pStyle w:val="ListParagraph"/>
        <w:numPr>
          <w:ilvl w:val="0"/>
          <w:numId w:val="2"/>
        </w:numPr>
        <w:spacing w:after="30" w:line="235"/>
      </w:pPr>
      <w:r>
        <w:rPr>
          <w:rFonts w:ascii="Calibri" w:cs="Calibri" w:eastAsia="Calibri" w:hAnsi="Calibri"/>
          <w:color w:val="10221B"/>
          <w:sz w:val="17"/>
          <w:szCs w:val="17"/>
        </w:rPr>
        <w:t xml:space="preserve">Site content needs compliance approval to publish. Search indexing stays off (noindex) until BASL approves. The SEBI disclosure footer is driven from the CMS on every page.</w:t>
      </w:r>
    </w:p>
    <w:p>
      <w:pPr>
        <w:pBdr>
          <w:bottom w:val="single" w:color="0F6B4C" w:sz="6" w:space="1"/>
        </w:pBdr>
        <w:spacing w:after="50" w:before="130"/>
      </w:pPr>
      <w:r>
        <w:rPr>
          <w:rFonts w:ascii="Calibri" w:cs="Calibri" w:eastAsia="Calibri" w:hAnsi="Calibri"/>
          <w:b/>
          <w:bCs/>
          <w:color w:val="0F6B4C"/>
          <w:sz w:val="19"/>
          <w:szCs w:val="19"/>
        </w:rPr>
        <w:t xml:space="preserve">Open points for your call</w:t>
      </w:r>
    </w:p>
    <w:p>
      <w:pPr>
        <w:pStyle w:val="ListParagraph"/>
        <w:numPr>
          <w:ilvl w:val="0"/>
          <w:numId w:val="2"/>
        </w:numPr>
        <w:spacing w:after="30" w:line="235"/>
      </w:pPr>
      <w:r>
        <w:rPr>
          <w:rFonts w:ascii="Calibri" w:cs="Calibri" w:eastAsia="Calibri" w:hAnsi="Calibri"/>
          <w:b/>
          <w:bCs/>
          <w:color w:val="10221B"/>
          <w:sz w:val="17"/>
          <w:szCs w:val="17"/>
        </w:rPr>
        <w:t xml:space="preserve">Database exposure. </w:t>
      </w:r>
      <w:r>
        <w:rPr>
          <w:rFonts w:ascii="Calibri" w:cs="Calibri" w:eastAsia="Calibri" w:hAnsi="Calibri"/>
          <w:color w:val="10221B"/>
          <w:sz w:val="17"/>
          <w:szCs w:val="17"/>
        </w:rPr>
        <w:t xml:space="preserve">Payload creates its tables in the public schema with row-level security off. Before launch we need to confirm the Supabase Data API cannot reach them (disable it, or enable RLS on every table), since the publishable key is public.</w:t>
      </w:r>
    </w:p>
    <w:p>
      <w:pPr>
        <w:pStyle w:val="ListParagraph"/>
        <w:numPr>
          <w:ilvl w:val="0"/>
          <w:numId w:val="2"/>
        </w:numPr>
        <w:spacing w:after="30" w:line="235"/>
      </w:pPr>
      <w:r>
        <w:rPr>
          <w:rFonts w:ascii="Calibri" w:cs="Calibri" w:eastAsia="Calibri" w:hAnsi="Calibri"/>
          <w:b/>
          <w:bCs/>
          <w:color w:val="10221B"/>
          <w:sz w:val="17"/>
          <w:szCs w:val="17"/>
        </w:rPr>
        <w:t xml:space="preserve">PAN and date of birth </w:t>
      </w:r>
      <w:r>
        <w:rPr>
          <w:rFonts w:ascii="Calibri" w:cs="Calibri" w:eastAsia="Calibri" w:hAnsi="Calibri"/>
          <w:color w:val="10221B"/>
          <w:sz w:val="17"/>
          <w:szCs w:val="17"/>
        </w:rPr>
        <w:t xml:space="preserve">are plain columns today. Decide on field-level encryption and a retention period.</w:t>
      </w:r>
    </w:p>
    <w:p>
      <w:pPr>
        <w:pStyle w:val="ListParagraph"/>
        <w:numPr>
          <w:ilvl w:val="0"/>
          <w:numId w:val="2"/>
        </w:numPr>
        <w:spacing w:after="30" w:line="235"/>
      </w:pPr>
      <w:r>
        <w:rPr>
          <w:rFonts w:ascii="Calibri" w:cs="Calibri" w:eastAsia="Calibri" w:hAnsi="Calibri"/>
          <w:b/>
          <w:bCs/>
          <w:color w:val="10221B"/>
          <w:sz w:val="17"/>
          <w:szCs w:val="17"/>
        </w:rPr>
        <w:t xml:space="preserve">Email. </w:t>
      </w:r>
      <w:r>
        <w:rPr>
          <w:rFonts w:ascii="Calibri" w:cs="Calibri" w:eastAsia="Calibri" w:hAnsi="Calibri"/>
          <w:color w:val="10221B"/>
          <w:sz w:val="17"/>
          <w:szCs w:val="17"/>
        </w:rPr>
        <w:t xml:space="preserve">Supabase’s built-in sender allows only a few emails an hour and limits template edits. We need our own SMTP sender before real users sign up.</w:t>
      </w:r>
    </w:p>
    <w:p>
      <w:pPr>
        <w:pStyle w:val="ListParagraph"/>
        <w:numPr>
          <w:ilvl w:val="0"/>
          <w:numId w:val="2"/>
        </w:numPr>
        <w:spacing w:after="30" w:line="235"/>
      </w:pPr>
      <w:r>
        <w:rPr>
          <w:rFonts w:ascii="Calibri" w:cs="Calibri" w:eastAsia="Calibri" w:hAnsi="Calibri"/>
          <w:b/>
          <w:bCs/>
          <w:color w:val="10221B"/>
          <w:sz w:val="17"/>
          <w:szCs w:val="17"/>
        </w:rPr>
        <w:t xml:space="preserve">Environments. </w:t>
      </w:r>
      <w:r>
        <w:rPr>
          <w:rFonts w:ascii="Calibri" w:cs="Calibri" w:eastAsia="Calibri" w:hAnsi="Calibri"/>
          <w:color w:val="10221B"/>
          <w:sz w:val="17"/>
          <w:szCs w:val="17"/>
        </w:rPr>
        <w:t xml:space="preserve">We have one Supabase project, and local testing used its Auth. A separate staging project is advisable. A local-only demo switch skips sign-in; it is ignored in production builds.</w:t>
      </w:r>
    </w:p>
    <w:p>
      <w:pPr>
        <w:pStyle w:val="ListParagraph"/>
        <w:numPr>
          <w:ilvl w:val="0"/>
          <w:numId w:val="2"/>
        </w:numPr>
        <w:spacing w:after="30" w:line="235"/>
      </w:pPr>
      <w:r>
        <w:rPr>
          <w:rFonts w:ascii="Calibri" w:cs="Calibri" w:eastAsia="Calibri" w:hAnsi="Calibri"/>
          <w:b/>
          <w:bCs/>
          <w:color w:val="10221B"/>
          <w:sz w:val="17"/>
          <w:szCs w:val="17"/>
        </w:rPr>
        <w:t xml:space="preserve">Not yet done: </w:t>
      </w:r>
      <w:r>
        <w:rPr>
          <w:rFonts w:ascii="Calibri" w:cs="Calibri" w:eastAsia="Calibri" w:hAnsi="Calibri"/>
          <w:color w:val="10221B"/>
          <w:sz w:val="17"/>
          <w:szCs w:val="17"/>
        </w:rPr>
        <w:t xml:space="preserve">Vercel deployment and domain, backup and point-in-time recovery policy, monitoring and alerts, rate limiting beyond the booking form.</w:t>
      </w:r>
    </w:p>
    <w:p>
      <w:pPr>
        <w:pStyle w:val="ListParagraph"/>
        <w:numPr>
          <w:ilvl w:val="0"/>
          <w:numId w:val="2"/>
        </w:numPr>
        <w:spacing w:after="30" w:line="235"/>
      </w:pPr>
      <w:r>
        <w:rPr>
          <w:rFonts w:ascii="Calibri" w:cs="Calibri" w:eastAsia="Calibri" w:hAnsi="Calibri"/>
          <w:b/>
          <w:bCs/>
          <w:color w:val="10221B"/>
          <w:sz w:val="17"/>
          <w:szCs w:val="17"/>
        </w:rPr>
        <w:t xml:space="preserve">Next phases </w:t>
      </w:r>
      <w:r>
        <w:rPr>
          <w:rFonts w:ascii="Calibri" w:cs="Calibri" w:eastAsia="Calibri" w:hAnsi="Calibri"/>
          <w:color w:val="10221B"/>
          <w:sz w:val="17"/>
          <w:szCs w:val="17"/>
        </w:rPr>
        <w:t xml:space="preserve">(client dashboard, "Bees Copilot" chatbot with pgvector in the same Supabase database) build on this same app.</w:t>
      </w:r>
    </w:p>
    <w:sectPr>
      <w:pgSz w:w="11906" w:h="16838" w:orient="portrait"/>
      <w:pgMar w:top="620" w:right="720" w:bottom="56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rPr>
        <w:color w:val="0F6B4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4ffe39e128e3805a564f0204eac48ca37764c9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TimesArrow system architecture</dc:title>
  <dc:creator>WisBees</dc:creator>
  <cp:lastModifiedBy>Un-named</cp:lastModifiedBy>
  <cp:revision>1</cp:revision>
  <dcterms:created xsi:type="dcterms:W3CDTF">2026-10-08T14:02:09.778Z</dcterms:created>
  <dcterms:modified xsi:type="dcterms:W3CDTF">2026-10-08T14:02:09.778Z</dcterms:modified>
</cp:coreProperties>
</file>

<file path=docProps/custom.xml><?xml version="1.0" encoding="utf-8"?>
<Properties xmlns="http://schemas.openxmlformats.org/officeDocument/2006/custom-properties" xmlns:vt="http://schemas.openxmlformats.org/officeDocument/2006/docPropsVTypes"/>
</file>