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QUYẾT ĐỊNH</w:t>
      </w:r>
    </w:p>
    <w:p>
      <w:r>
        <w:t>Về việc ban hành Quy chế quản lý tài sản công</w:t>
      </w:r>
    </w:p>
    <w:p/>
    <w:p>
      <w:pPr>
        <w:pStyle w:val="Heading1"/>
      </w:pPr>
      <w:r>
        <w:t>CHƯƠNG I</w:t>
      </w:r>
    </w:p>
    <w:p>
      <w:r>
        <w:t>QUY ĐỊNH CHUNG</w:t>
      </w:r>
    </w:p>
    <w:p/>
    <w:p>
      <w:pPr>
        <w:pStyle w:val="Heading2"/>
      </w:pPr>
      <w:r>
        <w:t>Điều 1. Phạm vi điều chỉnh</w:t>
      </w:r>
    </w:p>
    <w:p>
      <w:r>
        <w:t>1. Quy chế này quy định việc quản lý, sử dụng tài sản công tại các đơn vị trực thuộc Tổng công ty.</w:t>
      </w:r>
    </w:p>
    <w:p>
      <w:r>
        <w:t>2. Đối tượng áp dụng bao gồm:</w:t>
      </w:r>
    </w:p>
    <w:p>
      <w:r>
        <w:t>a) Các đơn vị hạch toán phụ thuộc;</w:t>
      </w:r>
    </w:p>
    <w:p>
      <w:r>
        <w:t>b) Các chi nhánh và văn phòng đại diện;</w:t>
      </w:r>
    </w:p>
    <w:p>
      <w:r>
        <w:t>c) Người lao động được giao quản lý tài sản.</w:t>
      </w:r>
    </w:p>
    <w:p/>
    <w:p>
      <w:pPr>
        <w:pStyle w:val="Heading2"/>
      </w:pPr>
      <w:r>
        <w:t>Điều 2. Nguyên tắc quản lý</w:t>
      </w:r>
    </w:p>
    <w:p>
      <w:r>
        <w:t>1. Tài sản công phải được sử dụng đúng mục đích, tiết kiệm và hiệu quả.</w:t>
      </w:r>
    </w:p>
    <w:p>
      <w:r>
        <w:t>2. Mọi trường hợp điều chuyển tài sản giữa các đơn vị phải được Tổng giám đốc phê duyệt bằng văn bản.</w:t>
      </w:r>
    </w:p>
    <w:p/>
    <w:p>
      <w:pPr>
        <w:pStyle w:val="Heading1"/>
      </w:pPr>
      <w:r>
        <w:t>CHƯƠNG II</w:t>
      </w:r>
    </w:p>
    <w:p>
      <w:r>
        <w:t>TRÁCH NHIỆM CỦA CÁC ĐƠN VỊ</w:t>
      </w:r>
    </w:p>
    <w:p/>
    <w:p>
      <w:pPr>
        <w:pStyle w:val="Heading2"/>
      </w:pPr>
      <w:r>
        <w:t>Điều 3. Trách nhiệm của Thủ trưởng đơn vị</w:t>
      </w:r>
    </w:p>
    <w:p>
      <w:r>
        <w:t>1. Thủ trưởng đơn vị chịu trách nhiệm tổ chức triển khai Quy chế này trong phạm vi đơn vị mình quản lý.</w:t>
      </w:r>
    </w:p>
    <w:p>
      <w:r>
        <w:t>2. Định kỳ hằng quý, báo cáo kết quả thực hiện về Văn phòng Tổng công ty để tổng hợp, theo dõi.</w:t>
      </w:r>
    </w:p>
    <w:p>
      <w:r>
        <w:t>3. Trường hợp phát hiện vi phạm, phải đình chỉ ngay và báo cáo bằng văn bản chậm nhất sau 24 giờ.</w:t>
      </w:r>
    </w:p>
    <w:p/>
    <w:p>
      <w:pPr>
        <w:pStyle w:val="Heading2"/>
      </w:pPr>
      <w:r>
        <w:t>Điều 4. Hiệu lực thi hành</w:t>
      </w:r>
    </w:p>
    <w:p>
      <w:r>
        <w:t>1. Quy chế này có hiệu lực kể từ ngày ký ban hành.</w:t>
      </w:r>
    </w:p>
    <w:p>
      <w:r>
        <w:t>2. Các quy định trước đây trái với Quy chế này đều bãi bỏ.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