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jpeg" ContentType="image/jpeg"/>
  <Override PartName="/word/media/image5.jpeg" ContentType="image/jpeg"/>
  <Override PartName="/word/media/image4.jpeg" ContentType="image/jpeg"/>
  <Override PartName="/word/media/image3.jpeg" ContentType="image/jpeg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ul"/>
        <w:spacing w:before="120" w:after="120"/>
        <w:rPr/>
      </w:pPr>
      <w:r>
        <w:rPr/>
        <w:t>Fokuser pro dalekohledy řízený přes USB(RS232)</w:t>
      </w:r>
    </w:p>
    <w:p>
      <w:pPr>
        <w:pStyle w:val="Autor"/>
        <w:rPr/>
      </w:pPr>
      <w:r>
        <w:rPr/>
        <w:t>Jan Chroust, Jakub Kákona</w:t>
      </w:r>
    </w:p>
    <w:p>
      <w:pPr>
        <w:pStyle w:val="Podtitul"/>
        <w:jc w:val="both"/>
        <w:rPr/>
      </w:pPr>
      <w:r>
        <w:rPr/>
        <w:t>Konstrukce je určena pro automatické ostření dalekohledů. Elektronické řízení krokového motoru využívá mikrokrokování, které eliminuje vibrace generované motorem. Konstrukce obsahuje senzor, který umožňuje dávat zpětnou vazbu o pohybu řízené hřídele, která ostří dalekohled. Konstrukce počítá s koncovými spínači.</w:t>
      </w:r>
    </w:p>
    <w:p>
      <w:pPr>
        <w:pStyle w:val="Podtitul"/>
        <w:jc w:val="both"/>
        <w:rPr/>
      </w:pPr>
      <w:r>
        <w:rPr/>
      </w:r>
    </w:p>
    <w:p>
      <w:pPr>
        <w:pStyle w:val="Odstavecsobrzkem"/>
        <w:rPr/>
      </w:pPr>
      <w:r>
        <w:rPr/>
        <w:drawing>
          <wp:inline distT="0" distB="0" distL="0" distR="0">
            <wp:extent cx="4288790" cy="2343785"/>
            <wp:effectExtent l="0" t="0" r="0" b="0"/>
            <wp:docPr id="1" name="Obrázek 1" descr="C:\Chroust\Zaloha\stare\MLAB\Designs\ROBOTS\TEFO01A\DOC\SRC\img\P10207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C:\Chroust\Zaloha\stare\MLAB\Designs\ROBOTS\TEFO01A\DOC\SRC\img\P1020745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adpis1"/>
        <w:numPr>
          <w:ilvl w:val="0"/>
          <w:numId w:val="2"/>
        </w:numPr>
        <w:rPr/>
      </w:pPr>
      <w:r>
        <w:rPr/>
        <w:t>Technické parametry</w:t>
      </w:r>
    </w:p>
    <w:tbl>
      <w:tblPr>
        <w:tblW w:w="9778" w:type="dxa"/>
        <w:jc w:val="left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4" w:space="0" w:color="000000"/>
          <w:insideH w:val="single" w:sz="12" w:space="0" w:color="000000"/>
          <w:insideV w:val="single" w:sz="4" w:space="0" w:color="000000"/>
        </w:tblBorders>
        <w:tblCellMar>
          <w:top w:w="0" w:type="dxa"/>
          <w:left w:w="60" w:type="dxa"/>
          <w:bottom w:w="0" w:type="dxa"/>
          <w:right w:w="70" w:type="dxa"/>
        </w:tblCellMar>
        <w:tblLook w:noVBand="0" w:val="0000" w:noHBand="0" w:lastColumn="0" w:firstColumn="0" w:lastRow="0" w:firstRow="0"/>
      </w:tblPr>
      <w:tblGrid>
        <w:gridCol w:w="3259"/>
        <w:gridCol w:w="3259"/>
        <w:gridCol w:w="3260"/>
      </w:tblGrid>
      <w:tr>
        <w:trPr/>
        <w:tc>
          <w:tcPr>
            <w:tcW w:w="32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  <w:insideH w:val="single" w:sz="12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keepLines/>
              <w:widowControl/>
              <w:bidi w:val="0"/>
              <w:spacing w:before="120" w:after="12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Parametr</w:t>
            </w:r>
          </w:p>
        </w:tc>
        <w:tc>
          <w:tcPr>
            <w:tcW w:w="3259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  <w:insideH w:val="single" w:sz="12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keepLines/>
              <w:widowControl/>
              <w:bidi w:val="0"/>
              <w:spacing w:before="120" w:after="12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Hodnota</w:t>
            </w:r>
          </w:p>
        </w:tc>
        <w:tc>
          <w:tcPr>
            <w:tcW w:w="326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  <w:insideH w:val="single" w:sz="12" w:space="0" w:color="000000"/>
              <w:insideV w:val="single" w:sz="12" w:space="0" w:color="000000"/>
            </w:tcBorders>
            <w:shd w:fill="auto" w:val="clear"/>
            <w:vAlign w:val="center"/>
          </w:tcPr>
          <w:p>
            <w:pPr>
              <w:pStyle w:val="Normal"/>
              <w:keepLines/>
              <w:widowControl/>
              <w:bidi w:val="0"/>
              <w:spacing w:before="120" w:after="12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Poznámka</w:t>
            </w:r>
          </w:p>
        </w:tc>
      </w:tr>
      <w:tr>
        <w:trPr/>
        <w:tc>
          <w:tcPr>
            <w:tcW w:w="3259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Zhlav"/>
              <w:tabs>
                <w:tab w:val="clear" w:pos="4536"/>
                <w:tab w:val="clear" w:pos="9072"/>
              </w:tabs>
              <w:spacing w:before="120" w:after="120"/>
              <w:rPr/>
            </w:pPr>
            <w:r>
              <w:rPr/>
              <w:t>Napájení</w:t>
            </w:r>
          </w:p>
        </w:tc>
        <w:tc>
          <w:tcPr>
            <w:tcW w:w="325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keepLines/>
              <w:widowControl/>
              <w:bidi w:val="0"/>
              <w:spacing w:before="120" w:after="120"/>
              <w:jc w:val="left"/>
              <w:rPr/>
            </w:pPr>
            <w:r>
              <w:rPr/>
              <w:t>8 V – 45 V</w:t>
            </w:r>
          </w:p>
        </w:tc>
        <w:tc>
          <w:tcPr>
            <w:tcW w:w="3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  <w:insideH w:val="single" w:sz="4" w:space="0" w:color="000000"/>
              <w:insideV w:val="single" w:sz="12" w:space="0" w:color="000000"/>
            </w:tcBorders>
            <w:shd w:fill="auto" w:val="clear"/>
            <w:vAlign w:val="center"/>
          </w:tcPr>
          <w:p>
            <w:pPr>
              <w:pStyle w:val="Normal"/>
              <w:keepLines/>
              <w:widowControl/>
              <w:bidi w:val="0"/>
              <w:spacing w:before="12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325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keepLines/>
              <w:widowControl/>
              <w:bidi w:val="0"/>
              <w:spacing w:before="120" w:after="120"/>
              <w:jc w:val="left"/>
              <w:rPr/>
            </w:pPr>
            <w:r>
              <w:rPr/>
              <w:t>Rozhraní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keepLines/>
              <w:widowControl/>
              <w:bidi w:val="0"/>
              <w:spacing w:before="120" w:after="120"/>
              <w:jc w:val="left"/>
              <w:rPr/>
            </w:pPr>
            <w:r>
              <w:rPr/>
              <w:t>USB, RS232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  <w:insideH w:val="single" w:sz="4" w:space="0" w:color="000000"/>
              <w:insideV w:val="single" w:sz="12" w:space="0" w:color="000000"/>
            </w:tcBorders>
            <w:shd w:fill="auto" w:val="clear"/>
            <w:vAlign w:val="center"/>
          </w:tcPr>
          <w:p>
            <w:pPr>
              <w:pStyle w:val="Normal"/>
              <w:keepLines/>
              <w:widowControl/>
              <w:bidi w:val="0"/>
              <w:spacing w:before="120" w:after="120"/>
              <w:jc w:val="left"/>
              <w:rPr/>
            </w:pPr>
            <w:r>
              <w:rPr/>
              <w:t>Po dohodě</w:t>
            </w:r>
          </w:p>
        </w:tc>
      </w:tr>
      <w:tr>
        <w:trPr/>
        <w:tc>
          <w:tcPr>
            <w:tcW w:w="3259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  <w:insideH w:val="single" w:sz="12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keepLines/>
              <w:widowControl/>
              <w:bidi w:val="0"/>
              <w:spacing w:before="120" w:after="120"/>
              <w:jc w:val="left"/>
              <w:rPr/>
            </w:pPr>
            <w:r>
              <w:rPr/>
              <w:t>Rozměry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  <w:insideH w:val="single" w:sz="12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keepLines/>
              <w:widowControl/>
              <w:bidi w:val="0"/>
              <w:spacing w:before="120" w:after="120"/>
              <w:jc w:val="left"/>
              <w:rPr/>
            </w:pPr>
            <w:r>
              <w:rPr/>
              <w:t>Dle zvolené koncepce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  <w:insideH w:val="single" w:sz="12" w:space="0" w:color="000000"/>
              <w:insideV w:val="single" w:sz="12" w:space="0" w:color="000000"/>
            </w:tcBorders>
            <w:shd w:fill="auto" w:val="clear"/>
            <w:vAlign w:val="center"/>
          </w:tcPr>
          <w:p>
            <w:pPr>
              <w:pStyle w:val="Normal"/>
              <w:keepLines/>
              <w:widowControl/>
              <w:bidi w:val="0"/>
              <w:spacing w:before="120" w:after="120"/>
              <w:jc w:val="left"/>
              <w:rPr/>
            </w:pPr>
            <w:r>
              <w:rPr/>
            </w:r>
          </w:p>
        </w:tc>
      </w:tr>
    </w:tbl>
    <w:p>
      <w:pPr>
        <w:pStyle w:val="Nadpis1"/>
        <w:numPr>
          <w:ilvl w:val="0"/>
          <w:numId w:val="2"/>
        </w:numPr>
        <w:rPr/>
      </w:pPr>
      <w:r>
        <w:br w:type="page"/>
      </w:r>
      <w:r>
        <w:rPr/>
        <w:t>Popis konstrukce</w:t>
      </w:r>
    </w:p>
    <w:p>
      <w:pPr>
        <w:pStyle w:val="Nadpis3"/>
        <w:numPr>
          <w:ilvl w:val="2"/>
          <w:numId w:val="2"/>
        </w:numPr>
        <w:rPr/>
      </w:pPr>
      <w:r>
        <w:rPr/>
        <w:t>Úvod</w:t>
      </w:r>
    </w:p>
    <w:p>
      <w:pPr>
        <w:pStyle w:val="Normal"/>
        <w:rPr/>
      </w:pPr>
      <w:r>
        <w:rPr/>
        <w:t>Zařízení TEFO01A řeší pouze elektronickou část fokuseru. Veškerou mechaniku je potřeba si vytvořit. K elektronice je možné připojit krokový motor v rozsahu napájecího napětí 8 V – 45 V. Mechanická konstrukce musí obsahovat dva koncové spínače, které budou zapojeny paralelně (po stisku koncového spínače musí být kontakt ve stavu sepnutém). Konstrukce musí počítat s úchytem pro magnet o průměru 6 mm a výšce 5 mm v ose pohyblivé hřídele. Proti magnetu je potřeba zajistit úchyt modulu RPS01A.</w:t>
      </w:r>
    </w:p>
    <w:p>
      <w:pPr>
        <w:pStyle w:val="Normal"/>
        <w:rPr/>
      </w:pPr>
      <w:r>
        <w:rPr/>
        <w:t>V případě zájmu o dodání TEFO01A nás prosím kontaktujte, protože konstrukce může být přizpůsobena požadavků. Je možné dodání více senzorů, ovládačů korkových motorů, nebo změnit komunikační rozhraní.</w:t>
      </w:r>
    </w:p>
    <w:p>
      <w:pPr>
        <w:pStyle w:val="Nadpis3"/>
        <w:numPr>
          <w:ilvl w:val="2"/>
          <w:numId w:val="2"/>
        </w:numPr>
        <w:rPr/>
      </w:pPr>
      <w:r>
        <w:rPr/>
        <w:t>Potřebné moduly</w:t>
      </w:r>
    </w:p>
    <w:p>
      <w:pPr>
        <w:pStyle w:val="Normal"/>
        <w:rPr/>
      </w:pPr>
      <w:r>
        <w:rPr>
          <w:b/>
        </w:rPr>
        <w:t>Pro variantu řízenou USB:</w:t>
      </w:r>
      <w:r>
        <w:rPr/>
        <w:t xml:space="preserve"> HBSTEP01B (s C pro 50V, jumper na ADCIN a VREG-VDD), I2CSPI01A, USBI2C01A (jumper na volbu 3V3 pro napájení I2C hřebínku a mezi VIO-3,3V), UNIPOWER02A(12V verze), TEFO01C_BOX01A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adpis3"/>
        <w:numPr>
          <w:ilvl w:val="2"/>
          <w:numId w:val="2"/>
        </w:numPr>
        <w:rPr/>
      </w:pPr>
      <w:r>
        <w:rPr/>
        <w:t>Propojení modulů</w:t>
      </w:r>
    </w:p>
    <w:p>
      <w:pPr>
        <w:pStyle w:val="Nadpis4"/>
        <w:rPr/>
      </w:pPr>
      <w:r>
        <w:rPr/>
        <w:t>Zapojení konektoru MIC338</w:t>
      </w:r>
    </w:p>
    <w:p>
      <w:pPr>
        <w:pStyle w:val="Normal"/>
        <w:rPr/>
      </w:pPr>
      <w:r>
        <w:rPr/>
        <w:t>PIN – barva délka – význam vodiče – zapojení na modul</w:t>
      </w:r>
    </w:p>
    <w:p>
      <w:pPr>
        <w:pStyle w:val="Normal"/>
        <w:rPr/>
      </w:pPr>
      <w:r>
        <w:rPr/>
        <w:t xml:space="preserve">PIN 1 – </w:t>
      </w:r>
      <w:r>
        <w:rPr>
          <w:b/>
          <w:color w:val="FF6600"/>
        </w:rPr>
        <w:t>oranžová</w:t>
      </w:r>
      <w:r>
        <w:rPr/>
        <w:t xml:space="preserve"> 10 cm OUT1A - HBSTEP01B</w:t>
      </w:r>
    </w:p>
    <w:p>
      <w:pPr>
        <w:pStyle w:val="Normal"/>
        <w:rPr/>
      </w:pPr>
      <w:r>
        <w:rPr/>
        <w:t xml:space="preserve">PIN 2 – </w:t>
      </w:r>
      <w:r>
        <w:rPr>
          <w:rFonts w:eastAsia="Times New Roman" w:cs="Times New Roman"/>
          <w:b/>
          <w:color w:val="auto"/>
          <w:kern w:val="0"/>
          <w:sz w:val="24"/>
          <w:szCs w:val="24"/>
          <w:lang w:val="cs-CZ" w:eastAsia="cs-CZ" w:bidi="ar-SA"/>
        </w:rPr>
        <w:t>černá</w:t>
      </w:r>
      <w:r>
        <w:rPr/>
        <w:t xml:space="preserve"> 10 cm – OUT2A - HBSTEP01B</w:t>
      </w:r>
    </w:p>
    <w:p>
      <w:pPr>
        <w:pStyle w:val="Normal"/>
        <w:rPr/>
      </w:pPr>
      <w:r>
        <w:rPr/>
        <w:t xml:space="preserve">PIN 3 – </w:t>
      </w:r>
      <w:r>
        <w:rPr>
          <w:b/>
        </w:rPr>
        <w:t>bílá</w:t>
      </w:r>
      <w:r>
        <w:rPr/>
        <w:t xml:space="preserve"> 10 cm - OUT1B - HBSTEP01B</w:t>
      </w:r>
    </w:p>
    <w:p>
      <w:pPr>
        <w:pStyle w:val="Normal"/>
        <w:rPr/>
      </w:pPr>
      <w:r>
        <w:rPr/>
        <w:t xml:space="preserve">PIN 4 – </w:t>
      </w:r>
      <w:r>
        <w:rPr>
          <w:rFonts w:eastAsia="Times New Roman" w:cs="Times New Roman"/>
          <w:b/>
          <w:color w:val="0070C0"/>
          <w:kern w:val="0"/>
          <w:sz w:val="24"/>
          <w:szCs w:val="24"/>
          <w:lang w:val="cs-CZ" w:eastAsia="cs-CZ" w:bidi="ar-SA"/>
        </w:rPr>
        <w:t>modrá</w:t>
      </w:r>
      <w:r>
        <w:rPr>
          <w:b/>
          <w:color w:val="984806" w:themeColor="accent6" w:themeShade="80"/>
        </w:rPr>
        <w:t xml:space="preserve"> </w:t>
      </w:r>
      <w:r>
        <w:rPr/>
        <w:t>10 cm - OUT2B - HBSTEP01B</w:t>
      </w:r>
    </w:p>
    <w:p>
      <w:pPr>
        <w:pStyle w:val="Normal"/>
        <w:rPr/>
      </w:pPr>
      <w:r>
        <w:rPr/>
        <w:t xml:space="preserve">PIN 5 – </w:t>
      </w:r>
      <w:r>
        <w:rPr>
          <w:b/>
          <w:bCs/>
          <w:color w:val="9900FF"/>
        </w:rPr>
        <w:t>fialová</w:t>
      </w:r>
      <w:r>
        <w:rPr>
          <w:b/>
          <w:color w:val="0070C0"/>
        </w:rPr>
        <w:t xml:space="preserve"> </w:t>
      </w:r>
      <w:r>
        <w:rPr/>
        <w:t>10 cm – první spínač GPIO</w:t>
      </w:r>
      <w:r>
        <w:rPr/>
        <w:t>0 (TXT)</w:t>
      </w:r>
      <w:r>
        <w:rPr/>
        <w:t xml:space="preserve"> – USBI2C01A</w:t>
      </w:r>
    </w:p>
    <w:p>
      <w:pPr>
        <w:pStyle w:val="Normal"/>
        <w:rPr/>
      </w:pPr>
      <w:bookmarkStart w:id="0" w:name="__DdeLink__236_2666743998"/>
      <w:r>
        <w:rPr/>
        <w:t xml:space="preserve">PIN 6 – </w:t>
      </w:r>
      <w:r>
        <w:rPr>
          <w:b/>
          <w:color w:val="999999"/>
        </w:rPr>
        <w:t>šedá</w:t>
      </w:r>
      <w:r>
        <w:rPr/>
        <w:t xml:space="preserve"> 10cm – druhý spínač GPIO</w:t>
      </w:r>
      <w:r>
        <w:rPr/>
        <w:t>1 (RXT)</w:t>
      </w:r>
      <w:r>
        <w:rPr/>
        <w:t xml:space="preserve"> – USBI2C01A</w:t>
      </w:r>
      <w:bookmarkEnd w:id="0"/>
    </w:p>
    <w:p>
      <w:pPr>
        <w:pStyle w:val="Normal"/>
        <w:rPr/>
      </w:pPr>
      <w:r>
        <w:rPr/>
        <w:t xml:space="preserve">PIN 7 – </w:t>
      </w:r>
      <w:r>
        <w:rPr>
          <w:b/>
          <w:color w:val="009933"/>
        </w:rPr>
        <w:t>zelná</w:t>
      </w:r>
      <w:r>
        <w:rPr/>
        <w:t xml:space="preserve"> 10cm – střed mezi vypínači SW– HBSTEP01B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185160" cy="1438275"/>
            <wp:effectExtent l="0" t="0" r="0" b="0"/>
            <wp:docPr id="2" name="Obrázek 2" descr="C:\Chroust\Zaloha\stare\MLAB\Designs\ROBOTS\TEFO01A\DOC\SRC\img\P10207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C:\Chroust\Zaloha\stare\MLAB\Designs\ROBOTS\TEFO01A\DOC\SRC\img\P1020709.JP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adpis4"/>
        <w:rPr/>
      </w:pPr>
      <w:r>
        <w:rPr/>
        <w:t>Propojení mezi moduly HBSTEP01B a I2CSPI01A</w:t>
      </w:r>
    </w:p>
    <w:p>
      <w:pPr>
        <w:pStyle w:val="Normal"/>
        <w:rPr/>
      </w:pPr>
      <w:r>
        <w:rPr/>
        <w:t>I2CSPI01A – HBSTEP01B</w:t>
      </w:r>
    </w:p>
    <w:p>
      <w:pPr>
        <w:pStyle w:val="Normal"/>
        <w:rPr/>
      </w:pPr>
      <w:r>
        <w:rPr>
          <w:lang w:val="en-US"/>
        </w:rPr>
        <w:t>#</w:t>
      </w:r>
      <w:r>
        <w:rPr/>
        <w:t>SS0 - #CS – zelená 10cm</w:t>
      </w:r>
    </w:p>
    <w:p>
      <w:pPr>
        <w:pStyle w:val="Normal"/>
        <w:rPr/>
      </w:pPr>
      <w:r>
        <w:rPr/>
        <w:t>CLK – CK  - bílá 10cm</w:t>
      </w:r>
    </w:p>
    <w:p>
      <w:pPr>
        <w:pStyle w:val="Normal"/>
        <w:rPr/>
      </w:pPr>
      <w:r>
        <w:rPr/>
        <w:t>MISO – SDO – šedá 10cm</w:t>
      </w:r>
    </w:p>
    <w:p>
      <w:pPr>
        <w:pStyle w:val="Normal"/>
        <w:rPr/>
      </w:pPr>
      <w:r>
        <w:rPr/>
        <w:t xml:space="preserve">MOSI – SDI – hnědá 10cm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Na I2CSPI01A vyvést vodičem napájení POWER IN na I2C hřebínek. Kvůli pull-up a napájení. 10Cm oranžová</w:t>
      </w:r>
    </w:p>
    <w:p>
      <w:pPr>
        <w:pStyle w:val="Normal"/>
        <w:rPr/>
      </w:pPr>
      <w:r>
        <w:rPr/>
      </w:r>
    </w:p>
    <w:p>
      <w:pPr>
        <w:pStyle w:val="Nadpis4"/>
        <w:rPr/>
      </w:pPr>
      <w:r>
        <w:rPr/>
        <w:t>Propojení mezi USBI2C01A a I2CSPI01A</w:t>
      </w:r>
    </w:p>
    <w:p>
      <w:pPr>
        <w:pStyle w:val="Normal"/>
        <w:rPr/>
      </w:pPr>
      <w:r>
        <w:rPr/>
        <w:t>USBI2C01A – I2CSPI01A</w:t>
      </w:r>
    </w:p>
    <w:p>
      <w:pPr>
        <w:pStyle w:val="Normal"/>
        <w:rPr/>
      </w:pPr>
      <w:r>
        <w:rPr/>
        <w:t>SDA – SDA – bílá 10cm</w:t>
      </w:r>
    </w:p>
    <w:p>
      <w:pPr>
        <w:pStyle w:val="Normal"/>
        <w:rPr/>
      </w:pPr>
      <w:r>
        <w:rPr/>
        <w:t xml:space="preserve">SCL – SCL – hnědá 10cm </w:t>
      </w:r>
    </w:p>
    <w:p>
      <w:pPr>
        <w:pStyle w:val="Normal"/>
        <w:rPr/>
      </w:pPr>
      <w:r>
        <w:rPr/>
        <w:t>GND – GND – černá  hřebínek pro I2C</w:t>
      </w:r>
    </w:p>
    <w:p>
      <w:pPr>
        <w:pStyle w:val="Normal"/>
        <w:rPr/>
      </w:pPr>
      <w:r>
        <w:rPr/>
        <w:t>VI2C – 3V3 – oranžová hřebínek pro I2C</w:t>
      </w:r>
    </w:p>
    <w:p>
      <w:pPr>
        <w:pStyle w:val="Nadpis4"/>
        <w:rPr/>
      </w:pPr>
      <w:r>
        <w:rPr/>
        <w:t>Propojení mezi UNIPOWER02A a HBSTEP01B napájení 12V</w:t>
      </w:r>
    </w:p>
    <w:p>
      <w:pPr>
        <w:pStyle w:val="Normal"/>
        <w:rPr/>
      </w:pPr>
      <w:r>
        <w:rPr/>
        <w:t xml:space="preserve">UNIPOWER02A – HBSTEP01B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POWER OUT (</w:t>
      </w:r>
      <w:r>
        <w:rPr>
          <w:b/>
          <w:color w:val="0070C0"/>
        </w:rPr>
        <w:t>modré</w:t>
      </w:r>
      <w:r>
        <w:rPr/>
        <w:t xml:space="preserve"> WAGO) - POWER MOTOR (</w:t>
      </w:r>
      <w:r>
        <w:rPr>
          <w:b/>
          <w:color w:val="0070C0"/>
        </w:rPr>
        <w:t>modré</w:t>
      </w:r>
      <w:r>
        <w:rPr/>
        <w:t xml:space="preserve"> WAGO) – 7cm modrá</w:t>
      </w:r>
    </w:p>
    <w:p>
      <w:pPr>
        <w:pStyle w:val="Normal"/>
        <w:rPr/>
      </w:pPr>
      <w:r>
        <w:rPr/>
        <w:t>POWER OUT (</w:t>
      </w:r>
      <w:r>
        <w:rPr>
          <w:b/>
          <w:color w:val="FF0000"/>
        </w:rPr>
        <w:t>červené</w:t>
      </w:r>
      <w:r>
        <w:rPr/>
        <w:t xml:space="preserve"> WAGO) + POWER MOTOR (</w:t>
      </w:r>
      <w:r>
        <w:rPr>
          <w:b/>
          <w:color w:val="FF0000"/>
        </w:rPr>
        <w:t>červené</w:t>
      </w:r>
      <w:r>
        <w:rPr/>
        <w:t xml:space="preserve"> WAGO) – 7cm žlutá</w:t>
      </w:r>
    </w:p>
    <w:p>
      <w:pPr>
        <w:pStyle w:val="Normal"/>
        <w:rPr/>
      </w:pPr>
      <w:r>
        <w:rPr/>
      </w:r>
    </w:p>
    <w:p>
      <w:pPr>
        <w:pStyle w:val="Nadpis4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adpis4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adpis4"/>
        <w:rPr/>
      </w:pPr>
      <w:r>
        <w:rPr/>
        <w:t>Propojení mezi HBSTEP01B a koncovým spínačem</w:t>
      </w:r>
    </w:p>
    <w:p>
      <w:pPr>
        <w:pStyle w:val="Normal"/>
        <w:rPr/>
      </w:pPr>
      <w:r>
        <w:rPr/>
        <w:t>Při dojezdu na koncoví spínač musí být kontakt v sepnutém stavu. Zapojení naznačuje následující obrázek:</w:t>
      </w:r>
    </w:p>
    <w:p>
      <w:pPr>
        <w:pStyle w:val="Normal"/>
        <w:rPr/>
      </w:pPr>
      <w:r>
        <w:rPr/>
      </w:r>
    </w:p>
    <w:p>
      <w:pPr>
        <w:pStyle w:val="Normal"/>
        <w:keepLines w:val="false"/>
        <w:spacing w:before="0" w:after="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43180</wp:posOffset>
            </wp:positionV>
            <wp:extent cx="6120130" cy="4591685"/>
            <wp:effectExtent l="0" t="0" r="0" b="0"/>
            <wp:wrapSquare wrapText="largest"/>
            <wp:docPr id="3" name="Obrázek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br w:type="page"/>
      </w:r>
    </w:p>
    <w:p>
      <w:pPr>
        <w:pStyle w:val="Nadpis4"/>
        <w:rPr/>
      </w:pPr>
      <w:bookmarkStart w:id="1" w:name="_GoBack"/>
      <w:bookmarkEnd w:id="1"/>
      <w:r>
        <w:rPr/>
        <w:t>Propojení mezi konektorem MIC338 a USBI2C01A v TEFO01A_BOX02A_I2C</w:t>
      </w:r>
    </w:p>
    <w:p>
      <w:pPr>
        <w:pStyle w:val="Normal"/>
        <w:rPr/>
      </w:pPr>
      <w:r>
        <w:rPr/>
        <w:t>MIC338 – USBI2C01A</w:t>
      </w:r>
    </w:p>
    <w:p>
      <w:pPr>
        <w:pStyle w:val="Normal"/>
        <w:rPr/>
      </w:pPr>
      <w:r>
        <w:rPr/>
        <w:t>PIN 1 (</w:t>
      </w:r>
      <w:r>
        <w:rPr>
          <w:b/>
          <w:color w:val="FFC000"/>
        </w:rPr>
        <w:t>žlutá</w:t>
      </w:r>
      <w:r>
        <w:rPr/>
        <w:t xml:space="preserve"> 15 cm + 3V3) + 3V3 z I2C hřebínku</w:t>
      </w:r>
    </w:p>
    <w:p>
      <w:pPr>
        <w:pStyle w:val="Normal"/>
        <w:rPr/>
      </w:pPr>
      <w:r>
        <w:rPr/>
        <w:t>PIN 2 (</w:t>
      </w:r>
      <w:r>
        <w:rPr>
          <w:b/>
          <w:color w:val="00B050"/>
        </w:rPr>
        <w:t>zelená</w:t>
      </w:r>
      <w:r>
        <w:rPr/>
        <w:t xml:space="preserve"> 15 cm GND) GND z I2C hřebínku</w:t>
      </w:r>
    </w:p>
    <w:p>
      <w:pPr>
        <w:pStyle w:val="Normal"/>
        <w:rPr/>
      </w:pPr>
      <w:r>
        <w:rPr/>
        <w:t>PIN 3 (</w:t>
      </w:r>
      <w:r>
        <w:rPr>
          <w:b/>
        </w:rPr>
        <w:t>černá</w:t>
      </w:r>
      <w:r>
        <w:rPr/>
        <w:t xml:space="preserve"> 15 cm I2C SDA) - SDA</w:t>
      </w:r>
    </w:p>
    <w:p>
      <w:pPr>
        <w:pStyle w:val="Normal"/>
        <w:rPr/>
      </w:pPr>
      <w:r>
        <w:rPr/>
        <w:t>PIN 4 (</w:t>
      </w:r>
      <w:r>
        <w:rPr>
          <w:b/>
          <w:color w:val="984806" w:themeColor="accent6" w:themeShade="80"/>
        </w:rPr>
        <w:t>hnědá</w:t>
      </w:r>
      <w:r>
        <w:rPr/>
        <w:t xml:space="preserve"> 15 cm I2C SCL) – SCL</w:t>
      </w:r>
    </w:p>
    <w:p>
      <w:pPr>
        <w:pStyle w:val="Normal"/>
        <w:rPr/>
      </w:pPr>
      <w:r>
        <w:rPr/>
      </w:r>
    </w:p>
    <w:p>
      <w:pPr>
        <w:pStyle w:val="Nadpis4"/>
        <w:rPr/>
      </w:pPr>
      <w:r>
        <w:rPr/>
        <w:t>Propojení mezi konektorem MIC338 a UNIPOWER02A v TEFO01A_BOX02A_I2C</w:t>
      </w:r>
    </w:p>
    <w:p>
      <w:pPr>
        <w:pStyle w:val="Normal"/>
        <w:rPr/>
      </w:pPr>
      <w:r>
        <w:rPr/>
        <w:t>MIC338 – UNIPOWER02A</w:t>
      </w:r>
    </w:p>
    <w:p>
      <w:pPr>
        <w:pStyle w:val="Normal"/>
        <w:rPr/>
      </w:pPr>
      <w:r>
        <w:rPr/>
        <w:t>PIN 5 (</w:t>
      </w:r>
      <w:r>
        <w:rPr>
          <w:b/>
          <w:color w:val="0070C0"/>
        </w:rPr>
        <w:t xml:space="preserve">modrá </w:t>
      </w:r>
      <w:r>
        <w:rPr/>
        <w:t>15 cm) - POWER OUT (</w:t>
      </w:r>
      <w:r>
        <w:rPr>
          <w:b/>
          <w:color w:val="0070C0"/>
        </w:rPr>
        <w:t>modré</w:t>
      </w:r>
      <w:r>
        <w:rPr/>
        <w:t xml:space="preserve"> WAGO)</w:t>
      </w:r>
    </w:p>
    <w:p>
      <w:pPr>
        <w:pStyle w:val="Normal"/>
        <w:rPr/>
      </w:pPr>
      <w:r>
        <w:rPr/>
        <w:t>PIN 8 (</w:t>
      </w:r>
      <w:r>
        <w:rPr>
          <w:b/>
          <w:color w:val="FF0000"/>
        </w:rPr>
        <w:t>červená</w:t>
      </w:r>
      <w:r>
        <w:rPr/>
        <w:t xml:space="preserve"> 15cm) + POWER OUT (</w:t>
      </w:r>
      <w:r>
        <w:rPr>
          <w:b/>
          <w:color w:val="FF0000"/>
        </w:rPr>
        <w:t>červené</w:t>
      </w:r>
      <w:r>
        <w:rPr/>
        <w:t xml:space="preserve"> WAGO)</w:t>
      </w:r>
    </w:p>
    <w:p>
      <w:pPr>
        <w:pStyle w:val="Normal"/>
        <w:rPr/>
      </w:pPr>
      <w:r>
        <w:rPr/>
      </w:r>
    </w:p>
    <w:p>
      <w:pPr>
        <w:pStyle w:val="Normal"/>
        <w:keepLines w:val="false"/>
        <w:spacing w:before="0" w:after="0"/>
        <w:rPr>
          <w:rFonts w:ascii="Arial" w:hAnsi="Arial" w:cs="Arial"/>
          <w:b/>
          <w:b/>
          <w:bCs/>
          <w:sz w:val="26"/>
          <w:szCs w:val="26"/>
        </w:rPr>
      </w:pPr>
      <w:r>
        <w:rPr>
          <w:rFonts w:cs="Arial" w:ascii="Arial" w:hAnsi="Arial"/>
          <w:b/>
          <w:bCs/>
          <w:sz w:val="26"/>
          <w:szCs w:val="26"/>
        </w:rPr>
      </w:r>
      <w:r>
        <w:br w:type="page"/>
      </w:r>
    </w:p>
    <w:p>
      <w:pPr>
        <w:pStyle w:val="Nadpis1"/>
        <w:numPr>
          <w:ilvl w:val="0"/>
          <w:numId w:val="2"/>
        </w:numPr>
        <w:rPr/>
      </w:pPr>
      <w:r>
        <w:rPr/>
        <w:t>Fotografie</w:t>
      </w:r>
    </w:p>
    <w:p>
      <w:pPr>
        <w:pStyle w:val="Normal"/>
        <w:rPr/>
      </w:pPr>
      <w:r>
        <w:rPr/>
        <w:t>Vnitřní zapojení v TEFO01A_BOX01A: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676775" cy="3794125"/>
            <wp:effectExtent l="0" t="0" r="0" b="0"/>
            <wp:docPr id="4" name="Obrázek 3" descr="C:\Chroust\Zaloha\stare\MLAB\Designs\ROBOTS\TEFO01A\DOC\SRC\img\P10207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3" descr="C:\Chroust\Zaloha\stare\MLAB\Designs\ROBOTS\TEFO01A\DOC\SRC\img\P1020718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Vnitřní zapojení v TEFO01A_BOX02A_I2C: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724525" cy="3616960"/>
            <wp:effectExtent l="0" t="0" r="0" b="0"/>
            <wp:docPr id="5" name="Obrázek 4" descr="C:\Chroust\Zaloha\stare\MLAB\Designs\ROBOTS\TEFO01A\DOC\SRC\img\P10207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4" descr="C:\Chroust\Zaloha\stare\MLAB\Designs\ROBOTS\TEFO01A\DOC\SRC\img\P1020727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Ukázka vzhledu mechanické konstrukce: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943350" cy="2981325"/>
            <wp:effectExtent l="0" t="0" r="0" b="0"/>
            <wp:docPr id="6" name="Obrázek 5" descr="C:\Chroust\Zaloha\stare\MLAB\Designs\ROBOTS\TEFO01A\DOC\SRC\img\DSC_8369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5" descr="C:\Chroust\Zaloha\stare\MLAB\Designs\ROBOTS\TEFO01A\DOC\SRC\img\DSC_8369x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405" t="5500" r="14173" b="4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keepLines/>
        <w:widowControl/>
        <w:bidi w:val="0"/>
        <w:spacing w:before="120" w:after="120"/>
        <w:jc w:val="left"/>
        <w:rPr/>
      </w:pPr>
      <w:r>
        <w:rPr/>
      </w:r>
    </w:p>
    <w:sectPr>
      <w:headerReference w:type="default" r:id="rId8"/>
      <w:footerReference w:type="default" r:id="rId9"/>
      <w:type w:val="nextPage"/>
      <w:pgSz w:w="11906" w:h="16838"/>
      <w:pgMar w:left="1134" w:right="1134" w:header="567" w:top="2268" w:footer="567" w:bottom="124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ourier New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Zpat"/>
      <w:tabs>
        <w:tab w:val="right" w:pos="9639" w:leader="none"/>
      </w:tabs>
      <w:spacing w:before="120" w:after="120"/>
      <w:rPr/>
    </w:pPr>
    <w:r>
      <w:rPr/>
      <w:t>TEFO01C / 2015-12-21 / jacho/</w:t>
    </w:r>
    <w:r>
      <w:rPr>
        <w:rStyle w:val="Pagenumber"/>
      </w:rPr>
      <w:t xml:space="preserve"> http://www.mlab.cz</w:t>
      <w:tab/>
    </w:r>
    <w:r>
      <w:rPr>
        <w:rStyle w:val="Pagenumber"/>
      </w:rPr>
      <w:fldChar w:fldCharType="begin"/>
    </w:r>
    <w:r>
      <w:rPr>
        <w:rStyle w:val="Pagenumber"/>
      </w:rPr>
      <w:instrText> PAGE </w:instrText>
    </w:r>
    <w:r>
      <w:rPr>
        <w:rStyle w:val="Pagenumber"/>
      </w:rPr>
      <w:fldChar w:fldCharType="separate"/>
    </w:r>
    <w:r>
      <w:rPr>
        <w:rStyle w:val="Pagenumber"/>
      </w:rPr>
      <w:t>7</w:t>
    </w:r>
    <w:r>
      <w:rPr>
        <w:rStyle w:val="Pagenumber"/>
      </w:rPr>
      <w:fldChar w:fldCharType="end"/>
    </w:r>
    <w:r>
      <w:rPr>
        <w:rStyle w:val="Pagenumber"/>
      </w:rPr>
      <w:t xml:space="preserve"> / </w:t>
    </w:r>
    <w:r>
      <w:rPr>
        <w:rStyle w:val="Pagenumber"/>
      </w:rPr>
      <w:fldChar w:fldCharType="begin"/>
    </w:r>
    <w:r>
      <w:rPr>
        <w:rStyle w:val="Pagenumber"/>
      </w:rPr>
      <w:instrText> NUMPAGES </w:instrText>
    </w:r>
    <w:r>
      <w:rPr>
        <w:rStyle w:val="Pagenumber"/>
      </w:rPr>
      <w:fldChar w:fldCharType="separate"/>
    </w:r>
    <w:r>
      <w:rPr>
        <w:rStyle w:val="Pagenumber"/>
      </w:rPr>
      <w:t>7</w:t>
    </w:r>
    <w:r>
      <w:rPr>
        <w:rStyle w:val="Pagenumber"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Zhlav"/>
      <w:spacing w:before="120" w:after="120"/>
      <w:jc w:val="right"/>
      <w:rPr/>
    </w:pPr>
    <w:r>
      <w:rPr/>
      <mc:AlternateContent>
        <mc:Choice Requires="wps">
          <w:drawing>
            <wp:anchor behindDoc="1" distT="0" distB="0" distL="89535" distR="89535" simplePos="0" locked="0" layoutInCell="1" allowOverlap="1" relativeHeight="8">
              <wp:simplePos x="0" y="0"/>
              <wp:positionH relativeFrom="column">
                <wp:posOffset>-3175</wp:posOffset>
              </wp:positionH>
              <wp:positionV relativeFrom="paragraph">
                <wp:posOffset>635</wp:posOffset>
              </wp:positionV>
              <wp:extent cx="6103620" cy="865505"/>
              <wp:effectExtent l="0" t="0" r="0" b="0"/>
              <wp:wrapSquare wrapText="bothSides"/>
              <wp:docPr id="7" name="Rámec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03080" cy="864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tbl>
                          <w:tblPr>
                            <w:tblW w:w="9610" w:type="dxa"/>
                            <w:jc w:val="left"/>
                            <w:tblInd w:w="69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CellMar>
                              <w:top w:w="0" w:type="dxa"/>
                              <w:left w:w="65" w:type="dxa"/>
                              <w:bottom w:w="0" w:type="dxa"/>
                              <w:right w:w="70" w:type="dxa"/>
                            </w:tblCellMar>
                            <w:tblLook w:lastRow="0" w:firstRow="0" w:lastColumn="0" w:firstColumn="0" w:val="0000" w:noHBand="0" w:noVBand="0"/>
                          </w:tblPr>
                          <w:tblGrid>
                            <w:gridCol w:w="6480"/>
                            <w:gridCol w:w="3129"/>
                          </w:tblGrid>
                          <w:tr>
                            <w:trPr/>
                            <w:tc>
                              <w:tcPr>
                                <w:tcW w:w="6480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  <w:insideH w:val="single" w:sz="4" w:space="0" w:color="000000"/>
                                  <w:insideV w:val="single" w:sz="4" w:space="0" w:color="000000"/>
                                </w:tcBorders>
                                <w:shd w:fill="auto" w:val="clear"/>
                                <w:vAlign w:val="center"/>
                              </w:tcPr>
                              <w:p>
                                <w:pPr>
                                  <w:pStyle w:val="Zhlav"/>
                                  <w:tabs>
                                    <w:tab w:val="center" w:pos="4536" w:leader="none"/>
                                    <w:tab w:val="right" w:pos="9072" w:leader="none"/>
                                  </w:tabs>
                                  <w:spacing w:before="120" w:after="120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color w:val="auto"/>
                                    <w:sz w:val="40"/>
                                  </w:rPr>
                                  <w:t xml:space="preserve">TEFO01C </w:t>
                                </w:r>
                                <w:bookmarkStart w:id="2" w:name="__UnoMark__174_840887747"/>
                                <w:bookmarkEnd w:id="2"/>
                              </w:p>
                            </w:tc>
                            <w:tc>
                              <w:tcPr>
                                <w:tcW w:w="3129" w:type="dxa"/>
                                <w:tcBorders>
                                  <w:top w:val="single" w:sz="4" w:space="0" w:color="000000"/>
                                  <w:left w:val="single" w:sz="4" w:space="0" w:color="000000"/>
                                  <w:bottom w:val="single" w:sz="4" w:space="0" w:color="000000"/>
                                  <w:right w:val="single" w:sz="4" w:space="0" w:color="000000"/>
                                  <w:insideH w:val="single" w:sz="4" w:space="0" w:color="000000"/>
                                  <w:insideV w:val="single" w:sz="4" w:space="0" w:color="000000"/>
                                </w:tcBorders>
                                <w:shd w:fill="auto" w:val="clear"/>
                                <w:vAlign w:val="center"/>
                              </w:tcPr>
                              <w:p>
                                <w:pPr>
                                  <w:pStyle w:val="Zhlav"/>
                                  <w:spacing w:before="120" w:after="120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bookmarkStart w:id="3" w:name="__UnoMark__175_840887747"/>
                                <w:bookmarkEnd w:id="3"/>
                                <w:r>
                                  <w:rPr>
                                    <w:outline/>
                                    <w:shadow/>
                                    <w:color w:val="auto"/>
                                    <w:sz w:val="96"/>
                                  </w:rPr>
                                  <w:t>MLAB</w:t>
                                </w:r>
                              </w:p>
                            </w:tc>
                          </w:tr>
                        </w:tbl>
                      </w:txbxContent>
                    </wps:txbx>
                    <wps:bodyPr lIns="0" rIns="0" t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ámec1" stroked="f" style="position:absolute;margin-left:-0.25pt;margin-top:0.05pt;width:480.5pt;height:68.05pt">
              <w10:wrap type="none"/>
              <v:fill o:detectmouseclick="t" on="false"/>
              <v:stroke color="#3465a4" joinstyle="round" endcap="flat"/>
              <v:textbox>
                <w:txbxContent>
                  <w:tbl>
                    <w:tblPr>
                      <w:tblW w:w="9610" w:type="dxa"/>
                      <w:jc w:val="left"/>
                      <w:tblInd w:w="69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CellMar>
                        <w:top w:w="0" w:type="dxa"/>
                        <w:left w:w="65" w:type="dxa"/>
                        <w:bottom w:w="0" w:type="dxa"/>
                        <w:right w:w="70" w:type="dxa"/>
                      </w:tblCellMar>
                      <w:tblLook w:lastRow="0" w:firstRow="0" w:lastColumn="0" w:firstColumn="0" w:val="0000" w:noHBand="0" w:noVBand="0"/>
                    </w:tblPr>
                    <w:tblGrid>
                      <w:gridCol w:w="6480"/>
                      <w:gridCol w:w="3129"/>
                    </w:tblGrid>
                    <w:tr>
                      <w:trPr/>
                      <w:tc>
                        <w:tcPr>
                          <w:tcW w:w="6480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  <w:insideH w:val="single" w:sz="4" w:space="0" w:color="000000"/>
                            <w:insideV w:val="single" w:sz="4" w:space="0" w:color="000000"/>
                          </w:tcBorders>
                          <w:shd w:fill="auto" w:val="clear"/>
                          <w:vAlign w:val="center"/>
                        </w:tcPr>
                        <w:p>
                          <w:pPr>
                            <w:pStyle w:val="Zhlav"/>
                            <w:tabs>
                              <w:tab w:val="center" w:pos="4536" w:leader="none"/>
                              <w:tab w:val="right" w:pos="9072" w:leader="none"/>
                            </w:tabs>
                            <w:spacing w:before="120" w:after="120"/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  <w:sz w:val="40"/>
                            </w:rPr>
                            <w:t xml:space="preserve">TEFO01C </w:t>
                          </w:r>
                          <w:bookmarkStart w:id="4" w:name="__UnoMark__174_840887747"/>
                          <w:bookmarkEnd w:id="4"/>
                        </w:p>
                      </w:tc>
                      <w:tc>
                        <w:tcPr>
                          <w:tcW w:w="3129" w:type="dxa"/>
                          <w:tc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  <w:insideH w:val="single" w:sz="4" w:space="0" w:color="000000"/>
                            <w:insideV w:val="single" w:sz="4" w:space="0" w:color="000000"/>
                          </w:tcBorders>
                          <w:shd w:fill="auto" w:val="clear"/>
                          <w:vAlign w:val="center"/>
                        </w:tcPr>
                        <w:p>
                          <w:pPr>
                            <w:pStyle w:val="Zhlav"/>
                            <w:spacing w:before="120" w:after="120"/>
                            <w:jc w:val="center"/>
                            <w:rPr>
                              <w:color w:val="auto"/>
                            </w:rPr>
                          </w:pPr>
                          <w:bookmarkStart w:id="5" w:name="__UnoMark__175_840887747"/>
                          <w:bookmarkEnd w:id="5"/>
                          <w:r>
                            <w:rPr>
                              <w:outline/>
                              <w:shadow/>
                              <w:color w:val="auto"/>
                              <w:sz w:val="96"/>
                            </w:rPr>
                            <w:t>MLAB</w:t>
                          </w:r>
                        </w:p>
                      </w:tc>
                    </w:tr>
                  </w:tbl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Nadpis1"/>
      <w:numFmt w:val="decimal"/>
      <w:suff w:val="space"/>
      <w:lvlText w:val="%1."/>
      <w:lvlJc w:val="left"/>
      <w:pPr>
        <w:ind w:left="-1497" w:hanging="0"/>
      </w:pPr>
    </w:lvl>
    <w:lvl w:ilvl="1">
      <w:start w:val="1"/>
      <w:pStyle w:val="Nadpis2"/>
      <w:numFmt w:val="decimal"/>
      <w:suff w:val="space"/>
      <w:lvlText w:val="%1.%2."/>
      <w:lvlJc w:val="left"/>
      <w:pPr>
        <w:ind w:left="568" w:hanging="0"/>
      </w:pPr>
    </w:lvl>
    <w:lvl w:ilvl="2">
      <w:start w:val="1"/>
      <w:pStyle w:val="Nadpis3"/>
      <w:numFmt w:val="decimal"/>
      <w:suff w:val="space"/>
      <w:lvlText w:val="%1.%2.%3.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suff w:val="space"/>
      <w:lvlText w:val="%1."/>
      <w:lvlJc w:val="left"/>
      <w:pPr>
        <w:ind w:left="-1497" w:hanging="0"/>
      </w:pPr>
    </w:lvl>
    <w:lvl w:ilvl="1">
      <w:start w:val="1"/>
      <w:numFmt w:val="decimal"/>
      <w:suff w:val="space"/>
      <w:lvlText w:val="%1.%2."/>
      <w:lvlJc w:val="left"/>
      <w:pPr>
        <w:ind w:left="568" w:hanging="0"/>
      </w:pPr>
    </w:lvl>
    <w:lvl w:ilvl="2">
      <w:start w:val="1"/>
      <w:numFmt w:val="decimal"/>
      <w:suff w:val="space"/>
      <w:lvlText w:val="%1.%2.%3."/>
      <w:lvlJc w:val="left"/>
      <w:pPr>
        <w:ind w:left="0" w:hanging="0"/>
      </w:pPr>
    </w:lvl>
    <w:lvl w:ilvl="3">
      <w:start w:val="1"/>
      <w:numFmt w:val="decimal"/>
      <w:lvlText w:val="%1.%2.%3.%4."/>
      <w:lvlJc w:val="left"/>
      <w:pPr>
        <w:tabs>
          <w:tab w:val="num" w:pos="1437"/>
        </w:tabs>
        <w:ind w:left="1365" w:hanging="648"/>
      </w:pPr>
    </w:lvl>
    <w:lvl w:ilvl="4">
      <w:start w:val="1"/>
      <w:numFmt w:val="decimal"/>
      <w:lvlText w:val="%1.%2.%3.%4.%5."/>
      <w:lvlJc w:val="left"/>
      <w:pPr>
        <w:tabs>
          <w:tab w:val="num" w:pos="2157"/>
        </w:tabs>
        <w:ind w:left="1869" w:hanging="792"/>
      </w:pPr>
    </w:lvl>
    <w:lvl w:ilvl="5">
      <w:start w:val="1"/>
      <w:numFmt w:val="decimal"/>
      <w:lvlText w:val="%1.%2.%3.%4.%5.%6."/>
      <w:lvlJc w:val="left"/>
      <w:pPr>
        <w:tabs>
          <w:tab w:val="num" w:pos="2517"/>
        </w:tabs>
        <w:ind w:left="2373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37"/>
        </w:tabs>
        <w:ind w:left="2877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597"/>
        </w:tabs>
        <w:ind w:left="3381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17"/>
        </w:tabs>
        <w:ind w:left="3957" w:hanging="144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2"/>
  </w:compat>
  <w:themeFontLang w:val="cs-CZ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cs-CZ" w:eastAsia="cs-CZ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ea226c"/>
    <w:pPr>
      <w:keepLines/>
      <w:widowControl/>
      <w:bidi w:val="0"/>
      <w:spacing w:before="120" w:after="12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cs-CZ" w:eastAsia="cs-CZ" w:bidi="ar-SA"/>
    </w:rPr>
  </w:style>
  <w:style w:type="paragraph" w:styleId="Nadpis1">
    <w:name w:val="Heading 1"/>
    <w:basedOn w:val="Normal"/>
    <w:qFormat/>
    <w:rsid w:val="00ea226c"/>
    <w:pPr>
      <w:keepNext w:val="true"/>
      <w:numPr>
        <w:ilvl w:val="0"/>
        <w:numId w:val="1"/>
      </w:numPr>
      <w:spacing w:before="400" w:after="120"/>
      <w:ind w:left="0" w:hanging="0"/>
      <w:outlineLvl w:val="0"/>
    </w:pPr>
    <w:rPr>
      <w:rFonts w:ascii="Arial" w:hAnsi="Arial" w:cs="Arial"/>
      <w:b/>
      <w:bCs/>
      <w:kern w:val="2"/>
      <w:sz w:val="40"/>
      <w:szCs w:val="32"/>
    </w:rPr>
  </w:style>
  <w:style w:type="paragraph" w:styleId="Nadpis2">
    <w:name w:val="Heading 2"/>
    <w:basedOn w:val="Normal"/>
    <w:qFormat/>
    <w:rsid w:val="00ea226c"/>
    <w:pPr>
      <w:keepNext w:val="true"/>
      <w:numPr>
        <w:ilvl w:val="1"/>
        <w:numId w:val="1"/>
      </w:numPr>
      <w:spacing w:before="320" w:after="120"/>
      <w:ind w:left="0" w:hanging="0"/>
      <w:outlineLvl w:val="1"/>
    </w:pPr>
    <w:rPr>
      <w:rFonts w:ascii="Arial" w:hAnsi="Arial" w:cs="Arial"/>
      <w:b/>
      <w:bCs/>
      <w:iCs/>
      <w:kern w:val="2"/>
      <w:sz w:val="32"/>
      <w:szCs w:val="28"/>
    </w:rPr>
  </w:style>
  <w:style w:type="paragraph" w:styleId="Nadpis3">
    <w:name w:val="Heading 3"/>
    <w:basedOn w:val="Normal"/>
    <w:qFormat/>
    <w:rsid w:val="00ea226c"/>
    <w:pPr>
      <w:keepNext w:val="true"/>
      <w:numPr>
        <w:ilvl w:val="2"/>
        <w:numId w:val="1"/>
      </w:numPr>
      <w:spacing w:before="240" w:after="120"/>
      <w:outlineLvl w:val="2"/>
    </w:pPr>
    <w:rPr>
      <w:rFonts w:ascii="Arial" w:hAnsi="Arial" w:cs="Arial"/>
      <w:b/>
      <w:bCs/>
      <w:sz w:val="26"/>
      <w:szCs w:val="26"/>
    </w:rPr>
  </w:style>
  <w:style w:type="paragraph" w:styleId="Nadpis4">
    <w:name w:val="Heading 4"/>
    <w:basedOn w:val="Normal"/>
    <w:qFormat/>
    <w:rsid w:val="00ea226c"/>
    <w:pPr>
      <w:keepNext w:val="true"/>
      <w:spacing w:before="240" w:after="120"/>
      <w:outlineLvl w:val="3"/>
    </w:pPr>
    <w:rPr>
      <w:b/>
      <w:bCs/>
      <w:sz w:val="28"/>
      <w:szCs w:val="28"/>
    </w:rPr>
  </w:style>
  <w:style w:type="paragraph" w:styleId="Nadpis5">
    <w:name w:val="Heading 5"/>
    <w:basedOn w:val="Normal"/>
    <w:qFormat/>
    <w:rsid w:val="00ea226c"/>
    <w:pPr>
      <w:spacing w:before="240" w:after="12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al"/>
    <w:qFormat/>
    <w:rsid w:val="00ea226c"/>
    <w:pPr>
      <w:spacing w:before="240" w:after="120"/>
      <w:outlineLvl w:val="5"/>
    </w:pPr>
    <w:rPr>
      <w:b/>
      <w:bCs/>
      <w:sz w:val="22"/>
      <w:szCs w:val="22"/>
    </w:rPr>
  </w:style>
  <w:style w:type="paragraph" w:styleId="Nadpis7">
    <w:name w:val="Heading 7"/>
    <w:basedOn w:val="Normal"/>
    <w:qFormat/>
    <w:rsid w:val="00ea226c"/>
    <w:pPr>
      <w:spacing w:before="240" w:after="120"/>
      <w:outlineLvl w:val="6"/>
    </w:pPr>
    <w:rPr/>
  </w:style>
  <w:style w:type="paragraph" w:styleId="Nadpis8">
    <w:name w:val="Heading 8"/>
    <w:basedOn w:val="Normal"/>
    <w:qFormat/>
    <w:rsid w:val="00ea226c"/>
    <w:pPr>
      <w:spacing w:before="240" w:after="120"/>
      <w:outlineLvl w:val="7"/>
    </w:pPr>
    <w:rPr>
      <w:i/>
      <w:iCs/>
    </w:rPr>
  </w:style>
  <w:style w:type="paragraph" w:styleId="Nadpis9">
    <w:name w:val="Heading 9"/>
    <w:basedOn w:val="Normal"/>
    <w:qFormat/>
    <w:rsid w:val="00ea226c"/>
    <w:pPr>
      <w:spacing w:before="240" w:after="120"/>
      <w:outlineLvl w:val="8"/>
    </w:pPr>
    <w:rPr>
      <w:rFonts w:ascii="Arial" w:hAnsi="Arial" w:cs="Arial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Sample">
    <w:name w:val="HTML Sample"/>
    <w:basedOn w:val="DefaultParagraphFont"/>
    <w:semiHidden/>
    <w:qFormat/>
    <w:rsid w:val="00ea226c"/>
    <w:rPr>
      <w:rFonts w:ascii="Courier New" w:hAnsi="Courier New"/>
    </w:rPr>
  </w:style>
  <w:style w:type="character" w:styleId="Zdraznn">
    <w:name w:val="Zdůraznění"/>
    <w:basedOn w:val="DefaultParagraphFont"/>
    <w:qFormat/>
    <w:rsid w:val="00ea226c"/>
    <w:rPr>
      <w:i/>
      <w:iCs/>
    </w:rPr>
  </w:style>
  <w:style w:type="character" w:styleId="Pagenumber">
    <w:name w:val="page number"/>
    <w:basedOn w:val="DefaultParagraphFont"/>
    <w:semiHidden/>
    <w:qFormat/>
    <w:rsid w:val="00ea226c"/>
    <w:rPr/>
  </w:style>
  <w:style w:type="character" w:styleId="Internetovodkaz">
    <w:name w:val="Internetový odkaz"/>
    <w:basedOn w:val="DefaultParagraphFont"/>
    <w:semiHidden/>
    <w:rsid w:val="00ea226c"/>
    <w:rPr>
      <w:color w:val="0000FF"/>
      <w:u w:val="single"/>
    </w:rPr>
  </w:style>
  <w:style w:type="character" w:styleId="TextbublinyChar" w:customStyle="1">
    <w:name w:val="Text bubliny Char"/>
    <w:basedOn w:val="DefaultParagraphFont"/>
    <w:link w:val="Textbubliny"/>
    <w:uiPriority w:val="99"/>
    <w:semiHidden/>
    <w:qFormat/>
    <w:rsid w:val="008d7ad5"/>
    <w:rPr>
      <w:rFonts w:ascii="Tahoma" w:hAnsi="Tahoma" w:cs="Tahoma"/>
      <w:sz w:val="16"/>
      <w:szCs w:val="16"/>
    </w:rPr>
  </w:style>
  <w:style w:type="paragraph" w:styleId="Nadpis">
    <w:name w:val="Nadpis"/>
    <w:basedOn w:val="Normal"/>
    <w:next w:val="Tlotextu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lotextu">
    <w:name w:val="Body Text"/>
    <w:basedOn w:val="Normal"/>
    <w:pPr>
      <w:spacing w:lineRule="auto" w:line="276" w:before="0" w:after="140"/>
    </w:pPr>
    <w:rPr/>
  </w:style>
  <w:style w:type="paragraph" w:styleId="Seznam">
    <w:name w:val="List"/>
    <w:basedOn w:val="Tlotextu"/>
    <w:pPr/>
    <w:rPr>
      <w:rFonts w:cs="Lohit Devanagari"/>
    </w:rPr>
  </w:style>
  <w:style w:type="paragraph" w:styleId="Popisek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Rejstk">
    <w:name w:val="Rejstřík"/>
    <w:basedOn w:val="Normal"/>
    <w:qFormat/>
    <w:pPr>
      <w:suppressLineNumbers/>
    </w:pPr>
    <w:rPr>
      <w:rFonts w:cs="Lohit Devanagari"/>
    </w:rPr>
  </w:style>
  <w:style w:type="paragraph" w:styleId="Zhlav">
    <w:name w:val="Header"/>
    <w:basedOn w:val="Normal"/>
    <w:semiHidden/>
    <w:rsid w:val="00ea226c"/>
    <w:pPr>
      <w:tabs>
        <w:tab w:val="center" w:pos="4536" w:leader="none"/>
        <w:tab w:val="right" w:pos="9072" w:leader="none"/>
      </w:tabs>
    </w:pPr>
    <w:rPr/>
  </w:style>
  <w:style w:type="paragraph" w:styleId="Zpat">
    <w:name w:val="Footer"/>
    <w:basedOn w:val="Normal"/>
    <w:semiHidden/>
    <w:rsid w:val="00ea226c"/>
    <w:pPr>
      <w:tabs>
        <w:tab w:val="right" w:pos="9639" w:leader="none"/>
      </w:tabs>
    </w:pPr>
    <w:rPr/>
  </w:style>
  <w:style w:type="paragraph" w:styleId="Obsah1">
    <w:name w:val="TOC 1"/>
    <w:basedOn w:val="Normal"/>
    <w:autoRedefine/>
    <w:semiHidden/>
    <w:rsid w:val="00ea226c"/>
    <w:pPr/>
    <w:rPr/>
  </w:style>
  <w:style w:type="paragraph" w:styleId="Podtitul">
    <w:name w:val="Subtitle"/>
    <w:basedOn w:val="Normal"/>
    <w:qFormat/>
    <w:rsid w:val="00ea226c"/>
    <w:pPr>
      <w:spacing w:before="500" w:after="600"/>
      <w:ind w:left="567" w:right="567" w:hanging="0"/>
      <w:outlineLvl w:val="1"/>
    </w:pPr>
    <w:rPr>
      <w:rFonts w:ascii="Arial" w:hAnsi="Arial" w:cs="Arial"/>
      <w:i/>
      <w:sz w:val="28"/>
    </w:rPr>
  </w:style>
  <w:style w:type="paragraph" w:styleId="Obsah2">
    <w:name w:val="TOC 2"/>
    <w:basedOn w:val="Normal"/>
    <w:autoRedefine/>
    <w:semiHidden/>
    <w:rsid w:val="00ea226c"/>
    <w:pPr>
      <w:ind w:left="240" w:hanging="0"/>
    </w:pPr>
    <w:rPr/>
  </w:style>
  <w:style w:type="paragraph" w:styleId="Obsah3">
    <w:name w:val="TOC 3"/>
    <w:basedOn w:val="Normal"/>
    <w:autoRedefine/>
    <w:semiHidden/>
    <w:rsid w:val="00ea226c"/>
    <w:pPr>
      <w:ind w:left="480" w:hanging="0"/>
    </w:pPr>
    <w:rPr/>
  </w:style>
  <w:style w:type="paragraph" w:styleId="Obsah4">
    <w:name w:val="TOC 4"/>
    <w:basedOn w:val="Normal"/>
    <w:autoRedefine/>
    <w:semiHidden/>
    <w:rsid w:val="00ea226c"/>
    <w:pPr>
      <w:ind w:left="720" w:hanging="0"/>
    </w:pPr>
    <w:rPr/>
  </w:style>
  <w:style w:type="paragraph" w:styleId="Obsah5">
    <w:name w:val="TOC 5"/>
    <w:basedOn w:val="Normal"/>
    <w:autoRedefine/>
    <w:semiHidden/>
    <w:rsid w:val="00ea226c"/>
    <w:pPr>
      <w:ind w:left="960" w:hanging="0"/>
    </w:pPr>
    <w:rPr/>
  </w:style>
  <w:style w:type="paragraph" w:styleId="Obsah6">
    <w:name w:val="TOC 6"/>
    <w:basedOn w:val="Normal"/>
    <w:autoRedefine/>
    <w:semiHidden/>
    <w:rsid w:val="00ea226c"/>
    <w:pPr>
      <w:ind w:left="1200" w:hanging="0"/>
    </w:pPr>
    <w:rPr/>
  </w:style>
  <w:style w:type="paragraph" w:styleId="Obsah7">
    <w:name w:val="TOC 7"/>
    <w:basedOn w:val="Normal"/>
    <w:autoRedefine/>
    <w:semiHidden/>
    <w:rsid w:val="00ea226c"/>
    <w:pPr>
      <w:ind w:left="1440" w:hanging="0"/>
    </w:pPr>
    <w:rPr/>
  </w:style>
  <w:style w:type="paragraph" w:styleId="Obsah8">
    <w:name w:val="TOC 8"/>
    <w:basedOn w:val="Normal"/>
    <w:autoRedefine/>
    <w:semiHidden/>
    <w:rsid w:val="00ea226c"/>
    <w:pPr>
      <w:ind w:left="1680" w:hanging="0"/>
    </w:pPr>
    <w:rPr/>
  </w:style>
  <w:style w:type="paragraph" w:styleId="Obsah9">
    <w:name w:val="TOC 9"/>
    <w:basedOn w:val="Normal"/>
    <w:autoRedefine/>
    <w:semiHidden/>
    <w:rsid w:val="00ea226c"/>
    <w:pPr>
      <w:ind w:left="1920" w:hanging="0"/>
    </w:pPr>
    <w:rPr/>
  </w:style>
  <w:style w:type="paragraph" w:styleId="Odstavecsobrzkem" w:customStyle="1">
    <w:name w:val="Odstavec s obrázkem"/>
    <w:basedOn w:val="Normal"/>
    <w:qFormat/>
    <w:rsid w:val="00ea226c"/>
    <w:pPr>
      <w:spacing w:before="120" w:after="400"/>
      <w:jc w:val="center"/>
    </w:pPr>
    <w:rPr/>
  </w:style>
  <w:style w:type="paragraph" w:styleId="Vpisprogramu" w:customStyle="1">
    <w:name w:val="Výpis programu"/>
    <w:basedOn w:val="Normal"/>
    <w:qFormat/>
    <w:rsid w:val="00ea226c"/>
    <w:pPr>
      <w:spacing w:before="60" w:after="60"/>
    </w:pPr>
    <w:rPr>
      <w:rFonts w:ascii="Courier New" w:hAnsi="Courier New"/>
    </w:rPr>
  </w:style>
  <w:style w:type="paragraph" w:styleId="Autor" w:customStyle="1">
    <w:name w:val="Autor"/>
    <w:basedOn w:val="Normal"/>
    <w:next w:val="Podtitul"/>
    <w:qFormat/>
    <w:rsid w:val="00ea226c"/>
    <w:pPr>
      <w:jc w:val="center"/>
    </w:pPr>
    <w:rPr>
      <w:rFonts w:ascii="Arial" w:hAnsi="Arial" w:cs="Arial"/>
    </w:rPr>
  </w:style>
  <w:style w:type="paragraph" w:styleId="Titul" w:customStyle="1">
    <w:name w:val="Titul"/>
    <w:basedOn w:val="Normal"/>
    <w:next w:val="Autor"/>
    <w:qFormat/>
    <w:rsid w:val="00ea226c"/>
    <w:pPr>
      <w:jc w:val="center"/>
    </w:pPr>
    <w:rPr>
      <w:rFonts w:ascii="Arial" w:hAnsi="Arial" w:cs="Arial"/>
      <w:sz w:val="40"/>
    </w:rPr>
  </w:style>
  <w:style w:type="paragraph" w:styleId="BalloonText">
    <w:name w:val="Balloon Text"/>
    <w:basedOn w:val="Normal"/>
    <w:link w:val="TextbublinyChar"/>
    <w:uiPriority w:val="99"/>
    <w:semiHidden/>
    <w:unhideWhenUsed/>
    <w:qFormat/>
    <w:rsid w:val="008d7ad5"/>
    <w:pPr>
      <w:spacing w:before="0" w:after="0"/>
    </w:pPr>
    <w:rPr>
      <w:rFonts w:ascii="Tahoma" w:hAnsi="Tahoma" w:cs="Tahoma"/>
      <w:sz w:val="16"/>
      <w:szCs w:val="16"/>
    </w:rPr>
  </w:style>
  <w:style w:type="paragraph" w:styleId="Obsahrmce">
    <w:name w:val="Obsah rámce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MLAB_Šablona.dot</Template>
  <TotalTime>136</TotalTime>
  <Application>LibreOffice/6.0.7.3$Linux_X86_64 LibreOffice_project/00m0$Build-3</Application>
  <Pages>7</Pages>
  <Words>509</Words>
  <Characters>2770</Characters>
  <CharactersWithSpaces>3253</CharactersWithSpaces>
  <Paragraphs>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2013-04-18T09:18:00Z</dcterms:created>
  <dc:creator>miho</dc:creator>
  <dc:description/>
  <dc:language>cs-CZ</dc:language>
  <cp:lastModifiedBy/>
  <cp:lastPrinted>2015-12-21T09:44:00Z</cp:lastPrinted>
  <dcterms:modified xsi:type="dcterms:W3CDTF">2019-12-07T16:07:27Z</dcterms:modified>
  <cp:revision>35</cp:revision>
  <dc:subject/>
  <dc:title>PIC16F87xDIL2801A PIC16F87xSO2801A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