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2B3E4" w14:textId="77777777" w:rsidR="00295BA4" w:rsidRDefault="00000000">
      <w:pPr>
        <w:spacing w:before="160" w:after="60"/>
      </w:pPr>
      <w:r>
        <w:rPr>
          <w:color w:val="555555"/>
          <w:sz w:val="20"/>
          <w:szCs w:val="20"/>
        </w:rPr>
        <w:t>NET731 Advanced Networking</w:t>
      </w:r>
    </w:p>
    <w:p w14:paraId="42921234" w14:textId="77777777" w:rsidR="00295BA4" w:rsidRDefault="00000000">
      <w:pPr>
        <w:pBdr>
          <w:bottom w:val="single" w:sz="10" w:space="6" w:color="007B8A"/>
        </w:pBdr>
        <w:spacing w:after="60"/>
      </w:pPr>
      <w:r>
        <w:rPr>
          <w:b/>
          <w:bCs/>
          <w:color w:val="003366"/>
          <w:sz w:val="40"/>
          <w:szCs w:val="40"/>
        </w:rPr>
        <w:t>Week 6 Practical: Cloud Security Review</w:t>
      </w:r>
    </w:p>
    <w:p w14:paraId="672A6659" w14:textId="77777777" w:rsidR="00295BA4" w:rsidRDefault="00295BA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2376"/>
        <w:gridCol w:w="2376"/>
        <w:gridCol w:w="2378"/>
      </w:tblGrid>
      <w:tr w:rsidR="00295BA4" w14:paraId="683E06E1" w14:textId="77777777">
        <w:tc>
          <w:tcPr>
            <w:tcW w:w="237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355212D" w14:textId="77777777" w:rsidR="00295BA4" w:rsidRDefault="00000000">
            <w:r>
              <w:rPr>
                <w:color w:val="AAAAAA"/>
                <w:sz w:val="18"/>
                <w:szCs w:val="18"/>
              </w:rPr>
              <w:t>Module</w:t>
            </w:r>
          </w:p>
          <w:p w14:paraId="7C3B14C2" w14:textId="77777777" w:rsidR="00295BA4" w:rsidRDefault="00000000">
            <w:r>
              <w:rPr>
                <w:b/>
                <w:bCs/>
                <w:color w:val="FFFFFF"/>
              </w:rPr>
              <w:t>NET731</w:t>
            </w:r>
          </w:p>
        </w:tc>
        <w:tc>
          <w:tcPr>
            <w:tcW w:w="237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2A1D317" w14:textId="77777777" w:rsidR="00295BA4" w:rsidRDefault="00000000">
            <w:r>
              <w:rPr>
                <w:color w:val="AAAAAA"/>
                <w:sz w:val="18"/>
                <w:szCs w:val="18"/>
              </w:rPr>
              <w:t>Week</w:t>
            </w:r>
          </w:p>
          <w:p w14:paraId="2CE9DAEA" w14:textId="77777777" w:rsidR="00295BA4" w:rsidRDefault="00000000">
            <w:r>
              <w:rPr>
                <w:b/>
                <w:bCs/>
                <w:color w:val="FFFFFF"/>
              </w:rPr>
              <w:t>6 (10–16 April 2025)</w:t>
            </w:r>
          </w:p>
        </w:tc>
        <w:tc>
          <w:tcPr>
            <w:tcW w:w="237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D45BB69" w14:textId="77777777" w:rsidR="00295BA4" w:rsidRDefault="00000000">
            <w:r>
              <w:rPr>
                <w:color w:val="AAAAAA"/>
                <w:sz w:val="18"/>
                <w:szCs w:val="18"/>
              </w:rPr>
              <w:t>Total Marks</w:t>
            </w:r>
          </w:p>
          <w:p w14:paraId="143116F7" w14:textId="77777777" w:rsidR="00295BA4" w:rsidRDefault="00000000">
            <w:r>
              <w:rPr>
                <w:b/>
                <w:bCs/>
                <w:color w:val="FFFFFF"/>
              </w:rPr>
              <w:t>10 Marks</w:t>
            </w:r>
          </w:p>
        </w:tc>
        <w:tc>
          <w:tcPr>
            <w:tcW w:w="2378"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D6E71F1" w14:textId="77777777" w:rsidR="00295BA4" w:rsidRDefault="00000000">
            <w:r>
              <w:rPr>
                <w:color w:val="AAAAAA"/>
                <w:sz w:val="18"/>
                <w:szCs w:val="18"/>
              </w:rPr>
              <w:t>NQF Level</w:t>
            </w:r>
          </w:p>
          <w:p w14:paraId="75697EEC" w14:textId="77777777" w:rsidR="00295BA4" w:rsidRDefault="00000000">
            <w:r>
              <w:rPr>
                <w:b/>
                <w:bCs/>
                <w:color w:val="FFFFFF"/>
              </w:rPr>
              <w:t>7</w:t>
            </w:r>
          </w:p>
        </w:tc>
      </w:tr>
    </w:tbl>
    <w:p w14:paraId="0A37501D" w14:textId="77777777" w:rsidR="00295BA4" w:rsidRDefault="00295BA4"/>
    <w:p w14:paraId="6C0E1DE5" w14:textId="77777777" w:rsidR="00295BA4" w:rsidRDefault="00000000">
      <w:pPr>
        <w:pBdr>
          <w:bottom w:val="single" w:sz="6" w:space="4" w:color="007B8A"/>
        </w:pBdr>
        <w:spacing w:before="300" w:after="200"/>
      </w:pPr>
      <w:r>
        <w:rPr>
          <w:b/>
          <w:bCs/>
          <w:color w:val="003366"/>
          <w:sz w:val="36"/>
          <w:szCs w:val="36"/>
        </w:rPr>
        <w:t>Overview</w:t>
      </w:r>
    </w:p>
    <w:p w14:paraId="23211A55" w14:textId="77777777" w:rsidR="00295BA4" w:rsidRDefault="00000000">
      <w:pPr>
        <w:spacing w:before="60" w:after="80"/>
      </w:pPr>
      <w:r>
        <w:t>In this practical, you will act as a cloud security analyst responsible for assessing and improving the security posture of an Azure-hosted environment. You will use Microsoft Defender for Cloud to surface real security gaps, apply targeted remediations, and document your findings and improvements in a structured GitHub repository.</w:t>
      </w:r>
    </w:p>
    <w:p w14:paraId="3855C225" w14:textId="77777777" w:rsidR="00295BA4" w:rsidRDefault="00000000">
      <w:pPr>
        <w:spacing w:before="60" w:after="80"/>
      </w:pPr>
      <w:r>
        <w:t>This is not a guided walkthrough. You are expected to navigate the Azure portal, interpret the security recommendations independently, and make informed decisions about what to fix and how to document it.</w:t>
      </w:r>
    </w:p>
    <w:p w14:paraId="5DAB6C7B" w14:textId="77777777" w:rsidR="00295BA4" w:rsidRDefault="00295BA4"/>
    <w:p w14:paraId="2ED361A8" w14:textId="77777777" w:rsidR="00295BA4" w:rsidRDefault="00000000">
      <w:pPr>
        <w:spacing w:before="240" w:after="120"/>
      </w:pPr>
      <w:r>
        <w:rPr>
          <w:b/>
          <w:bCs/>
          <w:color w:val="003366"/>
          <w:sz w:val="28"/>
          <w:szCs w:val="28"/>
        </w:rPr>
        <w:t>Prerequisites</w:t>
      </w:r>
    </w:p>
    <w:p w14:paraId="3A43175E" w14:textId="77777777" w:rsidR="00295BA4" w:rsidRDefault="00000000">
      <w:pPr>
        <w:pStyle w:val="ListParagraph"/>
        <w:numPr>
          <w:ilvl w:val="0"/>
          <w:numId w:val="2"/>
        </w:numPr>
        <w:spacing w:before="40" w:after="40"/>
      </w:pPr>
      <w:r>
        <w:t>An active Azure subscription (Free Tier is sufficient)</w:t>
      </w:r>
    </w:p>
    <w:p w14:paraId="426240BB" w14:textId="77777777" w:rsidR="00295BA4" w:rsidRDefault="545D514B">
      <w:pPr>
        <w:pStyle w:val="ListParagraph"/>
        <w:numPr>
          <w:ilvl w:val="0"/>
          <w:numId w:val="2"/>
        </w:numPr>
        <w:spacing w:before="40" w:after="40"/>
      </w:pPr>
      <w:r w:rsidRPr="545D514B">
        <w:rPr>
          <w:lang w:val="en-US"/>
        </w:rPr>
        <w:t>At least one virtual machine or resource group deployed from a previous practical</w:t>
      </w:r>
    </w:p>
    <w:p w14:paraId="624EC49C" w14:textId="77777777" w:rsidR="00295BA4" w:rsidRDefault="00000000">
      <w:pPr>
        <w:pStyle w:val="ListParagraph"/>
        <w:numPr>
          <w:ilvl w:val="0"/>
          <w:numId w:val="2"/>
        </w:numPr>
        <w:spacing w:before="40" w:after="40"/>
      </w:pPr>
      <w:r>
        <w:t>A GitHub repository created for this module (from Week 5 — or create one now)</w:t>
      </w:r>
    </w:p>
    <w:p w14:paraId="3F243D8D" w14:textId="77777777" w:rsidR="00295BA4" w:rsidRDefault="00000000">
      <w:pPr>
        <w:pStyle w:val="ListParagraph"/>
        <w:numPr>
          <w:ilvl w:val="0"/>
          <w:numId w:val="2"/>
        </w:numPr>
        <w:spacing w:before="40" w:after="40"/>
      </w:pPr>
      <w:r>
        <w:t>Familiarity with NSG rules and Azure VM configuration</w:t>
      </w:r>
    </w:p>
    <w:p w14:paraId="02EB378F" w14:textId="77777777" w:rsidR="00295BA4" w:rsidRDefault="00295BA4"/>
    <w:p w14:paraId="730FDE5E" w14:textId="77777777" w:rsidR="00295BA4" w:rsidRDefault="00000000">
      <w:pPr>
        <w:pBdr>
          <w:bottom w:val="single" w:sz="6" w:space="4" w:color="007B8A"/>
        </w:pBdr>
        <w:spacing w:before="300" w:after="200"/>
      </w:pPr>
      <w:r>
        <w:rPr>
          <w:b/>
          <w:bCs/>
          <w:color w:val="003366"/>
          <w:sz w:val="36"/>
          <w:szCs w:val="36"/>
        </w:rPr>
        <w:t>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95BA4" w14:paraId="69FA1279" w14:textId="77777777">
        <w:tc>
          <w:tcPr>
            <w:tcW w:w="1600" w:type="dxa"/>
            <w:tcBorders>
              <w:top w:val="single" w:sz="1" w:space="0" w:color="CCCCCC"/>
              <w:left w:val="single" w:sz="1" w:space="0" w:color="CCCCCC"/>
              <w:bottom w:val="single" w:sz="1" w:space="0" w:color="CCCCCC"/>
              <w:right w:val="single" w:sz="1" w:space="0" w:color="CCCCCC"/>
            </w:tcBorders>
            <w:shd w:val="clear" w:color="auto" w:fill="007B8A"/>
            <w:tcMar>
              <w:top w:w="100" w:type="dxa"/>
              <w:left w:w="140" w:type="dxa"/>
              <w:bottom w:w="100" w:type="dxa"/>
              <w:right w:w="140" w:type="dxa"/>
            </w:tcMar>
            <w:vAlign w:val="center"/>
          </w:tcPr>
          <w:p w14:paraId="5DECFE5C" w14:textId="77777777" w:rsidR="00295BA4" w:rsidRDefault="00000000">
            <w:pPr>
              <w:jc w:val="center"/>
            </w:pPr>
            <w:r>
              <w:rPr>
                <w:b/>
                <w:bCs/>
                <w:color w:val="FFFFFF"/>
                <w:sz w:val="20"/>
                <w:szCs w:val="20"/>
              </w:rPr>
              <w:t>Context</w:t>
            </w:r>
          </w:p>
        </w:tc>
        <w:tc>
          <w:tcPr>
            <w:tcW w:w="7760"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60" w:type="dxa"/>
              <w:bottom w:w="100" w:type="dxa"/>
              <w:right w:w="140" w:type="dxa"/>
            </w:tcMar>
          </w:tcPr>
          <w:p w14:paraId="3EBAA522" w14:textId="77777777" w:rsidR="00295BA4" w:rsidRDefault="00000000">
            <w:r>
              <w:rPr>
                <w:sz w:val="21"/>
                <w:szCs w:val="21"/>
              </w:rPr>
              <w:t>You have been brought in to review the security posture of a client's Azure environment. Their Secure Score is low, and a recent audit flagged open management ports and outdated OS configurations. Your task is to assess, remediate, and report.</w:t>
            </w:r>
          </w:p>
        </w:tc>
      </w:tr>
    </w:tbl>
    <w:p w14:paraId="6A05A809" w14:textId="77777777" w:rsidR="00295BA4" w:rsidRDefault="00295BA4"/>
    <w:p w14:paraId="0377DDCB" w14:textId="77777777" w:rsidR="00295BA4" w:rsidRDefault="00000000">
      <w:pPr>
        <w:pBdr>
          <w:bottom w:val="single" w:sz="6" w:space="4" w:color="007B8A"/>
        </w:pBdr>
        <w:spacing w:before="300" w:after="200"/>
      </w:pPr>
      <w:r>
        <w:rPr>
          <w:b/>
          <w:bCs/>
          <w:color w:val="003366"/>
          <w:sz w:val="36"/>
          <w:szCs w:val="36"/>
        </w:rPr>
        <w:t>What You Need to Accomplish</w:t>
      </w:r>
    </w:p>
    <w:p w14:paraId="6D99258A" w14:textId="77777777" w:rsidR="00295BA4" w:rsidRDefault="00000000">
      <w:pPr>
        <w:spacing w:before="60" w:after="80"/>
      </w:pPr>
      <w:r>
        <w:t>Your practical is broken into three interconnected tasks. Read all three before you begin — understanding the full picture will help you plan your evidence collection.</w:t>
      </w:r>
    </w:p>
    <w:p w14:paraId="5A39BBE3" w14:textId="77777777" w:rsidR="00295BA4" w:rsidRDefault="00295BA4"/>
    <w:p w14:paraId="03BC1921" w14:textId="77777777" w:rsidR="00295BA4" w:rsidRDefault="00000000">
      <w:pPr>
        <w:spacing w:before="240" w:after="120"/>
      </w:pPr>
      <w:r>
        <w:rPr>
          <w:b/>
          <w:bCs/>
          <w:color w:val="003366"/>
          <w:sz w:val="28"/>
          <w:szCs w:val="28"/>
        </w:rPr>
        <w:t>Task 1 — Security Posture Assessment (3 Marks)</w:t>
      </w:r>
    </w:p>
    <w:p w14:paraId="7646D877" w14:textId="77777777" w:rsidR="00295BA4" w:rsidRDefault="545D514B">
      <w:pPr>
        <w:spacing w:before="60" w:after="80"/>
      </w:pPr>
      <w:r w:rsidRPr="545D514B">
        <w:rPr>
          <w:lang w:val="en-US"/>
        </w:rPr>
        <w:t>Navigate to Microsoft Defender for Cloud in the Azure portal and examine the current state of your environment's security.</w:t>
      </w:r>
    </w:p>
    <w:p w14:paraId="5D57F4AA" w14:textId="77777777" w:rsidR="00295BA4" w:rsidRDefault="00000000">
      <w:pPr>
        <w:spacing w:before="60" w:after="80"/>
      </w:pPr>
      <w:r>
        <w:t>You need to understand and document:</w:t>
      </w:r>
    </w:p>
    <w:p w14:paraId="532F42E2" w14:textId="77777777" w:rsidR="00295BA4" w:rsidRDefault="00000000">
      <w:pPr>
        <w:pStyle w:val="ListParagraph"/>
        <w:numPr>
          <w:ilvl w:val="0"/>
          <w:numId w:val="2"/>
        </w:numPr>
        <w:spacing w:before="40" w:after="40"/>
      </w:pPr>
      <w:r>
        <w:t>What your current Secure Score is, and what it represents in this context</w:t>
      </w:r>
    </w:p>
    <w:p w14:paraId="42156CAF" w14:textId="0D2721C0" w:rsidR="00302BFC" w:rsidRDefault="00302BFC" w:rsidP="00302BFC">
      <w:pPr>
        <w:pStyle w:val="ListParagraph"/>
        <w:spacing w:before="40" w:after="40"/>
        <w:ind w:left="600"/>
      </w:pPr>
      <w:r>
        <w:rPr>
          <w:noProof/>
        </w:rPr>
        <w:lastRenderedPageBreak/>
        <w:drawing>
          <wp:inline distT="0" distB="0" distL="0" distR="0" wp14:anchorId="31468882" wp14:editId="7FD79A4F">
            <wp:extent cx="3991775" cy="2822713"/>
            <wp:effectExtent l="0" t="0" r="8890" b="0"/>
            <wp:docPr id="49504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42646" name="Picture 4950426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3015" cy="2830661"/>
                    </a:xfrm>
                    <a:prstGeom prst="rect">
                      <a:avLst/>
                    </a:prstGeom>
                  </pic:spPr>
                </pic:pic>
              </a:graphicData>
            </a:graphic>
          </wp:inline>
        </w:drawing>
      </w:r>
    </w:p>
    <w:p w14:paraId="293BEB1B" w14:textId="0FBE0186" w:rsidR="00302BFC" w:rsidRDefault="00302BFC" w:rsidP="00302BFC">
      <w:pPr>
        <w:pStyle w:val="ListParagraph"/>
        <w:spacing w:before="40" w:after="40"/>
        <w:ind w:left="600"/>
      </w:pPr>
      <w:r>
        <w:t>My</w:t>
      </w:r>
      <w:r w:rsidRPr="00302BFC">
        <w:t xml:space="preserve"> current Secure Score is 36%, indicating a low level of security compliance within the Azure environment. This score reflects that several security recommendations have not yet been evaluated or implemented, leaving the system potentially exposed to risks. Improving this score requires addressing the outstanding recommendations and enabling security best practices.</w:t>
      </w:r>
    </w:p>
    <w:p w14:paraId="1CE31542" w14:textId="286C48A5" w:rsidR="00295BA4" w:rsidRPr="009A7B02" w:rsidRDefault="545D514B">
      <w:pPr>
        <w:pStyle w:val="ListParagraph"/>
        <w:numPr>
          <w:ilvl w:val="0"/>
          <w:numId w:val="2"/>
        </w:numPr>
        <w:spacing w:before="40" w:after="40"/>
      </w:pPr>
      <w:r w:rsidRPr="545D514B">
        <w:rPr>
          <w:lang w:val="en-US"/>
        </w:rPr>
        <w:t xml:space="preserve">Which recommendations are active, and how they are </w:t>
      </w:r>
      <w:r w:rsidR="009A7B02">
        <w:rPr>
          <w:lang w:val="en-US"/>
        </w:rPr>
        <w:t>prioritized</w:t>
      </w:r>
    </w:p>
    <w:p w14:paraId="3E1A8B91" w14:textId="7B687801" w:rsidR="009A7B02" w:rsidRDefault="009A7B02" w:rsidP="009A7B02">
      <w:pPr>
        <w:pStyle w:val="ListParagraph"/>
        <w:spacing w:before="40" w:after="40"/>
        <w:ind w:left="600"/>
      </w:pPr>
      <w:r w:rsidRPr="009A7B02">
        <w:t>The environment currently has 23 recommendations, all of which are classified as “Not evaluated.” This indicates that Microsoft Defender for Cloud has identified potential security checks but has not yet assessed their risk levels. Normally, recommendations are prioritised into critical, high, medium, and low categories based on the potential impact and likelihood of exploitation, with critical issues requiring immediate attention.</w:t>
      </w:r>
    </w:p>
    <w:p w14:paraId="14F9A90E" w14:textId="77777777" w:rsidR="00295BA4" w:rsidRDefault="00000000">
      <w:pPr>
        <w:pStyle w:val="ListParagraph"/>
        <w:numPr>
          <w:ilvl w:val="0"/>
          <w:numId w:val="2"/>
        </w:numPr>
        <w:spacing w:before="40" w:after="40"/>
      </w:pPr>
      <w:r>
        <w:t>The nature and risk of your top three recommendations</w:t>
      </w:r>
    </w:p>
    <w:p w14:paraId="58198A2F" w14:textId="77777777" w:rsidR="00295BA4" w:rsidRDefault="00000000">
      <w:pPr>
        <w:spacing w:before="60" w:after="80"/>
      </w:pPr>
      <w:r>
        <w:t>Your evidence should clearly show the state of your environment before any changes are made.</w:t>
      </w:r>
    </w:p>
    <w:p w14:paraId="41C8F396" w14:textId="77777777" w:rsidR="00295BA4" w:rsidRDefault="00295B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95BA4" w14:paraId="40529A9C" w14:textId="77777777" w:rsidTr="545D514B">
        <w:tc>
          <w:tcPr>
            <w:tcW w:w="1600" w:type="dxa"/>
            <w:tcBorders>
              <w:top w:val="single" w:sz="1" w:space="0" w:color="CCCCCC"/>
              <w:left w:val="single" w:sz="1" w:space="0" w:color="CCCCCC"/>
              <w:bottom w:val="single" w:sz="1" w:space="0" w:color="CCCCCC"/>
              <w:right w:val="single" w:sz="1" w:space="0" w:color="CCCCCC"/>
            </w:tcBorders>
            <w:shd w:val="clear" w:color="auto" w:fill="007B8A"/>
            <w:tcMar>
              <w:top w:w="100" w:type="dxa"/>
              <w:left w:w="140" w:type="dxa"/>
              <w:bottom w:w="100" w:type="dxa"/>
              <w:right w:w="140" w:type="dxa"/>
            </w:tcMar>
            <w:vAlign w:val="center"/>
          </w:tcPr>
          <w:p w14:paraId="0DF821C9" w14:textId="77777777" w:rsidR="00295BA4" w:rsidRDefault="00000000">
            <w:pPr>
              <w:jc w:val="center"/>
            </w:pPr>
            <w:r>
              <w:rPr>
                <w:b/>
                <w:bCs/>
                <w:color w:val="FFFFFF"/>
                <w:sz w:val="20"/>
                <w:szCs w:val="20"/>
              </w:rPr>
              <w:t>Think</w:t>
            </w:r>
          </w:p>
        </w:tc>
        <w:tc>
          <w:tcPr>
            <w:tcW w:w="77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40" w:type="dxa"/>
            </w:tcMar>
          </w:tcPr>
          <w:p w14:paraId="25FF8D36" w14:textId="77777777" w:rsidR="00295BA4" w:rsidRDefault="545D514B">
            <w:r w:rsidRPr="545D514B">
              <w:rPr>
                <w:sz w:val="21"/>
                <w:szCs w:val="21"/>
                <w:lang w:val="en-US"/>
              </w:rPr>
              <w:t>Why does Defender for Cloud assign different severity levels to recommendations? What factors determine whether a recommendation is critical vs. medium?</w:t>
            </w:r>
          </w:p>
        </w:tc>
      </w:tr>
    </w:tbl>
    <w:p w14:paraId="72A3D3EC" w14:textId="77777777" w:rsidR="00295BA4" w:rsidRDefault="00295BA4"/>
    <w:p w14:paraId="6D6750E7" w14:textId="77777777" w:rsidR="00295BA4" w:rsidRDefault="00000000">
      <w:pPr>
        <w:spacing w:before="240" w:after="120"/>
      </w:pPr>
      <w:r>
        <w:rPr>
          <w:b/>
          <w:bCs/>
          <w:color w:val="003366"/>
          <w:sz w:val="28"/>
          <w:szCs w:val="28"/>
        </w:rPr>
        <w:t>Task 2 — Remediation (4 Marks)</w:t>
      </w:r>
    </w:p>
    <w:p w14:paraId="09B64AC7" w14:textId="77777777" w:rsidR="00295BA4" w:rsidRDefault="00000000">
      <w:pPr>
        <w:spacing w:before="60" w:after="80"/>
      </w:pPr>
      <w:r>
        <w:t>Select and implement fixes for two specific categories of risk. You do not need to resolve every recommendation — focus on these two:</w:t>
      </w:r>
    </w:p>
    <w:p w14:paraId="0D0B940D" w14:textId="77777777" w:rsidR="00295BA4" w:rsidRDefault="00295BA4"/>
    <w:p w14:paraId="5F817575" w14:textId="77777777" w:rsidR="00295BA4" w:rsidRDefault="00000000">
      <w:pPr>
        <w:spacing w:before="240" w:after="120"/>
      </w:pPr>
      <w:r>
        <w:rPr>
          <w:b/>
          <w:bCs/>
          <w:color w:val="003366"/>
          <w:sz w:val="24"/>
          <w:szCs w:val="24"/>
        </w:rPr>
        <w:t>2a — Close Open Management Ports (2 Marks)</w:t>
      </w:r>
    </w:p>
    <w:p w14:paraId="654B4CF5" w14:textId="77777777" w:rsidR="00295BA4" w:rsidRDefault="545D514B">
      <w:pPr>
        <w:spacing w:before="60" w:after="80"/>
      </w:pPr>
      <w:r w:rsidRPr="545D514B">
        <w:rPr>
          <w:lang w:val="en-US"/>
        </w:rPr>
        <w:t>Open RDP (port 3389) and SSH (port 22) exposure to the public internet is a well-known attack vector. Identify whether your environment has this risk and address it through your NSG configuration.</w:t>
      </w:r>
    </w:p>
    <w:p w14:paraId="37762065" w14:textId="77777777" w:rsidR="00295BA4" w:rsidRDefault="00000000">
      <w:pPr>
        <w:spacing w:before="60" w:after="80"/>
      </w:pPr>
      <w:r>
        <w:t>Document the before and after state of the relevant NSG rule(s). Your evidence should make the change and its security impact clear.</w:t>
      </w:r>
    </w:p>
    <w:p w14:paraId="46AD37E4" w14:textId="77777777" w:rsidR="00022994" w:rsidRDefault="00022994">
      <w:pPr>
        <w:rPr>
          <w:b/>
          <w:bCs/>
        </w:rPr>
      </w:pPr>
    </w:p>
    <w:p w14:paraId="6156934C" w14:textId="77777777" w:rsidR="00022994" w:rsidRDefault="00022994">
      <w:pPr>
        <w:rPr>
          <w:b/>
          <w:bCs/>
        </w:rPr>
      </w:pPr>
    </w:p>
    <w:p w14:paraId="1171D655" w14:textId="77777777" w:rsidR="00022994" w:rsidRDefault="00022994">
      <w:pPr>
        <w:rPr>
          <w:b/>
          <w:bCs/>
        </w:rPr>
      </w:pPr>
    </w:p>
    <w:p w14:paraId="1FE73B49" w14:textId="77777777" w:rsidR="00022994" w:rsidRDefault="00022994">
      <w:pPr>
        <w:rPr>
          <w:b/>
          <w:bCs/>
        </w:rPr>
      </w:pPr>
    </w:p>
    <w:p w14:paraId="4156216C" w14:textId="77777777" w:rsidR="00022994" w:rsidRDefault="00022994">
      <w:pPr>
        <w:rPr>
          <w:b/>
          <w:bCs/>
        </w:rPr>
      </w:pPr>
    </w:p>
    <w:p w14:paraId="0E27B00A" w14:textId="04DA2F52" w:rsidR="00295BA4" w:rsidRPr="00022994" w:rsidRDefault="00022994">
      <w:pPr>
        <w:rPr>
          <w:b/>
          <w:bCs/>
        </w:rPr>
      </w:pPr>
      <w:r w:rsidRPr="00022994">
        <w:rPr>
          <w:b/>
          <w:bCs/>
        </w:rPr>
        <w:lastRenderedPageBreak/>
        <w:t xml:space="preserve">Before </w:t>
      </w:r>
    </w:p>
    <w:p w14:paraId="7F774A19" w14:textId="20EB3844" w:rsidR="00022994" w:rsidRDefault="00022994">
      <w:r>
        <w:rPr>
          <w:noProof/>
        </w:rPr>
        <w:drawing>
          <wp:inline distT="0" distB="0" distL="0" distR="0" wp14:anchorId="7ADA3D26" wp14:editId="02297567">
            <wp:extent cx="4222143" cy="3897742"/>
            <wp:effectExtent l="0" t="0" r="6985" b="7620"/>
            <wp:docPr id="830755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55331" name="Picture 830755331"/>
                    <pic:cNvPicPr/>
                  </pic:nvPicPr>
                  <pic:blipFill>
                    <a:blip r:embed="rId11">
                      <a:extLst>
                        <a:ext uri="{28A0092B-C50C-407E-A947-70E740481C1C}">
                          <a14:useLocalDpi xmlns:a14="http://schemas.microsoft.com/office/drawing/2010/main" val="0"/>
                        </a:ext>
                      </a:extLst>
                    </a:blip>
                    <a:stretch>
                      <a:fillRect/>
                    </a:stretch>
                  </pic:blipFill>
                  <pic:spPr>
                    <a:xfrm>
                      <a:off x="0" y="0"/>
                      <a:ext cx="4234532" cy="3909179"/>
                    </a:xfrm>
                    <a:prstGeom prst="rect">
                      <a:avLst/>
                    </a:prstGeom>
                  </pic:spPr>
                </pic:pic>
              </a:graphicData>
            </a:graphic>
          </wp:inline>
        </w:drawing>
      </w:r>
    </w:p>
    <w:p w14:paraId="3902A9A5" w14:textId="5ABB3A9E" w:rsidR="00022994" w:rsidRDefault="00022994">
      <w:r>
        <w:rPr>
          <w:noProof/>
        </w:rPr>
        <w:drawing>
          <wp:inline distT="0" distB="0" distL="0" distR="0" wp14:anchorId="5BC4B7E2" wp14:editId="5D2E3BA2">
            <wp:extent cx="4183943" cy="2305878"/>
            <wp:effectExtent l="0" t="0" r="7620" b="0"/>
            <wp:docPr id="368737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7973" name="Picture 368737973"/>
                    <pic:cNvPicPr/>
                  </pic:nvPicPr>
                  <pic:blipFill>
                    <a:blip r:embed="rId12">
                      <a:extLst>
                        <a:ext uri="{28A0092B-C50C-407E-A947-70E740481C1C}">
                          <a14:useLocalDpi xmlns:a14="http://schemas.microsoft.com/office/drawing/2010/main" val="0"/>
                        </a:ext>
                      </a:extLst>
                    </a:blip>
                    <a:stretch>
                      <a:fillRect/>
                    </a:stretch>
                  </pic:blipFill>
                  <pic:spPr>
                    <a:xfrm>
                      <a:off x="0" y="0"/>
                      <a:ext cx="4205504" cy="2317761"/>
                    </a:xfrm>
                    <a:prstGeom prst="rect">
                      <a:avLst/>
                    </a:prstGeom>
                  </pic:spPr>
                </pic:pic>
              </a:graphicData>
            </a:graphic>
          </wp:inline>
        </w:drawing>
      </w:r>
    </w:p>
    <w:p w14:paraId="4B395FB9" w14:textId="77777777" w:rsidR="00022994" w:rsidRDefault="00022994"/>
    <w:p w14:paraId="48BE93B3" w14:textId="2A506A86" w:rsidR="00022994" w:rsidRPr="00022994" w:rsidRDefault="00022994">
      <w:pPr>
        <w:rPr>
          <w:b/>
          <w:bCs/>
        </w:rPr>
      </w:pPr>
      <w:r w:rsidRPr="00022994">
        <w:rPr>
          <w:b/>
          <w:bCs/>
        </w:rPr>
        <w:t>After</w:t>
      </w:r>
    </w:p>
    <w:p w14:paraId="02E53D21" w14:textId="130BFF70" w:rsidR="00022994" w:rsidRDefault="00022994">
      <w:r>
        <w:rPr>
          <w:noProof/>
        </w:rPr>
        <w:drawing>
          <wp:inline distT="0" distB="0" distL="0" distR="0" wp14:anchorId="4E532981" wp14:editId="28A849AC">
            <wp:extent cx="4643562" cy="2313477"/>
            <wp:effectExtent l="0" t="0" r="5080" b="0"/>
            <wp:docPr id="62702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2640" name="Picture 62702640"/>
                    <pic:cNvPicPr/>
                  </pic:nvPicPr>
                  <pic:blipFill>
                    <a:blip r:embed="rId13">
                      <a:extLst>
                        <a:ext uri="{28A0092B-C50C-407E-A947-70E740481C1C}">
                          <a14:useLocalDpi xmlns:a14="http://schemas.microsoft.com/office/drawing/2010/main" val="0"/>
                        </a:ext>
                      </a:extLst>
                    </a:blip>
                    <a:stretch>
                      <a:fillRect/>
                    </a:stretch>
                  </pic:blipFill>
                  <pic:spPr>
                    <a:xfrm>
                      <a:off x="0" y="0"/>
                      <a:ext cx="4656540" cy="2319943"/>
                    </a:xfrm>
                    <a:prstGeom prst="rect">
                      <a:avLst/>
                    </a:prstGeom>
                  </pic:spPr>
                </pic:pic>
              </a:graphicData>
            </a:graphic>
          </wp:inline>
        </w:drawing>
      </w:r>
    </w:p>
    <w:p w14:paraId="4F7B514A" w14:textId="77777777" w:rsidR="00022994" w:rsidRDefault="00022994"/>
    <w:p w14:paraId="615F7C49" w14:textId="71143B08" w:rsidR="00022994" w:rsidRDefault="00022994">
      <w:r>
        <w:rPr>
          <w:noProof/>
        </w:rPr>
        <w:lastRenderedPageBreak/>
        <w:drawing>
          <wp:inline distT="0" distB="0" distL="0" distR="0" wp14:anchorId="302992C0" wp14:editId="16135CB0">
            <wp:extent cx="6036310" cy="213360"/>
            <wp:effectExtent l="0" t="0" r="2540" b="0"/>
            <wp:docPr id="411995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95974" name="Picture 4119959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6310" cy="213360"/>
                    </a:xfrm>
                    <a:prstGeom prst="rect">
                      <a:avLst/>
                    </a:prstGeom>
                  </pic:spPr>
                </pic:pic>
              </a:graphicData>
            </a:graphic>
          </wp:inline>
        </w:drawing>
      </w:r>
    </w:p>
    <w:p w14:paraId="7EE782B9" w14:textId="77777777" w:rsidR="00295BA4" w:rsidRDefault="00000000">
      <w:pPr>
        <w:spacing w:before="240" w:after="120"/>
      </w:pPr>
      <w:r>
        <w:rPr>
          <w:b/>
          <w:bCs/>
          <w:color w:val="003366"/>
          <w:sz w:val="24"/>
          <w:szCs w:val="24"/>
        </w:rPr>
        <w:t>2b — Enable OS Updates (2 Marks)</w:t>
      </w:r>
    </w:p>
    <w:p w14:paraId="640D97AE" w14:textId="77777777" w:rsidR="00295BA4" w:rsidRDefault="545D514B">
      <w:pPr>
        <w:spacing w:before="60" w:after="80"/>
      </w:pPr>
      <w:r w:rsidRPr="545D514B">
        <w:rPr>
          <w:lang w:val="en-US"/>
        </w:rPr>
        <w:t>Azure Update Manager (or the equivalent in your subscription tier) allows you to enforce automated update assessments and scheduled deployments. Locate the appropriate configuration and enable it for your VM.</w:t>
      </w:r>
    </w:p>
    <w:p w14:paraId="0630A210" w14:textId="77777777" w:rsidR="00295BA4" w:rsidRDefault="00000000">
      <w:pPr>
        <w:spacing w:before="60" w:after="80"/>
      </w:pPr>
      <w:r>
        <w:t>Provide evidence that the configuration was applied — not just that the setting exists.</w:t>
      </w:r>
    </w:p>
    <w:p w14:paraId="67FB1CFE" w14:textId="7AB33F14" w:rsidR="00C81E3C" w:rsidRDefault="00C81E3C">
      <w:pPr>
        <w:spacing w:before="60" w:after="80"/>
      </w:pPr>
      <w:r>
        <w:rPr>
          <w:noProof/>
        </w:rPr>
        <w:drawing>
          <wp:inline distT="0" distB="0" distL="0" distR="0" wp14:anchorId="4987DBE0" wp14:editId="5B6A8223">
            <wp:extent cx="6036310" cy="3721100"/>
            <wp:effectExtent l="0" t="0" r="2540" b="0"/>
            <wp:docPr id="56210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05905" name="Picture 562105905"/>
                    <pic:cNvPicPr/>
                  </pic:nvPicPr>
                  <pic:blipFill>
                    <a:blip r:embed="rId15">
                      <a:extLst>
                        <a:ext uri="{28A0092B-C50C-407E-A947-70E740481C1C}">
                          <a14:useLocalDpi xmlns:a14="http://schemas.microsoft.com/office/drawing/2010/main" val="0"/>
                        </a:ext>
                      </a:extLst>
                    </a:blip>
                    <a:stretch>
                      <a:fillRect/>
                    </a:stretch>
                  </pic:blipFill>
                  <pic:spPr>
                    <a:xfrm>
                      <a:off x="0" y="0"/>
                      <a:ext cx="6036310" cy="3721100"/>
                    </a:xfrm>
                    <a:prstGeom prst="rect">
                      <a:avLst/>
                    </a:prstGeom>
                  </pic:spPr>
                </pic:pic>
              </a:graphicData>
            </a:graphic>
          </wp:inline>
        </w:drawing>
      </w:r>
    </w:p>
    <w:p w14:paraId="60061E4C" w14:textId="0A4E7BB0" w:rsidR="00295BA4" w:rsidRDefault="00C81E3C">
      <w:r>
        <w:rPr>
          <w:noProof/>
        </w:rPr>
        <w:drawing>
          <wp:inline distT="0" distB="0" distL="0" distR="0" wp14:anchorId="7FEBC6E8" wp14:editId="1CB122B9">
            <wp:extent cx="3816350" cy="2107095"/>
            <wp:effectExtent l="0" t="0" r="0" b="7620"/>
            <wp:docPr id="2140521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21333" name="Picture 2140521333"/>
                    <pic:cNvPicPr/>
                  </pic:nvPicPr>
                  <pic:blipFill>
                    <a:blip r:embed="rId16">
                      <a:extLst>
                        <a:ext uri="{28A0092B-C50C-407E-A947-70E740481C1C}">
                          <a14:useLocalDpi xmlns:a14="http://schemas.microsoft.com/office/drawing/2010/main" val="0"/>
                        </a:ext>
                      </a:extLst>
                    </a:blip>
                    <a:stretch>
                      <a:fillRect/>
                    </a:stretch>
                  </pic:blipFill>
                  <pic:spPr>
                    <a:xfrm>
                      <a:off x="0" y="0"/>
                      <a:ext cx="3838693" cy="2119431"/>
                    </a:xfrm>
                    <a:prstGeom prst="rect">
                      <a:avLst/>
                    </a:prstGeom>
                  </pic:spPr>
                </pic:pic>
              </a:graphicData>
            </a:graphic>
          </wp:inline>
        </w:drawing>
      </w:r>
    </w:p>
    <w:p w14:paraId="2453D604" w14:textId="7EDBAA15" w:rsidR="00C81E3C" w:rsidRDefault="00C81E3C">
      <w:r>
        <w:rPr>
          <w:noProof/>
        </w:rPr>
        <w:drawing>
          <wp:inline distT="0" distB="0" distL="0" distR="0" wp14:anchorId="4C18F4CB" wp14:editId="173B9172">
            <wp:extent cx="4230094" cy="1350551"/>
            <wp:effectExtent l="0" t="0" r="0" b="2540"/>
            <wp:docPr id="1532330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30093" name="Picture 1532330093"/>
                    <pic:cNvPicPr/>
                  </pic:nvPicPr>
                  <pic:blipFill>
                    <a:blip r:embed="rId17">
                      <a:extLst>
                        <a:ext uri="{28A0092B-C50C-407E-A947-70E740481C1C}">
                          <a14:useLocalDpi xmlns:a14="http://schemas.microsoft.com/office/drawing/2010/main" val="0"/>
                        </a:ext>
                      </a:extLst>
                    </a:blip>
                    <a:stretch>
                      <a:fillRect/>
                    </a:stretch>
                  </pic:blipFill>
                  <pic:spPr>
                    <a:xfrm>
                      <a:off x="0" y="0"/>
                      <a:ext cx="4257796" cy="1359396"/>
                    </a:xfrm>
                    <a:prstGeom prst="rect">
                      <a:avLst/>
                    </a:prstGeom>
                  </pic:spPr>
                </pic:pic>
              </a:graphicData>
            </a:graphic>
          </wp:inline>
        </w:drawing>
      </w:r>
    </w:p>
    <w:p w14:paraId="4B149460" w14:textId="77777777" w:rsidR="00C81E3C" w:rsidRDefault="00C81E3C"/>
    <w:p w14:paraId="0E644989" w14:textId="77777777" w:rsidR="00C81E3C" w:rsidRDefault="00C81E3C"/>
    <w:p w14:paraId="351C6513" w14:textId="77777777" w:rsidR="00C81E3C" w:rsidRDefault="00C81E3C"/>
    <w:p w14:paraId="463FA310" w14:textId="71A2C9FF" w:rsidR="00C81E3C" w:rsidRDefault="00C81E3C">
      <w:r>
        <w:rPr>
          <w:noProof/>
        </w:rPr>
        <w:lastRenderedPageBreak/>
        <w:drawing>
          <wp:inline distT="0" distB="0" distL="0" distR="0" wp14:anchorId="0D2C219E" wp14:editId="59349D50">
            <wp:extent cx="6036310" cy="2292350"/>
            <wp:effectExtent l="0" t="0" r="2540" b="0"/>
            <wp:docPr id="1495552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52677" name="Picture 14955526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36310" cy="22923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95BA4" w14:paraId="0FD4A73F" w14:textId="77777777">
        <w:tc>
          <w:tcPr>
            <w:tcW w:w="1600" w:type="dxa"/>
            <w:tcBorders>
              <w:top w:val="single" w:sz="1" w:space="0" w:color="CCCCCC"/>
              <w:left w:val="single" w:sz="1" w:space="0" w:color="CCCCCC"/>
              <w:bottom w:val="single" w:sz="1" w:space="0" w:color="CCCCCC"/>
              <w:right w:val="single" w:sz="1" w:space="0" w:color="CCCCCC"/>
            </w:tcBorders>
            <w:shd w:val="clear" w:color="auto" w:fill="007B8A"/>
            <w:tcMar>
              <w:top w:w="100" w:type="dxa"/>
              <w:left w:w="140" w:type="dxa"/>
              <w:bottom w:w="100" w:type="dxa"/>
              <w:right w:w="140" w:type="dxa"/>
            </w:tcMar>
            <w:vAlign w:val="center"/>
          </w:tcPr>
          <w:p w14:paraId="40FC690C" w14:textId="77777777" w:rsidR="00295BA4" w:rsidRDefault="00000000">
            <w:pPr>
              <w:jc w:val="center"/>
            </w:pPr>
            <w:r>
              <w:rPr>
                <w:b/>
                <w:bCs/>
                <w:color w:val="FFFFFF"/>
                <w:sz w:val="20"/>
                <w:szCs w:val="20"/>
              </w:rPr>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60" w:type="dxa"/>
              <w:bottom w:w="100" w:type="dxa"/>
              <w:right w:w="140" w:type="dxa"/>
            </w:tcMar>
          </w:tcPr>
          <w:p w14:paraId="317B73D5" w14:textId="77777777" w:rsidR="00295BA4" w:rsidRDefault="00000000">
            <w:r>
              <w:rPr>
                <w:sz w:val="21"/>
                <w:szCs w:val="21"/>
              </w:rPr>
              <w:t>If your subscription or VM configuration does not support a specific feature, document what you found and explain an alternative approach. Workarounds supported by reasoning are valid.</w:t>
            </w:r>
          </w:p>
        </w:tc>
      </w:tr>
    </w:tbl>
    <w:p w14:paraId="44EAFD9C" w14:textId="77777777" w:rsidR="00295BA4" w:rsidRDefault="00295BA4"/>
    <w:p w14:paraId="27C8B78F" w14:textId="77777777" w:rsidR="00295BA4" w:rsidRDefault="00000000">
      <w:pPr>
        <w:spacing w:before="240" w:after="120"/>
      </w:pPr>
      <w:r>
        <w:rPr>
          <w:b/>
          <w:bCs/>
          <w:color w:val="003366"/>
          <w:sz w:val="28"/>
          <w:szCs w:val="28"/>
        </w:rPr>
        <w:t>Task 3 — GitHub Documentation (3 Marks)</w:t>
      </w:r>
    </w:p>
    <w:p w14:paraId="0D8EB1B8" w14:textId="77777777" w:rsidR="00295BA4" w:rsidRDefault="00000000">
      <w:pPr>
        <w:spacing w:before="60" w:after="80"/>
      </w:pPr>
      <w:r>
        <w:t>All evidence and analysis must be committed to your GitHub repository. A screenshot dump is not sufficient — your README should tell the story of what you found, what you changed, and why it matters.</w:t>
      </w:r>
    </w:p>
    <w:p w14:paraId="65485231" w14:textId="77777777" w:rsidR="00295BA4" w:rsidRDefault="00000000">
      <w:pPr>
        <w:spacing w:before="60" w:after="80"/>
      </w:pPr>
      <w:r>
        <w:t>Your repository should include:</w:t>
      </w:r>
    </w:p>
    <w:p w14:paraId="43BAE167" w14:textId="77777777" w:rsidR="00295BA4" w:rsidRDefault="00000000">
      <w:pPr>
        <w:pStyle w:val="ListParagraph"/>
        <w:numPr>
          <w:ilvl w:val="0"/>
          <w:numId w:val="2"/>
        </w:numPr>
        <w:spacing w:before="40" w:after="40"/>
      </w:pPr>
      <w:r>
        <w:t>A structured README with clearly labelled before/after sections</w:t>
      </w:r>
    </w:p>
    <w:p w14:paraId="2601CC9E" w14:textId="77777777" w:rsidR="00295BA4" w:rsidRDefault="00000000">
      <w:pPr>
        <w:pStyle w:val="ListParagraph"/>
        <w:numPr>
          <w:ilvl w:val="0"/>
          <w:numId w:val="2"/>
        </w:numPr>
        <w:spacing w:before="40" w:after="40"/>
      </w:pPr>
      <w:r>
        <w:t>Screenshots embedded or linked with meaningful captions</w:t>
      </w:r>
    </w:p>
    <w:p w14:paraId="30147570" w14:textId="77777777" w:rsidR="00295BA4" w:rsidRDefault="00000000">
      <w:pPr>
        <w:pStyle w:val="ListParagraph"/>
        <w:numPr>
          <w:ilvl w:val="0"/>
          <w:numId w:val="2"/>
        </w:numPr>
        <w:spacing w:before="40" w:after="40"/>
      </w:pPr>
      <w:r>
        <w:t>A brief written explanation for each remediation decision</w:t>
      </w:r>
    </w:p>
    <w:p w14:paraId="65F21BEC" w14:textId="77777777" w:rsidR="00295BA4" w:rsidRDefault="00000000">
      <w:pPr>
        <w:pStyle w:val="ListParagraph"/>
        <w:numPr>
          <w:ilvl w:val="0"/>
          <w:numId w:val="2"/>
        </w:numPr>
        <w:spacing w:before="40" w:after="40"/>
      </w:pPr>
      <w:r>
        <w:t>Visible commit history showing incremental progress (not a single bulk commit)</w:t>
      </w:r>
    </w:p>
    <w:p w14:paraId="4B94D5A5" w14:textId="77777777" w:rsidR="00295BA4" w:rsidRDefault="00295B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95BA4" w14:paraId="7CCB3BFF" w14:textId="77777777">
        <w:tc>
          <w:tcPr>
            <w:tcW w:w="1600" w:type="dxa"/>
            <w:tcBorders>
              <w:top w:val="single" w:sz="1" w:space="0" w:color="CCCCCC"/>
              <w:left w:val="single" w:sz="1" w:space="0" w:color="CCCCCC"/>
              <w:bottom w:val="single" w:sz="1" w:space="0" w:color="CCCCCC"/>
              <w:right w:val="single" w:sz="1" w:space="0" w:color="CCCCCC"/>
            </w:tcBorders>
            <w:shd w:val="clear" w:color="auto" w:fill="007B8A"/>
            <w:tcMar>
              <w:top w:w="100" w:type="dxa"/>
              <w:left w:w="140" w:type="dxa"/>
              <w:bottom w:w="100" w:type="dxa"/>
              <w:right w:w="140" w:type="dxa"/>
            </w:tcMar>
            <w:vAlign w:val="center"/>
          </w:tcPr>
          <w:p w14:paraId="113F0DF8" w14:textId="77777777" w:rsidR="00295BA4" w:rsidRDefault="00000000">
            <w:pPr>
              <w:jc w:val="center"/>
            </w:pPr>
            <w:r>
              <w:rPr>
                <w:b/>
                <w:bCs/>
                <w:color w:val="FFFFFF"/>
                <w:sz w:val="20"/>
                <w:szCs w:val="20"/>
              </w:rPr>
              <w:t>Think</w:t>
            </w:r>
          </w:p>
        </w:tc>
        <w:tc>
          <w:tcPr>
            <w:tcW w:w="77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40" w:type="dxa"/>
            </w:tcMar>
          </w:tcPr>
          <w:p w14:paraId="76535A12" w14:textId="77777777" w:rsidR="00295BA4" w:rsidRDefault="00000000">
            <w:r>
              <w:rPr>
                <w:sz w:val="21"/>
                <w:szCs w:val="21"/>
              </w:rPr>
              <w:t>How would you present this repository to a client or employer? Would someone who wasn't in this class understand what you did and why?</w:t>
            </w:r>
          </w:p>
        </w:tc>
      </w:tr>
    </w:tbl>
    <w:p w14:paraId="3DEEC669" w14:textId="77777777" w:rsidR="00295BA4" w:rsidRDefault="00295BA4"/>
    <w:p w14:paraId="6296C5E5" w14:textId="77777777" w:rsidR="00295BA4" w:rsidRDefault="00000000">
      <w:pPr>
        <w:pBdr>
          <w:bottom w:val="single" w:sz="6" w:space="4" w:color="007B8A"/>
        </w:pBdr>
        <w:spacing w:before="300" w:after="200"/>
      </w:pPr>
      <w:r>
        <w:rPr>
          <w:b/>
          <w:bCs/>
          <w:color w:val="003366"/>
          <w:sz w:val="36"/>
          <w:szCs w:val="36"/>
        </w:rPr>
        <w:t>Submission</w:t>
      </w:r>
    </w:p>
    <w:p w14:paraId="29CC6C96" w14:textId="77777777" w:rsidR="00295BA4" w:rsidRDefault="00000000">
      <w:pPr>
        <w:spacing w:before="60" w:after="80"/>
      </w:pPr>
      <w:r>
        <w:t>Submit the following via the LMS before the deadline:</w:t>
      </w:r>
    </w:p>
    <w:p w14:paraId="4C313264" w14:textId="77777777" w:rsidR="00295BA4" w:rsidRDefault="00000000">
      <w:pPr>
        <w:pStyle w:val="ListParagraph"/>
        <w:numPr>
          <w:ilvl w:val="0"/>
          <w:numId w:val="2"/>
        </w:numPr>
        <w:spacing w:before="40" w:after="40"/>
      </w:pPr>
      <w:r>
        <w:t>The public URL of your GitHub repository</w:t>
      </w:r>
    </w:p>
    <w:p w14:paraId="43F39761" w14:textId="77777777" w:rsidR="00295BA4" w:rsidRDefault="545D514B">
      <w:pPr>
        <w:pStyle w:val="ListParagraph"/>
        <w:numPr>
          <w:ilvl w:val="0"/>
          <w:numId w:val="2"/>
        </w:numPr>
        <w:spacing w:before="40" w:after="40"/>
      </w:pPr>
      <w:proofErr w:type="gramStart"/>
      <w:r w:rsidRPr="545D514B">
        <w:rPr>
          <w:lang w:val="en-US"/>
        </w:rPr>
        <w:t>A brief summary</w:t>
      </w:r>
      <w:proofErr w:type="gramEnd"/>
      <w:r w:rsidRPr="545D514B">
        <w:rPr>
          <w:lang w:val="en-US"/>
        </w:rPr>
        <w:t xml:space="preserve"> (3–5 sentences) of the most significant security finding in your environment and the reasoning behind your remediation priority</w:t>
      </w:r>
    </w:p>
    <w:p w14:paraId="13CE5DE6" w14:textId="77777777" w:rsidR="00295BA4" w:rsidRDefault="545D514B">
      <w:pPr>
        <w:spacing w:before="60" w:after="80"/>
      </w:pPr>
      <w:r w:rsidRPr="545D514B">
        <w:rPr>
          <w:lang w:val="en-US"/>
        </w:rPr>
        <w:t>Do not submit screenshots directly to the LMS. All visual evidence must live in your GitHub repository.</w:t>
      </w:r>
    </w:p>
    <w:p w14:paraId="3656B9AB" w14:textId="77777777" w:rsidR="00295BA4" w:rsidRDefault="00295BA4"/>
    <w:p w14:paraId="4A500065" w14:textId="77777777" w:rsidR="00295BA4" w:rsidRDefault="00000000">
      <w:pPr>
        <w:pBdr>
          <w:bottom w:val="single" w:sz="6" w:space="4" w:color="007B8A"/>
        </w:pBdr>
        <w:spacing w:before="300" w:after="200"/>
      </w:pPr>
      <w:r>
        <w:rPr>
          <w:b/>
          <w:bCs/>
          <w:color w:val="003366"/>
          <w:sz w:val="36"/>
          <w:szCs w:val="36"/>
        </w:rPr>
        <w:t>Mark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gridCol w:w="1360"/>
      </w:tblGrid>
      <w:tr w:rsidR="00295BA4" w14:paraId="380098AF" w14:textId="77777777">
        <w:tc>
          <w:tcPr>
            <w:tcW w:w="5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15F68445" w14:textId="77777777" w:rsidR="00295BA4" w:rsidRDefault="00000000">
            <w:pPr>
              <w:jc w:val="center"/>
            </w:pPr>
            <w:r>
              <w:rPr>
                <w:b/>
                <w:bCs/>
                <w:color w:val="FFFFFF"/>
                <w:sz w:val="20"/>
                <w:szCs w:val="20"/>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1FDF52F2" w14:textId="77777777" w:rsidR="00295BA4" w:rsidRDefault="00000000">
            <w:pPr>
              <w:jc w:val="center"/>
            </w:pPr>
            <w:r>
              <w:rPr>
                <w:b/>
                <w:bCs/>
                <w:color w:val="FFFFFF"/>
                <w:sz w:val="20"/>
                <w:szCs w:val="20"/>
              </w:rPr>
              <w:t>Criteria</w:t>
            </w:r>
          </w:p>
        </w:tc>
        <w:tc>
          <w:tcPr>
            <w:tcW w:w="13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BD35CE5" w14:textId="77777777" w:rsidR="00295BA4" w:rsidRDefault="00000000">
            <w:pPr>
              <w:jc w:val="center"/>
            </w:pPr>
            <w:r>
              <w:rPr>
                <w:b/>
                <w:bCs/>
                <w:color w:val="FFFFFF"/>
                <w:sz w:val="20"/>
                <w:szCs w:val="20"/>
              </w:rPr>
              <w:t>Marks</w:t>
            </w:r>
          </w:p>
        </w:tc>
      </w:tr>
      <w:tr w:rsidR="00295BA4" w14:paraId="6D4A661E" w14:textId="77777777">
        <w:tc>
          <w:tcPr>
            <w:tcW w:w="50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tcPr>
          <w:p w14:paraId="3267E41A" w14:textId="77777777" w:rsidR="00295BA4" w:rsidRDefault="00000000">
            <w:r>
              <w:rPr>
                <w:b/>
                <w:bCs/>
                <w:sz w:val="20"/>
                <w:szCs w:val="20"/>
              </w:rPr>
              <w:t>Defender for Cloud — Recommendations Review</w:t>
            </w:r>
          </w:p>
        </w:tc>
        <w:tc>
          <w:tcPr>
            <w:tcW w:w="300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tcPr>
          <w:p w14:paraId="2906F6A5" w14:textId="77777777" w:rsidR="00295BA4" w:rsidRDefault="00000000">
            <w:r>
              <w:rPr>
                <w:sz w:val="20"/>
                <w:szCs w:val="20"/>
              </w:rPr>
              <w:t xml:space="preserve">Screenshot of Secure Score + list of top 3 active </w:t>
            </w:r>
            <w:r>
              <w:rPr>
                <w:sz w:val="20"/>
                <w:szCs w:val="20"/>
              </w:rPr>
              <w:lastRenderedPageBreak/>
              <w:t>recommendations with descriptions</w:t>
            </w:r>
          </w:p>
        </w:tc>
        <w:tc>
          <w:tcPr>
            <w:tcW w:w="1360" w:type="dxa"/>
            <w:tcBorders>
              <w:top w:val="single" w:sz="1" w:space="0" w:color="CCCCCC"/>
              <w:left w:val="single" w:sz="1" w:space="0" w:color="CCCCCC"/>
              <w:bottom w:val="single" w:sz="1" w:space="0" w:color="CCCCCC"/>
              <w:right w:val="single" w:sz="1" w:space="0" w:color="CCCCCC"/>
            </w:tcBorders>
            <w:shd w:val="clear" w:color="auto" w:fill="E0F4F6"/>
            <w:tcMar>
              <w:top w:w="80" w:type="dxa"/>
              <w:left w:w="120" w:type="dxa"/>
              <w:bottom w:w="80" w:type="dxa"/>
              <w:right w:w="120" w:type="dxa"/>
            </w:tcMar>
          </w:tcPr>
          <w:p w14:paraId="5FCD5EC4" w14:textId="77777777" w:rsidR="00295BA4" w:rsidRDefault="00000000">
            <w:r>
              <w:rPr>
                <w:sz w:val="20"/>
                <w:szCs w:val="20"/>
              </w:rPr>
              <w:lastRenderedPageBreak/>
              <w:t>3</w:t>
            </w:r>
          </w:p>
        </w:tc>
      </w:tr>
      <w:tr w:rsidR="00295BA4" w14:paraId="4FA023F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09619" w14:textId="77777777" w:rsidR="00295BA4" w:rsidRDefault="00000000">
            <w:r>
              <w:rPr>
                <w:sz w:val="20"/>
                <w:szCs w:val="20"/>
              </w:rPr>
              <w:t>Remediation — Close open ports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EA847" w14:textId="77777777" w:rsidR="00295BA4" w:rsidRDefault="00000000">
            <w:r>
              <w:rPr>
                <w:sz w:val="20"/>
                <w:szCs w:val="20"/>
              </w:rPr>
              <w:t>Evidence of NSG rule change + before/after screenshots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999B5" w14:textId="77777777" w:rsidR="00295BA4" w:rsidRDefault="00000000">
            <w:r>
              <w:rPr>
                <w:sz w:val="20"/>
                <w:szCs w:val="20"/>
              </w:rPr>
              <w:t>2</w:t>
            </w:r>
          </w:p>
        </w:tc>
      </w:tr>
      <w:tr w:rsidR="00295BA4" w14:paraId="079550DF"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9D195" w14:textId="77777777" w:rsidR="00295BA4" w:rsidRDefault="00000000">
            <w:r>
              <w:rPr>
                <w:sz w:val="20"/>
                <w:szCs w:val="20"/>
              </w:rPr>
              <w:t>Remediation — Enable OS updates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863B8" w14:textId="77777777" w:rsidR="00295BA4" w:rsidRDefault="00000000">
            <w:r>
              <w:rPr>
                <w:sz w:val="20"/>
                <w:szCs w:val="20"/>
              </w:rPr>
              <w:t>Screenshot of Update Manager configuration applied</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4751B" w14:textId="77777777" w:rsidR="00295BA4" w:rsidRDefault="00000000">
            <w:r>
              <w:rPr>
                <w:sz w:val="20"/>
                <w:szCs w:val="20"/>
              </w:rPr>
              <w:t>2</w:t>
            </w:r>
          </w:p>
        </w:tc>
      </w:tr>
      <w:tr w:rsidR="00295BA4" w14:paraId="0A4A58E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F531B" w14:textId="77777777" w:rsidR="00295BA4" w:rsidRDefault="00000000">
            <w:r>
              <w:rPr>
                <w:sz w:val="20"/>
                <w:szCs w:val="20"/>
              </w:rPr>
              <w:t>GitHub 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EBA5" w14:textId="77777777" w:rsidR="00295BA4" w:rsidRDefault="00000000">
            <w:r>
              <w:rPr>
                <w:sz w:val="20"/>
                <w:szCs w:val="20"/>
              </w:rPr>
              <w:t>README with structured before/after evidence and commit history visible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78152" w14:textId="77777777" w:rsidR="00295BA4" w:rsidRDefault="00000000">
            <w:r>
              <w:rPr>
                <w:sz w:val="20"/>
                <w:szCs w:val="20"/>
              </w:rPr>
              <w:t>3</w:t>
            </w:r>
          </w:p>
        </w:tc>
      </w:tr>
      <w:tr w:rsidR="00295BA4" w14:paraId="3C85EC03" w14:textId="77777777">
        <w:tc>
          <w:tcPr>
            <w:tcW w:w="8000" w:type="dxa"/>
            <w:gridSpan w:val="2"/>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BF53985" w14:textId="77777777" w:rsidR="00295BA4" w:rsidRDefault="00000000">
            <w:pPr>
              <w:jc w:val="right"/>
            </w:pPr>
            <w:r>
              <w:rPr>
                <w:b/>
                <w:bCs/>
                <w:color w:val="FFFFFF"/>
              </w:rPr>
              <w:t>TOTAL</w:t>
            </w:r>
          </w:p>
        </w:tc>
        <w:tc>
          <w:tcPr>
            <w:tcW w:w="1360" w:type="dxa"/>
            <w:tcBorders>
              <w:top w:val="single" w:sz="1" w:space="0" w:color="CCCCCC"/>
              <w:left w:val="single" w:sz="1" w:space="0" w:color="CCCCCC"/>
              <w:bottom w:val="single" w:sz="1" w:space="0" w:color="CCCCCC"/>
              <w:right w:val="single" w:sz="1" w:space="0" w:color="CCCCCC"/>
            </w:tcBorders>
            <w:shd w:val="clear" w:color="auto" w:fill="007B8A"/>
            <w:tcMar>
              <w:top w:w="80" w:type="dxa"/>
              <w:left w:w="120" w:type="dxa"/>
              <w:bottom w:w="80" w:type="dxa"/>
              <w:right w:w="120" w:type="dxa"/>
            </w:tcMar>
          </w:tcPr>
          <w:p w14:paraId="5D369756" w14:textId="77777777" w:rsidR="00295BA4" w:rsidRDefault="00000000">
            <w:pPr>
              <w:jc w:val="center"/>
            </w:pPr>
            <w:r>
              <w:rPr>
                <w:b/>
                <w:bCs/>
                <w:color w:val="FFFFFF"/>
              </w:rPr>
              <w:t>10</w:t>
            </w:r>
          </w:p>
        </w:tc>
      </w:tr>
    </w:tbl>
    <w:p w14:paraId="45FB0818" w14:textId="77777777" w:rsidR="00295BA4" w:rsidRDefault="00295BA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106"/>
      </w:tblGrid>
      <w:tr w:rsidR="00295BA4" w14:paraId="6E4C6867" w14:textId="77777777">
        <w:tc>
          <w:tcPr>
            <w:tcW w:w="400" w:type="dxa"/>
            <w:tcBorders>
              <w:top w:val="single" w:sz="1" w:space="0" w:color="CCCCCC"/>
            </w:tcBorders>
            <w:shd w:val="clear" w:color="auto" w:fill="007B8A"/>
          </w:tcPr>
          <w:p w14:paraId="049F31CB" w14:textId="77777777" w:rsidR="00295BA4" w:rsidRDefault="00295BA4"/>
        </w:tc>
        <w:tc>
          <w:tcPr>
            <w:tcW w:w="9106" w:type="dxa"/>
            <w:tcBorders>
              <w:top w:val="single" w:sz="1" w:space="0" w:color="CCCCCC"/>
              <w:right w:val="single" w:sz="1" w:space="0" w:color="CCCCCC"/>
            </w:tcBorders>
            <w:shd w:val="clear" w:color="auto" w:fill="F0FAFB"/>
            <w:tcMar>
              <w:top w:w="80" w:type="dxa"/>
              <w:left w:w="160" w:type="dxa"/>
              <w:bottom w:w="80" w:type="dxa"/>
              <w:right w:w="160" w:type="dxa"/>
            </w:tcMar>
          </w:tcPr>
          <w:p w14:paraId="0164D1B3" w14:textId="77777777" w:rsidR="00295BA4" w:rsidRDefault="00000000">
            <w:r>
              <w:rPr>
                <w:b/>
                <w:bCs/>
                <w:color w:val="003366"/>
              </w:rPr>
              <w:t>Academic Integrity</w:t>
            </w:r>
          </w:p>
        </w:tc>
      </w:tr>
      <w:tr w:rsidR="00295BA4" w14:paraId="5B405158" w14:textId="77777777">
        <w:tc>
          <w:tcPr>
            <w:tcW w:w="400" w:type="dxa"/>
            <w:tcBorders>
              <w:bottom w:val="single" w:sz="1" w:space="0" w:color="CCCCCC"/>
            </w:tcBorders>
            <w:shd w:val="clear" w:color="auto" w:fill="007B8A"/>
          </w:tcPr>
          <w:p w14:paraId="53128261" w14:textId="77777777" w:rsidR="00295BA4" w:rsidRDefault="00295BA4"/>
        </w:tc>
        <w:tc>
          <w:tcPr>
            <w:tcW w:w="9106" w:type="dxa"/>
            <w:tcBorders>
              <w:bottom w:val="single" w:sz="1" w:space="0" w:color="CCCCCC"/>
              <w:right w:val="single" w:sz="1" w:space="0" w:color="CCCCCC"/>
            </w:tcBorders>
            <w:shd w:val="clear" w:color="auto" w:fill="F0FAFB"/>
            <w:tcMar>
              <w:top w:w="80" w:type="dxa"/>
              <w:left w:w="160" w:type="dxa"/>
              <w:bottom w:w="80" w:type="dxa"/>
              <w:right w:w="160" w:type="dxa"/>
            </w:tcMar>
          </w:tcPr>
          <w:p w14:paraId="2B4DAA27" w14:textId="77777777" w:rsidR="00295BA4" w:rsidRDefault="00000000">
            <w:r>
              <w:rPr>
                <w:color w:val="555555"/>
                <w:sz w:val="20"/>
                <w:szCs w:val="20"/>
              </w:rPr>
              <w:t>All submissions must reflect your own work. Identical repository structures, screenshots, or write-ups between students will be treated as a potential academic integrity violation. Your environment, your evidence, your words.</w:t>
            </w:r>
          </w:p>
        </w:tc>
      </w:tr>
    </w:tbl>
    <w:p w14:paraId="17971F24" w14:textId="77777777" w:rsidR="00090B89" w:rsidRDefault="00090B89"/>
    <w:sectPr w:rsidR="00090B89">
      <w:headerReference w:type="default" r:id="rId19"/>
      <w:footerReference w:type="default" r:id="rId2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2FCBD" w14:textId="77777777" w:rsidR="00FD75DF" w:rsidRDefault="00FD75DF">
      <w:r>
        <w:separator/>
      </w:r>
    </w:p>
  </w:endnote>
  <w:endnote w:type="continuationSeparator" w:id="0">
    <w:p w14:paraId="3ED75AC2" w14:textId="77777777" w:rsidR="00FD75DF" w:rsidRDefault="00FD7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9BDB" w14:textId="303FEDAB" w:rsidR="00295BA4" w:rsidRDefault="545D514B" w:rsidP="545D514B">
    <w:pPr>
      <w:pBdr>
        <w:top w:val="single" w:sz="4" w:space="4" w:color="CCCCCC"/>
      </w:pBdr>
      <w:spacing w:before="80"/>
      <w:rPr>
        <w:lang w:val="en-US"/>
      </w:rPr>
    </w:pPr>
    <w:r w:rsidRPr="545D514B">
      <w:rPr>
        <w:color w:val="555555"/>
        <w:sz w:val="18"/>
        <w:szCs w:val="18"/>
        <w:lang w:val="en-US"/>
      </w:rPr>
      <w:t xml:space="preserve">NQF Level </w:t>
    </w:r>
    <w:proofErr w:type="gramStart"/>
    <w:r w:rsidRPr="545D514B">
      <w:rPr>
        <w:color w:val="555555"/>
        <w:sz w:val="18"/>
        <w:szCs w:val="18"/>
        <w:lang w:val="en-US"/>
      </w:rPr>
      <w:t>7  |</w:t>
    </w:r>
    <w:proofErr w:type="gramEnd"/>
    <w:r w:rsidRPr="545D514B">
      <w:rPr>
        <w:color w:val="555555"/>
        <w:sz w:val="18"/>
        <w:szCs w:val="18"/>
        <w:lang w:val="en-US"/>
      </w:rPr>
      <w:t xml:space="preserve">  Security </w:t>
    </w:r>
    <w:proofErr w:type="gramStart"/>
    <w:r w:rsidRPr="545D514B">
      <w:rPr>
        <w:color w:val="555555"/>
        <w:sz w:val="18"/>
        <w:szCs w:val="18"/>
        <w:lang w:val="en-US"/>
      </w:rPr>
      <w:t>Review  |</w:t>
    </w:r>
    <w:proofErr w:type="gramEnd"/>
    <w:r w:rsidRPr="545D514B">
      <w:rPr>
        <w:color w:val="555555"/>
        <w:sz w:val="18"/>
        <w:szCs w:val="18"/>
        <w:lang w:val="en-US"/>
      </w:rPr>
      <w:t xml:space="preserve">  Page </w:t>
    </w:r>
    <w:r w:rsidRPr="545D514B">
      <w:rPr>
        <w:color w:val="555555"/>
        <w:sz w:val="18"/>
        <w:szCs w:val="18"/>
        <w:lang w:val="en-US"/>
      </w:rPr>
      <w:fldChar w:fldCharType="begin"/>
    </w:r>
    <w:r w:rsidRPr="545D514B">
      <w:rPr>
        <w:color w:val="555555"/>
        <w:sz w:val="18"/>
        <w:szCs w:val="18"/>
      </w:rPr>
      <w:instrText>PAGE</w:instrText>
    </w:r>
    <w:r w:rsidRPr="545D514B">
      <w:rPr>
        <w:color w:val="555555"/>
        <w:sz w:val="18"/>
        <w:szCs w:val="18"/>
      </w:rPr>
      <w:fldChar w:fldCharType="separate"/>
    </w:r>
    <w:r w:rsidR="00302BFC">
      <w:rPr>
        <w:noProof/>
        <w:color w:val="555555"/>
        <w:sz w:val="18"/>
        <w:szCs w:val="18"/>
      </w:rPr>
      <w:t>1</w:t>
    </w:r>
    <w:r w:rsidRPr="545D514B">
      <w:rPr>
        <w:color w:val="555555"/>
        <w:sz w:val="18"/>
        <w:szCs w:val="18"/>
        <w:lang w:val="en-US"/>
      </w:rPr>
      <w:fldChar w:fldCharType="end"/>
    </w:r>
    <w:r w:rsidRPr="545D514B">
      <w:rPr>
        <w:color w:val="555555"/>
        <w:sz w:val="18"/>
        <w:szCs w:val="18"/>
        <w:lang w:val="en-US"/>
      </w:rPr>
      <w:t xml:space="preserve"> of </w:t>
    </w:r>
    <w:r w:rsidRPr="545D514B">
      <w:rPr>
        <w:color w:val="555555"/>
        <w:sz w:val="18"/>
        <w:szCs w:val="18"/>
        <w:lang w:val="en-US"/>
      </w:rPr>
      <w:fldChar w:fldCharType="begin"/>
    </w:r>
    <w:r w:rsidRPr="545D514B">
      <w:rPr>
        <w:color w:val="555555"/>
        <w:sz w:val="18"/>
        <w:szCs w:val="18"/>
      </w:rPr>
      <w:instrText>NUMPAGES</w:instrText>
    </w:r>
    <w:r w:rsidRPr="545D514B">
      <w:rPr>
        <w:color w:val="555555"/>
        <w:sz w:val="18"/>
        <w:szCs w:val="18"/>
      </w:rPr>
      <w:fldChar w:fldCharType="separate"/>
    </w:r>
    <w:r w:rsidR="00302BFC">
      <w:rPr>
        <w:noProof/>
        <w:color w:val="555555"/>
        <w:sz w:val="18"/>
        <w:szCs w:val="18"/>
      </w:rPr>
      <w:t>2</w:t>
    </w:r>
    <w:r w:rsidRPr="545D514B">
      <w:rPr>
        <w:color w:val="555555"/>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0843" w14:textId="77777777" w:rsidR="00FD75DF" w:rsidRDefault="00FD75DF">
      <w:r>
        <w:separator/>
      </w:r>
    </w:p>
  </w:footnote>
  <w:footnote w:type="continuationSeparator" w:id="0">
    <w:p w14:paraId="644D19E2" w14:textId="77777777" w:rsidR="00FD75DF" w:rsidRDefault="00FD7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295BA4" w14:paraId="009AD2A4"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CD578C" w14:textId="77777777" w:rsidR="00295BA4" w:rsidRDefault="00000000">
          <w:pPr>
            <w:pBdr>
              <w:bottom w:val="single" w:sz="8" w:space="4" w:color="007B8A"/>
            </w:pBdr>
          </w:pPr>
          <w:r>
            <w:rPr>
              <w:color w:val="555555"/>
              <w:sz w:val="18"/>
              <w:szCs w:val="18"/>
            </w:rPr>
            <w:t>CTU Training Solutions — NET731 Advanced Networking</w:t>
          </w:r>
        </w:p>
      </w:tc>
      <w:tc>
        <w:tcPr>
          <w:tcW w:w="25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DEA1989" w14:textId="77777777" w:rsidR="00295BA4" w:rsidRDefault="00000000">
          <w:pPr>
            <w:pBdr>
              <w:bottom w:val="single" w:sz="8" w:space="4" w:color="007B8A"/>
            </w:pBdr>
            <w:jc w:val="right"/>
          </w:pPr>
          <w:r>
            <w:rPr>
              <w:b/>
              <w:bCs/>
              <w:color w:val="007B8A"/>
              <w:sz w:val="18"/>
              <w:szCs w:val="18"/>
            </w:rPr>
            <w:t>Week 6 Practical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D677B"/>
    <w:multiLevelType w:val="hybridMultilevel"/>
    <w:tmpl w:val="5C662DB0"/>
    <w:lvl w:ilvl="0" w:tplc="3BAE003E">
      <w:start w:val="1"/>
      <w:numFmt w:val="decimal"/>
      <w:lvlText w:val="%1."/>
      <w:lvlJc w:val="left"/>
      <w:pPr>
        <w:ind w:left="600" w:hanging="300"/>
      </w:pPr>
    </w:lvl>
    <w:lvl w:ilvl="1" w:tplc="B8AC46BE">
      <w:numFmt w:val="decimal"/>
      <w:lvlText w:val=""/>
      <w:lvlJc w:val="left"/>
    </w:lvl>
    <w:lvl w:ilvl="2" w:tplc="7D5A861A">
      <w:numFmt w:val="decimal"/>
      <w:lvlText w:val=""/>
      <w:lvlJc w:val="left"/>
    </w:lvl>
    <w:lvl w:ilvl="3" w:tplc="33F6BEF6">
      <w:numFmt w:val="decimal"/>
      <w:lvlText w:val=""/>
      <w:lvlJc w:val="left"/>
    </w:lvl>
    <w:lvl w:ilvl="4" w:tplc="66EC0B0A">
      <w:numFmt w:val="decimal"/>
      <w:lvlText w:val=""/>
      <w:lvlJc w:val="left"/>
    </w:lvl>
    <w:lvl w:ilvl="5" w:tplc="D974B2F6">
      <w:numFmt w:val="decimal"/>
      <w:lvlText w:val=""/>
      <w:lvlJc w:val="left"/>
    </w:lvl>
    <w:lvl w:ilvl="6" w:tplc="264C9596">
      <w:numFmt w:val="decimal"/>
      <w:lvlText w:val=""/>
      <w:lvlJc w:val="left"/>
    </w:lvl>
    <w:lvl w:ilvl="7" w:tplc="2BC82718">
      <w:numFmt w:val="decimal"/>
      <w:lvlText w:val=""/>
      <w:lvlJc w:val="left"/>
    </w:lvl>
    <w:lvl w:ilvl="8" w:tplc="1D5CA9A8">
      <w:numFmt w:val="decimal"/>
      <w:lvlText w:val=""/>
      <w:lvlJc w:val="left"/>
    </w:lvl>
  </w:abstractNum>
  <w:abstractNum w:abstractNumId="1" w15:restartNumberingAfterBreak="0">
    <w:nsid w:val="259D58CB"/>
    <w:multiLevelType w:val="hybridMultilevel"/>
    <w:tmpl w:val="97646050"/>
    <w:lvl w:ilvl="0" w:tplc="32E25FF4">
      <w:start w:val="1"/>
      <w:numFmt w:val="bullet"/>
      <w:lvlText w:val="•"/>
      <w:lvlJc w:val="left"/>
      <w:pPr>
        <w:ind w:left="600" w:hanging="300"/>
      </w:pPr>
    </w:lvl>
    <w:lvl w:ilvl="1" w:tplc="9B42AA9C">
      <w:numFmt w:val="decimal"/>
      <w:lvlText w:val=""/>
      <w:lvlJc w:val="left"/>
    </w:lvl>
    <w:lvl w:ilvl="2" w:tplc="D3C83B2C">
      <w:numFmt w:val="decimal"/>
      <w:lvlText w:val=""/>
      <w:lvlJc w:val="left"/>
    </w:lvl>
    <w:lvl w:ilvl="3" w:tplc="7952C0A6">
      <w:numFmt w:val="decimal"/>
      <w:lvlText w:val=""/>
      <w:lvlJc w:val="left"/>
    </w:lvl>
    <w:lvl w:ilvl="4" w:tplc="484E4410">
      <w:numFmt w:val="decimal"/>
      <w:lvlText w:val=""/>
      <w:lvlJc w:val="left"/>
    </w:lvl>
    <w:lvl w:ilvl="5" w:tplc="92B6E65C">
      <w:numFmt w:val="decimal"/>
      <w:lvlText w:val=""/>
      <w:lvlJc w:val="left"/>
    </w:lvl>
    <w:lvl w:ilvl="6" w:tplc="0F2EC542">
      <w:numFmt w:val="decimal"/>
      <w:lvlText w:val=""/>
      <w:lvlJc w:val="left"/>
    </w:lvl>
    <w:lvl w:ilvl="7" w:tplc="F79A6524">
      <w:numFmt w:val="decimal"/>
      <w:lvlText w:val=""/>
      <w:lvlJc w:val="left"/>
    </w:lvl>
    <w:lvl w:ilvl="8" w:tplc="8208FBF0">
      <w:numFmt w:val="decimal"/>
      <w:lvlText w:val=""/>
      <w:lvlJc w:val="left"/>
    </w:lvl>
  </w:abstractNum>
  <w:abstractNum w:abstractNumId="2" w15:restartNumberingAfterBreak="0">
    <w:nsid w:val="386C3F1F"/>
    <w:multiLevelType w:val="hybridMultilevel"/>
    <w:tmpl w:val="77021BF4"/>
    <w:lvl w:ilvl="0" w:tplc="E4DC8B74">
      <w:start w:val="1"/>
      <w:numFmt w:val="bullet"/>
      <w:lvlText w:val="◦"/>
      <w:lvlJc w:val="left"/>
      <w:pPr>
        <w:ind w:left="1000" w:hanging="300"/>
      </w:pPr>
    </w:lvl>
    <w:lvl w:ilvl="1" w:tplc="5024EC58">
      <w:numFmt w:val="decimal"/>
      <w:lvlText w:val=""/>
      <w:lvlJc w:val="left"/>
    </w:lvl>
    <w:lvl w:ilvl="2" w:tplc="A64053EC">
      <w:numFmt w:val="decimal"/>
      <w:lvlText w:val=""/>
      <w:lvlJc w:val="left"/>
    </w:lvl>
    <w:lvl w:ilvl="3" w:tplc="05B2C6B0">
      <w:numFmt w:val="decimal"/>
      <w:lvlText w:val=""/>
      <w:lvlJc w:val="left"/>
    </w:lvl>
    <w:lvl w:ilvl="4" w:tplc="FCDC2FB8">
      <w:numFmt w:val="decimal"/>
      <w:lvlText w:val=""/>
      <w:lvlJc w:val="left"/>
    </w:lvl>
    <w:lvl w:ilvl="5" w:tplc="352084DE">
      <w:numFmt w:val="decimal"/>
      <w:lvlText w:val=""/>
      <w:lvlJc w:val="left"/>
    </w:lvl>
    <w:lvl w:ilvl="6" w:tplc="D94240D2">
      <w:numFmt w:val="decimal"/>
      <w:lvlText w:val=""/>
      <w:lvlJc w:val="left"/>
    </w:lvl>
    <w:lvl w:ilvl="7" w:tplc="170A35E6">
      <w:numFmt w:val="decimal"/>
      <w:lvlText w:val=""/>
      <w:lvlJc w:val="left"/>
    </w:lvl>
    <w:lvl w:ilvl="8" w:tplc="0F1E70B6">
      <w:numFmt w:val="decimal"/>
      <w:lvlText w:val=""/>
      <w:lvlJc w:val="left"/>
    </w:lvl>
  </w:abstractNum>
  <w:abstractNum w:abstractNumId="3" w15:restartNumberingAfterBreak="0">
    <w:nsid w:val="736342DF"/>
    <w:multiLevelType w:val="hybridMultilevel"/>
    <w:tmpl w:val="F27062B6"/>
    <w:lvl w:ilvl="0" w:tplc="7BFAB74C">
      <w:start w:val="1"/>
      <w:numFmt w:val="bullet"/>
      <w:lvlText w:val="●"/>
      <w:lvlJc w:val="left"/>
      <w:pPr>
        <w:ind w:left="720" w:hanging="360"/>
      </w:pPr>
    </w:lvl>
    <w:lvl w:ilvl="1" w:tplc="4BD0EDEA">
      <w:start w:val="1"/>
      <w:numFmt w:val="bullet"/>
      <w:lvlText w:val="○"/>
      <w:lvlJc w:val="left"/>
      <w:pPr>
        <w:ind w:left="1440" w:hanging="360"/>
      </w:pPr>
    </w:lvl>
    <w:lvl w:ilvl="2" w:tplc="CDD03138">
      <w:start w:val="1"/>
      <w:numFmt w:val="bullet"/>
      <w:lvlText w:val="■"/>
      <w:lvlJc w:val="left"/>
      <w:pPr>
        <w:ind w:left="2160" w:hanging="360"/>
      </w:pPr>
    </w:lvl>
    <w:lvl w:ilvl="3" w:tplc="B360E162">
      <w:start w:val="1"/>
      <w:numFmt w:val="bullet"/>
      <w:lvlText w:val="●"/>
      <w:lvlJc w:val="left"/>
      <w:pPr>
        <w:ind w:left="2880" w:hanging="360"/>
      </w:pPr>
    </w:lvl>
    <w:lvl w:ilvl="4" w:tplc="F4A0597E">
      <w:start w:val="1"/>
      <w:numFmt w:val="bullet"/>
      <w:lvlText w:val="○"/>
      <w:lvlJc w:val="left"/>
      <w:pPr>
        <w:ind w:left="3600" w:hanging="360"/>
      </w:pPr>
    </w:lvl>
    <w:lvl w:ilvl="5" w:tplc="8FAC537C">
      <w:start w:val="1"/>
      <w:numFmt w:val="bullet"/>
      <w:lvlText w:val="■"/>
      <w:lvlJc w:val="left"/>
      <w:pPr>
        <w:ind w:left="4320" w:hanging="360"/>
      </w:pPr>
    </w:lvl>
    <w:lvl w:ilvl="6" w:tplc="2E2CB0FE">
      <w:start w:val="1"/>
      <w:numFmt w:val="bullet"/>
      <w:lvlText w:val="●"/>
      <w:lvlJc w:val="left"/>
      <w:pPr>
        <w:ind w:left="5040" w:hanging="360"/>
      </w:pPr>
    </w:lvl>
    <w:lvl w:ilvl="7" w:tplc="ABCA002A">
      <w:start w:val="1"/>
      <w:numFmt w:val="bullet"/>
      <w:lvlText w:val="●"/>
      <w:lvlJc w:val="left"/>
      <w:pPr>
        <w:ind w:left="5760" w:hanging="360"/>
      </w:pPr>
    </w:lvl>
    <w:lvl w:ilvl="8" w:tplc="C1F0B9FC">
      <w:start w:val="1"/>
      <w:numFmt w:val="bullet"/>
      <w:lvlText w:val="●"/>
      <w:lvlJc w:val="left"/>
      <w:pPr>
        <w:ind w:left="6480" w:hanging="360"/>
      </w:pPr>
    </w:lvl>
  </w:abstractNum>
  <w:num w:numId="1" w16cid:durableId="1896811911">
    <w:abstractNumId w:val="3"/>
    <w:lvlOverride w:ilvl="0">
      <w:startOverride w:val="1"/>
    </w:lvlOverride>
  </w:num>
  <w:num w:numId="2" w16cid:durableId="1533304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5D514B"/>
    <w:rsid w:val="00022994"/>
    <w:rsid w:val="00090B89"/>
    <w:rsid w:val="002612AE"/>
    <w:rsid w:val="00295BA4"/>
    <w:rsid w:val="00302BFC"/>
    <w:rsid w:val="006B3AC5"/>
    <w:rsid w:val="00730708"/>
    <w:rsid w:val="009A7B02"/>
    <w:rsid w:val="00AB7D39"/>
    <w:rsid w:val="00BA3729"/>
    <w:rsid w:val="00C81E3C"/>
    <w:rsid w:val="00DE4EFC"/>
    <w:rsid w:val="00F671F6"/>
    <w:rsid w:val="00FD75DF"/>
    <w:rsid w:val="545D51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638B"/>
  <w15:docId w15:val="{A645258D-4A7F-4DE6-B152-CD659042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ECFECF-7552-4A08-8AF6-F819F0A55F12}">
  <ds:schemaRefs>
    <ds:schemaRef ds:uri="http://schemas.microsoft.com/office/2006/metadata/properties"/>
    <ds:schemaRef ds:uri="http://schemas.microsoft.com/office/infopath/2007/PartnerControls"/>
    <ds:schemaRef ds:uri="f9abdf04-df89-4a9c-afac-69ccba07f5d3"/>
    <ds:schemaRef ds:uri="1dca4144-4059-447c-9b01-adf414136e88"/>
  </ds:schemaRefs>
</ds:datastoreItem>
</file>

<file path=customXml/itemProps2.xml><?xml version="1.0" encoding="utf-8"?>
<ds:datastoreItem xmlns:ds="http://schemas.openxmlformats.org/officeDocument/2006/customXml" ds:itemID="{216FF554-43D3-4A3A-BD1F-9AB625F5E960}">
  <ds:schemaRefs>
    <ds:schemaRef ds:uri="http://schemas.microsoft.com/sharepoint/v3/contenttype/forms"/>
  </ds:schemaRefs>
</ds:datastoreItem>
</file>

<file path=customXml/itemProps3.xml><?xml version="1.0" encoding="utf-8"?>
<ds:datastoreItem xmlns:ds="http://schemas.openxmlformats.org/officeDocument/2006/customXml" ds:itemID="{4D7A0CC5-1F0E-4A3C-95B7-3428CF7A2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a4144-4059-447c-9b01-adf414136e88"/>
    <ds:schemaRef ds:uri="f9abdf04-df89-4a9c-afac-69ccba07f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Rayner Marsh</cp:lastModifiedBy>
  <cp:revision>2</cp:revision>
  <dcterms:created xsi:type="dcterms:W3CDTF">2026-04-24T07:40:00Z</dcterms:created>
  <dcterms:modified xsi:type="dcterms:W3CDTF">2026-04-24T07:40:00Z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y fmtid="{D5CDD505-2E9C-101B-9397-08002B2CF9AE}" pid="3" name="MediaServiceImageTags">
    <vt:lpwstr/>
  </property>
</Properties>
</file>