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Aim:</w:t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jc w:val="center"/>
      <w:rPr>
        <w:rFonts w:ascii="Times New Roman" w:cs="Times New Roman" w:eastAsia="Times New Roman" w:hAnsi="Times New Roman"/>
        <w:b w:val="1"/>
        <w:bCs w:val="1"/>
        <w:color w:val="98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980000"/>
        <w:sz w:val="24"/>
        <w:szCs w:val="24"/>
        <w:rtl w:val="0"/>
      </w:rPr>
      <w:t xml:space="preserve">AP U.S. History I, 1.1.4: Cahokia, Tenochtitlan, and Cusco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jc w:val="center"/>
      <w:rPr>
        <w:rFonts w:ascii="Times New Roman" w:cs="Times New Roman" w:eastAsia="Times New Roman" w:hAnsi="Times New Roman"/>
        <w:b w:val="1"/>
        <w:bCs w:val="1"/>
        <w:color w:val="980000"/>
        <w:sz w:val="24"/>
        <w:szCs w:val="24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980000"/>
        <w:sz w:val="24"/>
        <w:szCs w:val="24"/>
        <w:u w:val="single"/>
        <w:rtl w:val="0"/>
      </w:rPr>
      <w:t xml:space="preserve">AP U.S. History I, 1.1.4: Cahokia, Tenochtitlan, and Cusco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